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AD2CA">
      <w:pPr>
        <w:pStyle w:val="2"/>
        <w:ind w:firstLine="0"/>
        <w:jc w:val="center"/>
        <w:rPr>
          <w:rFonts w:ascii="宋体" w:hAnsi="宋体"/>
          <w:b/>
          <w:bCs/>
          <w:color w:val="auto"/>
          <w:sz w:val="84"/>
          <w:highlight w:val="none"/>
        </w:rPr>
      </w:pPr>
      <w:bookmarkStart w:id="0" w:name="_Toc120614210"/>
      <w:bookmarkStart w:id="1" w:name="_Toc513029200"/>
      <w:bookmarkStart w:id="2" w:name="_Toc20823272"/>
      <w:bookmarkStart w:id="3" w:name="_Toc16938516"/>
      <w:bookmarkStart w:id="4" w:name="_Toc523127445"/>
      <w:bookmarkStart w:id="5" w:name="_Toc479757206"/>
    </w:p>
    <w:p w14:paraId="4FFEAE73">
      <w:pPr>
        <w:pStyle w:val="2"/>
        <w:ind w:firstLine="0"/>
        <w:jc w:val="center"/>
        <w:rPr>
          <w:rFonts w:ascii="宋体" w:hAnsi="宋体"/>
          <w:b/>
          <w:bCs/>
          <w:color w:val="auto"/>
          <w:sz w:val="84"/>
          <w:highlight w:val="none"/>
        </w:rPr>
      </w:pPr>
      <w:r>
        <w:rPr>
          <w:rFonts w:hint="eastAsia" w:ascii="宋体" w:hAnsi="宋体"/>
          <w:b/>
          <w:bCs/>
          <w:color w:val="auto"/>
          <w:sz w:val="84"/>
          <w:highlight w:val="none"/>
          <w:lang w:val="en-US" w:eastAsia="zh-CN"/>
        </w:rPr>
        <w:t>竞争性磋商</w:t>
      </w:r>
      <w:r>
        <w:rPr>
          <w:rFonts w:hint="eastAsia" w:ascii="宋体" w:hAnsi="宋体"/>
          <w:b/>
          <w:bCs/>
          <w:color w:val="auto"/>
          <w:sz w:val="84"/>
          <w:highlight w:val="none"/>
        </w:rPr>
        <w:t>文件</w:t>
      </w:r>
    </w:p>
    <w:p w14:paraId="09B72DAD">
      <w:pPr>
        <w:pStyle w:val="2"/>
        <w:ind w:firstLine="0"/>
        <w:rPr>
          <w:rFonts w:hint="eastAsia" w:ascii="宋体" w:hAnsi="宋体"/>
          <w:b/>
          <w:bCs/>
          <w:color w:val="auto"/>
          <w:sz w:val="32"/>
          <w:highlight w:val="none"/>
        </w:rPr>
      </w:pPr>
    </w:p>
    <w:p w14:paraId="5AA39730">
      <w:pPr>
        <w:pStyle w:val="2"/>
        <w:ind w:left="0" w:leftChars="0" w:firstLine="1905" w:firstLineChars="593"/>
        <w:rPr>
          <w:rFonts w:hint="eastAsia" w:ascii="宋体" w:hAnsi="宋体"/>
          <w:b/>
          <w:bCs/>
          <w:color w:val="auto"/>
          <w:sz w:val="32"/>
          <w:highlight w:val="none"/>
        </w:rPr>
      </w:pPr>
    </w:p>
    <w:p w14:paraId="4BB144DA">
      <w:pPr>
        <w:pStyle w:val="2"/>
        <w:keepNext w:val="0"/>
        <w:keepLines w:val="0"/>
        <w:pageBreakBefore w:val="0"/>
        <w:widowControl w:val="0"/>
        <w:kinsoku/>
        <w:wordWrap/>
        <w:overflowPunct/>
        <w:topLinePunct w:val="0"/>
        <w:autoSpaceDE/>
        <w:autoSpaceDN/>
        <w:bidi w:val="0"/>
        <w:adjustRightInd/>
        <w:snapToGrid/>
        <w:ind w:firstLine="964" w:firstLineChars="300"/>
        <w:textAlignment w:val="auto"/>
        <w:rPr>
          <w:rFonts w:hint="eastAsia" w:ascii="宋体" w:hAnsi="宋体"/>
          <w:b/>
          <w:bCs/>
          <w:color w:val="auto"/>
          <w:sz w:val="32"/>
          <w:szCs w:val="32"/>
          <w:highlight w:val="none"/>
          <w:lang w:eastAsia="zh-CN"/>
        </w:rPr>
      </w:pPr>
      <w:r>
        <w:rPr>
          <w:rFonts w:hint="eastAsia" w:ascii="宋体" w:hAnsi="宋体"/>
          <w:b/>
          <w:bCs/>
          <w:color w:val="auto"/>
          <w:sz w:val="32"/>
          <w:highlight w:val="none"/>
        </w:rPr>
        <w:t>项目名称：</w:t>
      </w:r>
      <w:r>
        <w:rPr>
          <w:rFonts w:hint="eastAsia" w:ascii="宋体" w:hAnsi="宋体"/>
          <w:b/>
          <w:bCs/>
          <w:color w:val="auto"/>
          <w:sz w:val="32"/>
          <w:szCs w:val="32"/>
          <w:highlight w:val="none"/>
          <w:lang w:eastAsia="zh-CN"/>
        </w:rPr>
        <w:t>南通博物苑九曲桥修复工程</w:t>
      </w:r>
    </w:p>
    <w:p w14:paraId="2EEB2548">
      <w:pPr>
        <w:pStyle w:val="2"/>
        <w:keepNext w:val="0"/>
        <w:keepLines w:val="0"/>
        <w:pageBreakBefore w:val="0"/>
        <w:widowControl w:val="0"/>
        <w:kinsoku/>
        <w:wordWrap/>
        <w:overflowPunct/>
        <w:topLinePunct w:val="0"/>
        <w:autoSpaceDE/>
        <w:autoSpaceDN/>
        <w:bidi w:val="0"/>
        <w:adjustRightInd/>
        <w:snapToGrid/>
        <w:ind w:firstLine="964" w:firstLineChars="300"/>
        <w:textAlignment w:val="auto"/>
        <w:rPr>
          <w:rFonts w:ascii="宋体" w:hAnsi="宋体"/>
          <w:b/>
          <w:color w:val="auto"/>
          <w:sz w:val="30"/>
          <w:szCs w:val="30"/>
          <w:highlight w:val="none"/>
        </w:rPr>
      </w:pPr>
      <w:r>
        <w:rPr>
          <w:rFonts w:hint="eastAsia" w:ascii="宋体" w:hAnsi="宋体"/>
          <w:b/>
          <w:bCs/>
          <w:color w:val="auto"/>
          <w:sz w:val="32"/>
          <w:highlight w:val="none"/>
        </w:rPr>
        <w:t>项目编号：JSZC-320600-JSGH-C2025-0010</w:t>
      </w:r>
    </w:p>
    <w:p w14:paraId="0238B400">
      <w:pPr>
        <w:rPr>
          <w:rFonts w:ascii="宋体" w:hAnsi="宋体"/>
          <w:b/>
          <w:color w:val="auto"/>
          <w:sz w:val="30"/>
          <w:szCs w:val="30"/>
          <w:highlight w:val="none"/>
        </w:rPr>
      </w:pPr>
    </w:p>
    <w:p w14:paraId="0BE7EEBD">
      <w:pPr>
        <w:pStyle w:val="2"/>
        <w:spacing w:before="0" w:after="0"/>
        <w:ind w:firstLine="0"/>
        <w:rPr>
          <w:rFonts w:ascii="宋体" w:hAnsi="宋体"/>
          <w:color w:val="auto"/>
          <w:highlight w:val="none"/>
        </w:rPr>
      </w:pPr>
    </w:p>
    <w:p w14:paraId="67514689">
      <w:pPr>
        <w:pStyle w:val="2"/>
        <w:spacing w:before="0" w:after="0"/>
        <w:ind w:firstLine="0"/>
        <w:rPr>
          <w:rFonts w:ascii="宋体" w:hAnsi="宋体"/>
          <w:color w:val="auto"/>
          <w:highlight w:val="none"/>
        </w:rPr>
      </w:pPr>
    </w:p>
    <w:p w14:paraId="1699F5D5">
      <w:pPr>
        <w:pStyle w:val="2"/>
        <w:spacing w:before="0" w:after="0"/>
        <w:ind w:firstLine="0"/>
        <w:rPr>
          <w:rFonts w:ascii="宋体" w:hAnsi="宋体"/>
          <w:color w:val="auto"/>
          <w:highlight w:val="none"/>
        </w:rPr>
      </w:pPr>
    </w:p>
    <w:p w14:paraId="611E7364">
      <w:pPr>
        <w:pStyle w:val="2"/>
        <w:spacing w:before="0" w:after="0"/>
        <w:ind w:firstLine="0"/>
        <w:rPr>
          <w:rFonts w:ascii="宋体" w:hAnsi="宋体"/>
          <w:color w:val="auto"/>
          <w:highlight w:val="none"/>
        </w:rPr>
      </w:pPr>
    </w:p>
    <w:p w14:paraId="12518EA3">
      <w:pPr>
        <w:pStyle w:val="2"/>
        <w:spacing w:before="0" w:after="0"/>
        <w:ind w:firstLine="0"/>
        <w:rPr>
          <w:rFonts w:ascii="宋体" w:hAnsi="宋体"/>
          <w:color w:val="auto"/>
          <w:highlight w:val="none"/>
        </w:rPr>
      </w:pPr>
    </w:p>
    <w:p w14:paraId="7AA97BAE">
      <w:pPr>
        <w:pStyle w:val="2"/>
        <w:spacing w:before="0" w:after="0"/>
        <w:ind w:firstLine="0"/>
        <w:rPr>
          <w:rFonts w:ascii="宋体" w:hAnsi="宋体"/>
          <w:color w:val="auto"/>
          <w:highlight w:val="none"/>
        </w:rPr>
      </w:pPr>
    </w:p>
    <w:p w14:paraId="2461F17E">
      <w:pPr>
        <w:pStyle w:val="2"/>
        <w:spacing w:before="0" w:after="0"/>
        <w:ind w:firstLine="0"/>
        <w:rPr>
          <w:rFonts w:ascii="宋体" w:hAnsi="宋体"/>
          <w:color w:val="auto"/>
          <w:highlight w:val="none"/>
        </w:rPr>
      </w:pPr>
    </w:p>
    <w:p w14:paraId="3712EBA7">
      <w:pPr>
        <w:pStyle w:val="2"/>
        <w:spacing w:before="0" w:after="0"/>
        <w:ind w:firstLine="0"/>
        <w:rPr>
          <w:rFonts w:ascii="宋体" w:hAnsi="宋体"/>
          <w:color w:val="auto"/>
          <w:highlight w:val="none"/>
        </w:rPr>
      </w:pPr>
    </w:p>
    <w:p w14:paraId="095FF9B8">
      <w:pPr>
        <w:pStyle w:val="2"/>
        <w:spacing w:before="0" w:after="0"/>
        <w:ind w:firstLine="0"/>
        <w:rPr>
          <w:rFonts w:ascii="宋体" w:hAnsi="宋体"/>
          <w:color w:val="auto"/>
          <w:highlight w:val="none"/>
        </w:rPr>
      </w:pPr>
    </w:p>
    <w:p w14:paraId="5A68219B">
      <w:pPr>
        <w:spacing w:line="360" w:lineRule="auto"/>
        <w:ind w:firstLine="1285" w:firstLineChars="400"/>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采 购 人：</w:t>
      </w:r>
      <w:r>
        <w:rPr>
          <w:rFonts w:hint="eastAsia" w:ascii="宋体" w:hAnsi="宋体" w:cs="宋体"/>
          <w:b/>
          <w:bCs/>
          <w:color w:val="auto"/>
          <w:sz w:val="32"/>
          <w:szCs w:val="32"/>
          <w:highlight w:val="none"/>
          <w:u w:val="single"/>
          <w:lang w:eastAsia="zh-CN"/>
        </w:rPr>
        <w:t>南通博物苑</w:t>
      </w:r>
    </w:p>
    <w:p w14:paraId="76458AF8">
      <w:pPr>
        <w:spacing w:before="120" w:after="120" w:line="360" w:lineRule="auto"/>
        <w:ind w:firstLine="1285" w:firstLineChars="400"/>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代理机构：</w:t>
      </w:r>
      <w:r>
        <w:rPr>
          <w:rFonts w:hint="eastAsia" w:ascii="宋体" w:hAnsi="宋体" w:cs="宋体"/>
          <w:b/>
          <w:bCs/>
          <w:color w:val="auto"/>
          <w:sz w:val="32"/>
          <w:szCs w:val="32"/>
          <w:highlight w:val="none"/>
          <w:u w:val="single"/>
          <w:lang w:eastAsia="zh-CN"/>
        </w:rPr>
        <w:t>江苏广和工程咨询有限公司</w:t>
      </w:r>
    </w:p>
    <w:p w14:paraId="26927009">
      <w:pPr>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 xml:space="preserve">月 </w:t>
      </w:r>
    </w:p>
    <w:p w14:paraId="172734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auto"/>
          <w:sz w:val="44"/>
          <w:szCs w:val="21"/>
          <w:highlight w:val="none"/>
        </w:rPr>
      </w:pPr>
      <w:r>
        <w:rPr>
          <w:rFonts w:hint="eastAsia" w:ascii="宋体" w:hAnsi="宋体"/>
          <w:color w:val="auto"/>
          <w:highlight w:val="none"/>
        </w:rPr>
        <w:br w:type="page"/>
      </w:r>
      <w:r>
        <w:rPr>
          <w:rFonts w:hint="eastAsia" w:ascii="宋体" w:hAnsi="宋体" w:eastAsia="宋体" w:cs="宋体"/>
          <w:b/>
          <w:color w:val="auto"/>
          <w:sz w:val="44"/>
          <w:szCs w:val="21"/>
          <w:highlight w:val="none"/>
        </w:rPr>
        <w:t>目录</w:t>
      </w:r>
    </w:p>
    <w:p w14:paraId="599FA41F">
      <w:pPr>
        <w:pStyle w:val="34"/>
        <w:tabs>
          <w:tab w:val="right" w:leader="dot" w:pos="8307"/>
          <w:tab w:val="clear" w:pos="8720"/>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"1-1"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_Toc23767 </w:instrText>
      </w:r>
      <w:r>
        <w:rPr>
          <w:rFonts w:hint="eastAsia" w:ascii="宋体" w:hAnsi="宋体" w:eastAsia="宋体" w:cs="宋体"/>
          <w:color w:val="auto"/>
          <w:sz w:val="28"/>
          <w:szCs w:val="28"/>
          <w:highlight w:val="none"/>
        </w:rPr>
        <w:fldChar w:fldCharType="separate"/>
      </w:r>
      <w:r>
        <w:rPr>
          <w:rFonts w:ascii="Times New Roman" w:hAnsi="Times New Roman"/>
          <w:bCs/>
          <w:color w:val="auto"/>
          <w:sz w:val="28"/>
          <w:szCs w:val="28"/>
          <w:highlight w:val="none"/>
        </w:rPr>
        <w:t>第一章</w:t>
      </w:r>
      <w:r>
        <w:rPr>
          <w:rFonts w:hint="eastAsia" w:ascii="Times New Roman" w:hAnsi="Times New Roman"/>
          <w:bCs/>
          <w:color w:val="auto"/>
          <w:sz w:val="28"/>
          <w:szCs w:val="28"/>
          <w:highlight w:val="none"/>
          <w:lang w:val="en-US" w:eastAsia="zh-CN"/>
        </w:rPr>
        <w:t xml:space="preserve"> </w:t>
      </w:r>
      <w:r>
        <w:rPr>
          <w:rFonts w:ascii="Times New Roman" w:hAnsi="Times New Roman"/>
          <w:bCs/>
          <w:color w:val="auto"/>
          <w:sz w:val="28"/>
          <w:szCs w:val="28"/>
          <w:highlight w:val="none"/>
        </w:rPr>
        <w:t>磋商邀请</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_Toc23767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C1649BD">
      <w:pPr>
        <w:pStyle w:val="34"/>
        <w:tabs>
          <w:tab w:val="right" w:leader="dot" w:pos="8307"/>
          <w:tab w:val="clear" w:pos="8720"/>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_Toc21591 </w:instrText>
      </w:r>
      <w:r>
        <w:rPr>
          <w:rFonts w:hint="eastAsia" w:ascii="宋体" w:hAnsi="宋体" w:eastAsia="宋体" w:cs="宋体"/>
          <w:color w:val="auto"/>
          <w:sz w:val="28"/>
          <w:szCs w:val="28"/>
          <w:highlight w:val="none"/>
        </w:rPr>
        <w:fldChar w:fldCharType="separate"/>
      </w:r>
      <w:r>
        <w:rPr>
          <w:rFonts w:ascii="Times New Roman" w:hAnsi="Times New Roman" w:eastAsia="宋体" w:cs="Times New Roman"/>
          <w:bCs/>
          <w:color w:val="auto"/>
          <w:sz w:val="28"/>
          <w:szCs w:val="28"/>
          <w:highlight w:val="none"/>
        </w:rPr>
        <w:t>第二章</w:t>
      </w:r>
      <w:r>
        <w:rPr>
          <w:rFonts w:hint="eastAsia" w:ascii="Times New Roman" w:hAnsi="Times New Roman" w:eastAsia="宋体" w:cs="Times New Roman"/>
          <w:bCs/>
          <w:color w:val="auto"/>
          <w:sz w:val="28"/>
          <w:szCs w:val="28"/>
          <w:highlight w:val="none"/>
        </w:rPr>
        <w:t xml:space="preserve"> </w:t>
      </w:r>
      <w:r>
        <w:rPr>
          <w:rFonts w:ascii="Times New Roman" w:hAnsi="Times New Roman" w:eastAsia="宋体" w:cs="Times New Roman"/>
          <w:bCs/>
          <w:color w:val="auto"/>
          <w:sz w:val="28"/>
          <w:szCs w:val="28"/>
          <w:highlight w:val="none"/>
        </w:rPr>
        <w:t>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_Toc21591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4949824B">
      <w:pPr>
        <w:pStyle w:val="34"/>
        <w:tabs>
          <w:tab w:val="right" w:leader="dot" w:pos="8307"/>
          <w:tab w:val="clear" w:pos="8720"/>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_Toc8033 </w:instrText>
      </w:r>
      <w:r>
        <w:rPr>
          <w:rFonts w:hint="eastAsia" w:ascii="宋体" w:hAnsi="宋体" w:eastAsia="宋体" w:cs="宋体"/>
          <w:color w:val="auto"/>
          <w:sz w:val="28"/>
          <w:szCs w:val="28"/>
          <w:highlight w:val="none"/>
        </w:rPr>
        <w:fldChar w:fldCharType="separate"/>
      </w:r>
      <w:r>
        <w:rPr>
          <w:bCs/>
          <w:color w:val="auto"/>
          <w:sz w:val="28"/>
          <w:szCs w:val="28"/>
          <w:highlight w:val="none"/>
        </w:rPr>
        <w:t>第三章</w:t>
      </w:r>
      <w:r>
        <w:rPr>
          <w:rFonts w:hint="eastAsia"/>
          <w:bCs/>
          <w:color w:val="auto"/>
          <w:sz w:val="28"/>
          <w:szCs w:val="28"/>
          <w:highlight w:val="none"/>
          <w:lang w:val="en-US" w:eastAsia="zh-CN"/>
        </w:rPr>
        <w:t xml:space="preserve"> </w:t>
      </w:r>
      <w:r>
        <w:rPr>
          <w:bCs/>
          <w:color w:val="auto"/>
          <w:sz w:val="28"/>
          <w:szCs w:val="28"/>
          <w:highlight w:val="none"/>
        </w:rPr>
        <w:t>合同文本</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_Toc8033 \h </w:instrText>
      </w:r>
      <w:r>
        <w:rPr>
          <w:color w:val="auto"/>
          <w:sz w:val="28"/>
          <w:szCs w:val="28"/>
          <w:highlight w:val="none"/>
        </w:rPr>
        <w:fldChar w:fldCharType="separate"/>
      </w:r>
      <w:r>
        <w:rPr>
          <w:color w:val="auto"/>
          <w:sz w:val="28"/>
          <w:szCs w:val="28"/>
          <w:highlight w:val="none"/>
        </w:rPr>
        <w:t>16</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32CAD8F">
      <w:pPr>
        <w:pStyle w:val="34"/>
        <w:tabs>
          <w:tab w:val="right" w:leader="dot" w:pos="8307"/>
          <w:tab w:val="clear" w:pos="8720"/>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_Toc23572 </w:instrText>
      </w:r>
      <w:r>
        <w:rPr>
          <w:rFonts w:hint="eastAsia" w:ascii="宋体" w:hAnsi="宋体" w:eastAsia="宋体" w:cs="宋体"/>
          <w:color w:val="auto"/>
          <w:sz w:val="28"/>
          <w:szCs w:val="28"/>
          <w:highlight w:val="none"/>
        </w:rPr>
        <w:fldChar w:fldCharType="separate"/>
      </w:r>
      <w:r>
        <w:rPr>
          <w:rFonts w:eastAsia="宋体" w:cs="Times New Roman"/>
          <w:bCs/>
          <w:color w:val="auto"/>
          <w:sz w:val="28"/>
          <w:szCs w:val="28"/>
          <w:highlight w:val="none"/>
        </w:rPr>
        <w:t>第四章</w:t>
      </w:r>
      <w:r>
        <w:rPr>
          <w:rFonts w:hint="eastAsia" w:eastAsia="宋体" w:cs="Times New Roman"/>
          <w:bCs/>
          <w:color w:val="auto"/>
          <w:sz w:val="28"/>
          <w:szCs w:val="28"/>
          <w:highlight w:val="none"/>
        </w:rPr>
        <w:t xml:space="preserve"> </w:t>
      </w:r>
      <w:r>
        <w:rPr>
          <w:rFonts w:eastAsia="宋体" w:cs="Times New Roman"/>
          <w:bCs/>
          <w:color w:val="auto"/>
          <w:sz w:val="28"/>
          <w:szCs w:val="28"/>
          <w:highlight w:val="none"/>
        </w:rPr>
        <w:t>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_Toc23572 \h </w:instrText>
      </w:r>
      <w:r>
        <w:rPr>
          <w:color w:val="auto"/>
          <w:sz w:val="28"/>
          <w:szCs w:val="28"/>
          <w:highlight w:val="none"/>
        </w:rPr>
        <w:fldChar w:fldCharType="separate"/>
      </w:r>
      <w:r>
        <w:rPr>
          <w:color w:val="auto"/>
          <w:sz w:val="28"/>
          <w:szCs w:val="28"/>
          <w:highlight w:val="none"/>
        </w:rPr>
        <w:t>52</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380A363">
      <w:pPr>
        <w:pStyle w:val="34"/>
        <w:tabs>
          <w:tab w:val="right" w:leader="dot" w:pos="8307"/>
          <w:tab w:val="clear" w:pos="8720"/>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_Toc30005 </w:instrText>
      </w:r>
      <w:r>
        <w:rPr>
          <w:rFonts w:hint="eastAsia" w:ascii="宋体" w:hAnsi="宋体" w:eastAsia="宋体" w:cs="宋体"/>
          <w:color w:val="auto"/>
          <w:sz w:val="28"/>
          <w:szCs w:val="28"/>
          <w:highlight w:val="none"/>
        </w:rPr>
        <w:fldChar w:fldCharType="separate"/>
      </w:r>
      <w:r>
        <w:rPr>
          <w:rFonts w:ascii="Times New Roman" w:hAnsi="Times New Roman"/>
          <w:bCs/>
          <w:color w:val="auto"/>
          <w:sz w:val="28"/>
          <w:szCs w:val="28"/>
          <w:highlight w:val="none"/>
        </w:rPr>
        <w:t>第五章</w:t>
      </w:r>
      <w:r>
        <w:rPr>
          <w:rFonts w:hint="eastAsia" w:ascii="Times New Roman" w:hAnsi="Times New Roman"/>
          <w:bCs/>
          <w:color w:val="auto"/>
          <w:sz w:val="28"/>
          <w:szCs w:val="28"/>
          <w:highlight w:val="none"/>
        </w:rPr>
        <w:t xml:space="preserve"> </w:t>
      </w:r>
      <w:r>
        <w:rPr>
          <w:rFonts w:ascii="Times New Roman" w:hAnsi="Times New Roman"/>
          <w:bCs/>
          <w:color w:val="auto"/>
          <w:sz w:val="28"/>
          <w:szCs w:val="28"/>
          <w:highlight w:val="none"/>
        </w:rPr>
        <w:t>评</w:t>
      </w:r>
      <w:r>
        <w:rPr>
          <w:rFonts w:hint="eastAsia" w:ascii="Times New Roman" w:hAnsi="Times New Roman"/>
          <w:bCs/>
          <w:color w:val="auto"/>
          <w:sz w:val="28"/>
          <w:szCs w:val="28"/>
          <w:highlight w:val="none"/>
        </w:rPr>
        <w:t>标</w:t>
      </w:r>
      <w:r>
        <w:rPr>
          <w:rFonts w:ascii="Times New Roman" w:hAnsi="Times New Roman"/>
          <w:bCs/>
          <w:color w:val="auto"/>
          <w:sz w:val="28"/>
          <w:szCs w:val="28"/>
          <w:highlight w:val="none"/>
        </w:rPr>
        <w:t>方法与评</w:t>
      </w:r>
      <w:r>
        <w:rPr>
          <w:rFonts w:hint="eastAsia" w:ascii="Times New Roman" w:hAnsi="Times New Roman"/>
          <w:bCs/>
          <w:color w:val="auto"/>
          <w:sz w:val="28"/>
          <w:szCs w:val="28"/>
          <w:highlight w:val="none"/>
        </w:rPr>
        <w:t>标</w:t>
      </w:r>
      <w:r>
        <w:rPr>
          <w:rFonts w:ascii="Times New Roman" w:hAnsi="Times New Roman"/>
          <w:bCs/>
          <w:color w:val="auto"/>
          <w:sz w:val="28"/>
          <w:szCs w:val="28"/>
          <w:highlight w:val="none"/>
        </w:rPr>
        <w:t>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_Toc30005 \h </w:instrText>
      </w:r>
      <w:r>
        <w:rPr>
          <w:color w:val="auto"/>
          <w:sz w:val="28"/>
          <w:szCs w:val="28"/>
          <w:highlight w:val="none"/>
        </w:rPr>
        <w:fldChar w:fldCharType="separate"/>
      </w:r>
      <w:r>
        <w:rPr>
          <w:color w:val="auto"/>
          <w:sz w:val="28"/>
          <w:szCs w:val="28"/>
          <w:highlight w:val="none"/>
        </w:rPr>
        <w:t>59</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69A445D1">
      <w:pPr>
        <w:pStyle w:val="34"/>
        <w:tabs>
          <w:tab w:val="right" w:leader="dot" w:pos="8307"/>
          <w:tab w:val="clear" w:pos="8720"/>
        </w:tabs>
        <w:spacing w:line="360" w:lineRule="auto"/>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_Toc536 </w:instrText>
      </w:r>
      <w:r>
        <w:rPr>
          <w:rFonts w:hint="eastAsia" w:ascii="宋体" w:hAnsi="宋体" w:eastAsia="宋体" w:cs="宋体"/>
          <w:color w:val="auto"/>
          <w:sz w:val="28"/>
          <w:szCs w:val="28"/>
          <w:highlight w:val="none"/>
        </w:rPr>
        <w:fldChar w:fldCharType="separate"/>
      </w:r>
      <w:r>
        <w:rPr>
          <w:rFonts w:ascii="Times New Roman" w:hAnsi="Times New Roman"/>
          <w:bCs/>
          <w:color w:val="auto"/>
          <w:sz w:val="28"/>
          <w:szCs w:val="28"/>
          <w:highlight w:val="none"/>
        </w:rPr>
        <w:t>第六章</w:t>
      </w:r>
      <w:r>
        <w:rPr>
          <w:rFonts w:hint="eastAsia" w:ascii="Times New Roman" w:hAnsi="Times New Roman"/>
          <w:bCs/>
          <w:color w:val="auto"/>
          <w:sz w:val="28"/>
          <w:szCs w:val="28"/>
          <w:highlight w:val="none"/>
          <w:lang w:val="en-US" w:eastAsia="zh-CN"/>
        </w:rPr>
        <w:t xml:space="preserve"> </w:t>
      </w:r>
      <w:r>
        <w:rPr>
          <w:rFonts w:ascii="Times New Roman" w:hAnsi="Times New Roman"/>
          <w:bCs/>
          <w:color w:val="auto"/>
          <w:sz w:val="28"/>
          <w:szCs w:val="28"/>
          <w:highlight w:val="none"/>
        </w:rPr>
        <w:t>响应文件格式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_Toc536 \h </w:instrText>
      </w:r>
      <w:r>
        <w:rPr>
          <w:color w:val="auto"/>
          <w:sz w:val="28"/>
          <w:szCs w:val="28"/>
          <w:highlight w:val="none"/>
        </w:rPr>
        <w:fldChar w:fldCharType="separate"/>
      </w:r>
      <w:r>
        <w:rPr>
          <w:color w:val="auto"/>
          <w:sz w:val="28"/>
          <w:szCs w:val="28"/>
          <w:highlight w:val="none"/>
        </w:rPr>
        <w:t>63</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EAB828D">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8"/>
          <w:szCs w:val="28"/>
          <w:highlight w:val="none"/>
        </w:rPr>
        <w:fldChar w:fldCharType="end"/>
      </w:r>
    </w:p>
    <w:p w14:paraId="6ABF68AF">
      <w:pPr>
        <w:spacing w:line="400" w:lineRule="exact"/>
        <w:ind w:firstLine="420"/>
        <w:rPr>
          <w:rFonts w:hint="eastAsia" w:ascii="宋体" w:hAnsi="宋体" w:eastAsia="宋体" w:cs="宋体"/>
          <w:color w:val="auto"/>
          <w:szCs w:val="21"/>
          <w:highlight w:val="none"/>
        </w:rPr>
      </w:pPr>
    </w:p>
    <w:p w14:paraId="46745817">
      <w:pPr>
        <w:spacing w:line="400" w:lineRule="exact"/>
        <w:ind w:firstLine="420"/>
        <w:rPr>
          <w:rFonts w:ascii="Times New Roman" w:hAnsi="Times New Roman"/>
          <w:color w:val="auto"/>
          <w:szCs w:val="21"/>
          <w:highlight w:val="none"/>
        </w:rPr>
      </w:pPr>
    </w:p>
    <w:p w14:paraId="6FEBD0F0">
      <w:pPr>
        <w:spacing w:line="400" w:lineRule="exact"/>
        <w:ind w:firstLine="420"/>
        <w:rPr>
          <w:rFonts w:ascii="Times New Roman" w:hAnsi="Times New Roman"/>
          <w:color w:val="auto"/>
          <w:szCs w:val="21"/>
          <w:highlight w:val="none"/>
        </w:rPr>
      </w:pPr>
    </w:p>
    <w:p w14:paraId="6EED64AF">
      <w:pPr>
        <w:spacing w:line="400" w:lineRule="exact"/>
        <w:ind w:firstLine="420"/>
        <w:rPr>
          <w:rFonts w:ascii="Times New Roman" w:hAnsi="Times New Roman"/>
          <w:color w:val="auto"/>
          <w:szCs w:val="21"/>
          <w:highlight w:val="none"/>
        </w:rPr>
      </w:pPr>
    </w:p>
    <w:p w14:paraId="50BE8457">
      <w:pPr>
        <w:spacing w:line="400" w:lineRule="exact"/>
        <w:ind w:firstLine="420"/>
        <w:rPr>
          <w:rFonts w:ascii="Times New Roman" w:hAnsi="Times New Roman"/>
          <w:color w:val="auto"/>
          <w:szCs w:val="21"/>
          <w:highlight w:val="none"/>
        </w:rPr>
      </w:pPr>
    </w:p>
    <w:p w14:paraId="0DA9CF14">
      <w:pPr>
        <w:spacing w:line="400" w:lineRule="exact"/>
        <w:ind w:firstLine="420"/>
        <w:rPr>
          <w:rFonts w:ascii="Times New Roman" w:hAnsi="Times New Roman"/>
          <w:color w:val="auto"/>
          <w:szCs w:val="21"/>
          <w:highlight w:val="none"/>
        </w:rPr>
      </w:pPr>
    </w:p>
    <w:p w14:paraId="367B3F2B">
      <w:pPr>
        <w:spacing w:line="400" w:lineRule="exact"/>
        <w:ind w:firstLine="420"/>
        <w:rPr>
          <w:rFonts w:ascii="Times New Roman" w:hAnsi="Times New Roman"/>
          <w:color w:val="auto"/>
          <w:szCs w:val="21"/>
          <w:highlight w:val="none"/>
        </w:rPr>
      </w:pPr>
    </w:p>
    <w:p w14:paraId="408C83C3">
      <w:pPr>
        <w:spacing w:line="400" w:lineRule="exact"/>
        <w:ind w:firstLine="420"/>
        <w:rPr>
          <w:rFonts w:ascii="Times New Roman" w:hAnsi="Times New Roman"/>
          <w:color w:val="auto"/>
          <w:szCs w:val="21"/>
          <w:highlight w:val="none"/>
        </w:rPr>
      </w:pPr>
    </w:p>
    <w:p w14:paraId="3D73ED00">
      <w:pPr>
        <w:spacing w:line="400" w:lineRule="exact"/>
        <w:ind w:firstLine="420"/>
        <w:rPr>
          <w:rFonts w:ascii="Times New Roman" w:hAnsi="Times New Roman"/>
          <w:color w:val="auto"/>
          <w:szCs w:val="21"/>
          <w:highlight w:val="none"/>
        </w:rPr>
      </w:pPr>
    </w:p>
    <w:p w14:paraId="0E00E4E3">
      <w:pPr>
        <w:spacing w:line="400" w:lineRule="exact"/>
        <w:ind w:firstLine="420"/>
        <w:rPr>
          <w:rFonts w:ascii="Times New Roman" w:hAnsi="Times New Roman"/>
          <w:color w:val="auto"/>
          <w:szCs w:val="21"/>
          <w:highlight w:val="none"/>
        </w:rPr>
      </w:pPr>
    </w:p>
    <w:p w14:paraId="0AC1F472">
      <w:pPr>
        <w:spacing w:line="400" w:lineRule="exact"/>
        <w:ind w:firstLine="420"/>
        <w:rPr>
          <w:rFonts w:ascii="Times New Roman" w:hAnsi="Times New Roman"/>
          <w:color w:val="auto"/>
          <w:szCs w:val="21"/>
          <w:highlight w:val="none"/>
        </w:rPr>
      </w:pPr>
    </w:p>
    <w:p w14:paraId="172F0219">
      <w:pPr>
        <w:spacing w:line="400" w:lineRule="exact"/>
        <w:ind w:firstLine="420"/>
        <w:rPr>
          <w:rFonts w:ascii="Times New Roman" w:hAnsi="Times New Roman"/>
          <w:color w:val="auto"/>
          <w:szCs w:val="21"/>
          <w:highlight w:val="none"/>
        </w:rPr>
      </w:pPr>
    </w:p>
    <w:p w14:paraId="4612598D">
      <w:pPr>
        <w:spacing w:line="400" w:lineRule="exact"/>
        <w:ind w:firstLine="420"/>
        <w:rPr>
          <w:rFonts w:ascii="Times New Roman" w:hAnsi="Times New Roman"/>
          <w:color w:val="auto"/>
          <w:szCs w:val="21"/>
          <w:highlight w:val="none"/>
        </w:rPr>
      </w:pPr>
    </w:p>
    <w:p w14:paraId="0128A455">
      <w:pPr>
        <w:spacing w:line="400" w:lineRule="exact"/>
        <w:ind w:firstLine="420"/>
        <w:rPr>
          <w:rFonts w:ascii="Times New Roman" w:hAnsi="Times New Roman"/>
          <w:color w:val="auto"/>
          <w:szCs w:val="21"/>
          <w:highlight w:val="none"/>
        </w:rPr>
      </w:pPr>
    </w:p>
    <w:p w14:paraId="5CB9F217">
      <w:pPr>
        <w:spacing w:line="400" w:lineRule="exact"/>
        <w:ind w:firstLine="420"/>
        <w:rPr>
          <w:rFonts w:ascii="Times New Roman" w:hAnsi="Times New Roman"/>
          <w:color w:val="auto"/>
          <w:szCs w:val="21"/>
          <w:highlight w:val="none"/>
        </w:rPr>
      </w:pPr>
    </w:p>
    <w:p w14:paraId="06B55F74">
      <w:pPr>
        <w:spacing w:line="400" w:lineRule="exact"/>
        <w:ind w:firstLine="420"/>
        <w:rPr>
          <w:rFonts w:ascii="Times New Roman" w:hAnsi="Times New Roman"/>
          <w:color w:val="auto"/>
          <w:szCs w:val="21"/>
          <w:highlight w:val="none"/>
        </w:rPr>
      </w:pPr>
    </w:p>
    <w:p w14:paraId="5E39E384">
      <w:pPr>
        <w:spacing w:line="400" w:lineRule="exact"/>
        <w:ind w:firstLine="420"/>
        <w:rPr>
          <w:rFonts w:ascii="Times New Roman" w:hAnsi="Times New Roman"/>
          <w:color w:val="auto"/>
          <w:szCs w:val="21"/>
          <w:highlight w:val="none"/>
        </w:rPr>
      </w:pPr>
    </w:p>
    <w:p w14:paraId="17C5A72A">
      <w:pPr>
        <w:spacing w:line="400" w:lineRule="exact"/>
        <w:ind w:firstLine="420"/>
        <w:rPr>
          <w:rFonts w:ascii="Times New Roman" w:hAnsi="Times New Roman"/>
          <w:color w:val="auto"/>
          <w:szCs w:val="21"/>
          <w:highlight w:val="none"/>
        </w:rPr>
      </w:pPr>
    </w:p>
    <w:p w14:paraId="23A05F1E">
      <w:pPr>
        <w:spacing w:line="400" w:lineRule="exact"/>
        <w:ind w:firstLine="420"/>
        <w:rPr>
          <w:rFonts w:ascii="Times New Roman" w:hAnsi="Times New Roman"/>
          <w:color w:val="auto"/>
          <w:szCs w:val="21"/>
          <w:highlight w:val="none"/>
        </w:rPr>
      </w:pPr>
    </w:p>
    <w:p w14:paraId="0C8ABFE7">
      <w:pPr>
        <w:spacing w:line="400" w:lineRule="exact"/>
        <w:ind w:firstLine="420"/>
        <w:rPr>
          <w:rFonts w:ascii="Times New Roman" w:hAnsi="Times New Roman"/>
          <w:color w:val="auto"/>
          <w:szCs w:val="21"/>
          <w:highlight w:val="none"/>
        </w:rPr>
      </w:pPr>
    </w:p>
    <w:p w14:paraId="05AFA52F">
      <w:pPr>
        <w:spacing w:line="400" w:lineRule="exact"/>
        <w:ind w:firstLine="420"/>
        <w:rPr>
          <w:rFonts w:ascii="Times New Roman" w:hAnsi="Times New Roman"/>
          <w:color w:val="auto"/>
          <w:szCs w:val="21"/>
          <w:highlight w:val="none"/>
        </w:rPr>
      </w:pPr>
    </w:p>
    <w:p w14:paraId="739CC00F">
      <w:pPr>
        <w:spacing w:line="400" w:lineRule="exact"/>
        <w:rPr>
          <w:rFonts w:ascii="Times New Roman" w:hAnsi="Times New Roman"/>
          <w:color w:val="auto"/>
          <w:szCs w:val="21"/>
          <w:highlight w:val="none"/>
        </w:rPr>
        <w:sectPr>
          <w:footerReference r:id="rId3" w:type="default"/>
          <w:pgSz w:w="11907" w:h="16839"/>
          <w:pgMar w:top="1440" w:right="1800" w:bottom="1440" w:left="1800" w:header="720" w:footer="720" w:gutter="0"/>
          <w:pgNumType w:start="1"/>
          <w:cols w:space="720" w:num="1"/>
          <w:docGrid w:linePitch="360" w:charSpace="0"/>
        </w:sectPr>
      </w:pPr>
    </w:p>
    <w:p w14:paraId="21F012B8">
      <w:pPr>
        <w:keepNext/>
        <w:spacing w:line="360" w:lineRule="auto"/>
        <w:jc w:val="center"/>
        <w:outlineLvl w:val="0"/>
        <w:rPr>
          <w:rFonts w:ascii="Times New Roman" w:hAnsi="Times New Roman"/>
          <w:b/>
          <w:bCs/>
          <w:color w:val="auto"/>
          <w:sz w:val="36"/>
          <w:szCs w:val="36"/>
          <w:highlight w:val="none"/>
        </w:rPr>
      </w:pPr>
      <w:bookmarkStart w:id="6" w:name="_Toc23767"/>
      <w:r>
        <w:rPr>
          <w:rFonts w:ascii="Times New Roman" w:hAnsi="Times New Roman"/>
          <w:b/>
          <w:bCs/>
          <w:color w:val="auto"/>
          <w:sz w:val="36"/>
          <w:szCs w:val="36"/>
          <w:highlight w:val="none"/>
        </w:rPr>
        <w:t>第一章</w:t>
      </w:r>
      <w:bookmarkEnd w:id="0"/>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磋商邀请</w:t>
      </w:r>
      <w:bookmarkEnd w:id="6"/>
    </w:p>
    <w:p w14:paraId="04155F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olor w:val="auto"/>
          <w:sz w:val="24"/>
          <w:szCs w:val="24"/>
          <w:highlight w:val="none"/>
        </w:rPr>
      </w:pPr>
      <w:r>
        <w:rPr>
          <w:rFonts w:ascii="Times New Roman" w:hAnsi="Times New Roman"/>
          <w:color w:val="auto"/>
          <w:sz w:val="24"/>
          <w:szCs w:val="24"/>
          <w:highlight w:val="none"/>
        </w:rPr>
        <w:t>受</w:t>
      </w:r>
      <w:r>
        <w:rPr>
          <w:rFonts w:hint="eastAsia" w:ascii="Times New Roman" w:hAnsi="Times New Roman"/>
          <w:b/>
          <w:bCs/>
          <w:color w:val="auto"/>
          <w:sz w:val="24"/>
          <w:szCs w:val="24"/>
          <w:highlight w:val="none"/>
          <w:lang w:eastAsia="zh-CN"/>
        </w:rPr>
        <w:t>南通博物苑</w:t>
      </w:r>
      <w:r>
        <w:rPr>
          <w:rFonts w:ascii="Times New Roman" w:hAnsi="Times New Roman"/>
          <w:color w:val="auto"/>
          <w:sz w:val="24"/>
          <w:szCs w:val="24"/>
          <w:highlight w:val="none"/>
        </w:rPr>
        <w:t>的委托，</w:t>
      </w:r>
      <w:r>
        <w:rPr>
          <w:rFonts w:hint="eastAsia" w:ascii="Times New Roman" w:hAnsi="Times New Roman"/>
          <w:b/>
          <w:bCs/>
          <w:color w:val="auto"/>
          <w:sz w:val="24"/>
          <w:szCs w:val="24"/>
          <w:highlight w:val="none"/>
          <w:lang w:eastAsia="zh-CN"/>
        </w:rPr>
        <w:t>江苏广和工程咨询有限公司</w:t>
      </w:r>
      <w:r>
        <w:rPr>
          <w:rFonts w:ascii="Times New Roman" w:hAnsi="Times New Roman"/>
          <w:color w:val="auto"/>
          <w:sz w:val="24"/>
          <w:szCs w:val="24"/>
          <w:highlight w:val="none"/>
        </w:rPr>
        <w:t>就</w:t>
      </w:r>
      <w:r>
        <w:rPr>
          <w:rFonts w:hint="eastAsia" w:ascii="宋体" w:hAnsi="宋体" w:cs="宋体"/>
          <w:b/>
          <w:bCs/>
          <w:color w:val="auto"/>
          <w:sz w:val="24"/>
          <w:szCs w:val="24"/>
          <w:highlight w:val="none"/>
          <w:lang w:eastAsia="zh-CN"/>
        </w:rPr>
        <w:t>南通博物苑九曲桥修复工程</w:t>
      </w:r>
      <w:r>
        <w:rPr>
          <w:rFonts w:hint="eastAsia" w:ascii="宋体" w:hAnsi="宋体"/>
          <w:bCs/>
          <w:color w:val="auto"/>
          <w:sz w:val="24"/>
          <w:szCs w:val="24"/>
          <w:highlight w:val="none"/>
        </w:rPr>
        <w:t>(项目编号：</w:t>
      </w:r>
      <w:r>
        <w:rPr>
          <w:rFonts w:hint="eastAsia" w:ascii="宋体" w:hAnsi="宋体"/>
          <w:bCs/>
          <w:color w:val="auto"/>
          <w:sz w:val="24"/>
          <w:szCs w:val="24"/>
          <w:highlight w:val="none"/>
          <w:lang w:val="en-US" w:eastAsia="zh-CN"/>
        </w:rPr>
        <w:t xml:space="preserve">JSZC-320600-JSGH-C2025-0010 </w:t>
      </w:r>
      <w:r>
        <w:rPr>
          <w:rFonts w:hint="eastAsia" w:ascii="宋体" w:hAnsi="宋体"/>
          <w:bCs/>
          <w:color w:val="auto"/>
          <w:sz w:val="24"/>
          <w:szCs w:val="24"/>
          <w:highlight w:val="none"/>
        </w:rPr>
        <w:t>)</w:t>
      </w:r>
      <w:r>
        <w:rPr>
          <w:rFonts w:ascii="Times New Roman" w:hAnsi="Times New Roman"/>
          <w:color w:val="auto"/>
          <w:sz w:val="24"/>
          <w:szCs w:val="24"/>
          <w:highlight w:val="none"/>
        </w:rPr>
        <w:t>进行竞争性磋商采购，欢迎符合条件的供应商参加磋商。</w:t>
      </w:r>
    </w:p>
    <w:p w14:paraId="5C4127C6">
      <w:pPr>
        <w:pBdr>
          <w:top w:val="single" w:color="auto" w:sz="4" w:space="1"/>
          <w:left w:val="single" w:color="auto" w:sz="4" w:space="4"/>
          <w:bottom w:val="single" w:color="auto" w:sz="4" w:space="1"/>
          <w:right w:val="single" w:color="auto" w:sz="4" w:space="4"/>
        </w:pBd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项目概况</w:t>
      </w:r>
    </w:p>
    <w:p w14:paraId="00E3032A">
      <w:pPr>
        <w:pBdr>
          <w:top w:val="single" w:color="auto" w:sz="4" w:space="1"/>
          <w:left w:val="single" w:color="auto" w:sz="4" w:space="4"/>
          <w:bottom w:val="single" w:color="auto" w:sz="4" w:space="1"/>
          <w:right w:val="single" w:color="auto" w:sz="4" w:space="4"/>
        </w:pBdr>
        <w:spacing w:line="360" w:lineRule="auto"/>
        <w:ind w:firstLine="480"/>
        <w:rPr>
          <w:rFonts w:ascii="Times New Roman" w:hAnsi="Times New Roman"/>
          <w:b/>
          <w:bCs/>
          <w:color w:val="auto"/>
          <w:sz w:val="24"/>
          <w:szCs w:val="24"/>
          <w:highlight w:val="none"/>
        </w:rPr>
      </w:pPr>
      <w:r>
        <w:rPr>
          <w:rFonts w:hint="eastAsia" w:ascii="宋体" w:hAnsi="宋体" w:cs="宋体"/>
          <w:color w:val="auto"/>
          <w:sz w:val="24"/>
          <w:szCs w:val="24"/>
          <w:highlight w:val="none"/>
          <w:u w:val="single"/>
          <w:lang w:eastAsia="zh-CN"/>
        </w:rPr>
        <w:t>南通博物苑九曲桥修复工程</w:t>
      </w:r>
      <w:r>
        <w:rPr>
          <w:rFonts w:hint="eastAsia" w:ascii="宋体" w:hAnsi="宋体" w:eastAsia="宋体" w:cs="宋体"/>
          <w:color w:val="auto"/>
          <w:sz w:val="24"/>
          <w:szCs w:val="24"/>
          <w:highlight w:val="none"/>
          <w:u w:val="single"/>
          <w:lang w:val="en-US" w:eastAsia="zh-CN"/>
        </w:rPr>
        <w:t xml:space="preserve"> </w:t>
      </w:r>
      <w:r>
        <w:rPr>
          <w:rFonts w:ascii="Times New Roman" w:hAnsi="Times New Roman"/>
          <w:color w:val="auto"/>
          <w:sz w:val="24"/>
          <w:szCs w:val="24"/>
          <w:highlight w:val="none"/>
        </w:rPr>
        <w:t>竞争性磋商项目的潜在供应商可在</w:t>
      </w:r>
      <w:r>
        <w:rPr>
          <w:rFonts w:ascii="Times New Roman" w:hAnsi="Times New Roman"/>
          <w:color w:val="auto"/>
          <w:sz w:val="24"/>
          <w:szCs w:val="24"/>
          <w:highlight w:val="none"/>
          <w:u w:val="single"/>
        </w:rPr>
        <w:t>“江苏政府采购网”</w:t>
      </w:r>
      <w:r>
        <w:rPr>
          <w:rFonts w:ascii="Times New Roman" w:hAnsi="Times New Roman"/>
          <w:color w:val="auto"/>
          <w:sz w:val="24"/>
          <w:szCs w:val="24"/>
          <w:highlight w:val="none"/>
          <w:u w:val="none"/>
        </w:rPr>
        <w:t>自行免费下载</w:t>
      </w:r>
      <w:r>
        <w:rPr>
          <w:rFonts w:ascii="Times New Roman" w:hAnsi="Times New Roman"/>
          <w:color w:val="auto"/>
          <w:sz w:val="24"/>
          <w:szCs w:val="24"/>
          <w:highlight w:val="none"/>
        </w:rPr>
        <w:t>磋商文件，</w:t>
      </w:r>
      <w:r>
        <w:rPr>
          <w:rFonts w:ascii="Times New Roman" w:hAnsi="Times New Roman"/>
          <w:b/>
          <w:bCs/>
          <w:color w:val="auto"/>
          <w:sz w:val="24"/>
          <w:szCs w:val="24"/>
          <w:highlight w:val="none"/>
        </w:rPr>
        <w:t>并于</w:t>
      </w:r>
      <w:r>
        <w:rPr>
          <w:rFonts w:ascii="Times New Roman" w:hAnsi="Times New Roman"/>
          <w:b/>
          <w:bCs/>
          <w:color w:val="auto"/>
          <w:sz w:val="24"/>
          <w:szCs w:val="24"/>
          <w:highlight w:val="none"/>
          <w:u w:val="single"/>
        </w:rPr>
        <w:t xml:space="preserve"> 202</w:t>
      </w:r>
      <w:r>
        <w:rPr>
          <w:rFonts w:hint="eastAsia" w:ascii="Times New Roman" w:hAnsi="Times New Roman"/>
          <w:b/>
          <w:bCs/>
          <w:color w:val="auto"/>
          <w:sz w:val="24"/>
          <w:szCs w:val="24"/>
          <w:highlight w:val="none"/>
          <w:u w:val="single"/>
          <w:lang w:val="en-US" w:eastAsia="zh-CN"/>
        </w:rPr>
        <w:t>5</w:t>
      </w:r>
      <w:r>
        <w:rPr>
          <w:rFonts w:ascii="Times New Roman" w:hAnsi="Times New Roman"/>
          <w:b/>
          <w:bCs/>
          <w:color w:val="auto"/>
          <w:sz w:val="24"/>
          <w:szCs w:val="24"/>
          <w:highlight w:val="none"/>
          <w:u w:val="single"/>
        </w:rPr>
        <w:t>年</w:t>
      </w:r>
      <w:r>
        <w:rPr>
          <w:rFonts w:hint="eastAsia" w:ascii="Times New Roman" w:hAnsi="Times New Roman"/>
          <w:b/>
          <w:bCs/>
          <w:color w:val="auto"/>
          <w:sz w:val="24"/>
          <w:szCs w:val="24"/>
          <w:highlight w:val="none"/>
          <w:u w:val="single"/>
          <w:lang w:val="en-US" w:eastAsia="zh-CN"/>
        </w:rPr>
        <w:t>04月07日9</w:t>
      </w:r>
      <w:r>
        <w:rPr>
          <w:rFonts w:ascii="Times New Roman" w:hAnsi="Times New Roman"/>
          <w:b/>
          <w:bCs/>
          <w:color w:val="auto"/>
          <w:sz w:val="24"/>
          <w:szCs w:val="24"/>
          <w:highlight w:val="none"/>
          <w:u w:val="single"/>
        </w:rPr>
        <w:t>点</w:t>
      </w:r>
      <w:r>
        <w:rPr>
          <w:rFonts w:hint="eastAsia" w:ascii="Times New Roman" w:hAnsi="Times New Roman"/>
          <w:b/>
          <w:bCs/>
          <w:color w:val="auto"/>
          <w:sz w:val="24"/>
          <w:szCs w:val="24"/>
          <w:highlight w:val="none"/>
          <w:u w:val="single"/>
          <w:lang w:val="en-US" w:eastAsia="zh-CN"/>
        </w:rPr>
        <w:t>3</w:t>
      </w:r>
      <w:r>
        <w:rPr>
          <w:rFonts w:ascii="Times New Roman" w:hAnsi="Times New Roman"/>
          <w:b/>
          <w:bCs/>
          <w:color w:val="auto"/>
          <w:sz w:val="24"/>
          <w:szCs w:val="24"/>
          <w:highlight w:val="none"/>
          <w:u w:val="single"/>
        </w:rPr>
        <w:t>0分（</w:t>
      </w:r>
      <w:r>
        <w:rPr>
          <w:rFonts w:ascii="Times New Roman" w:hAnsi="Times New Roman"/>
          <w:b/>
          <w:bCs/>
          <w:color w:val="auto"/>
          <w:sz w:val="24"/>
          <w:szCs w:val="24"/>
          <w:highlight w:val="none"/>
        </w:rPr>
        <w:t>北京时间）前递交响应文件。</w:t>
      </w:r>
    </w:p>
    <w:p w14:paraId="2A6D64D4">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ascii="Times New Roman" w:hAnsi="Times New Roman"/>
          <w:b/>
          <w:bCs/>
          <w:color w:val="auto"/>
          <w:sz w:val="32"/>
          <w:szCs w:val="32"/>
          <w:highlight w:val="none"/>
        </w:rPr>
      </w:pPr>
      <w:bookmarkStart w:id="7" w:name="_Toc35393621"/>
      <w:bookmarkStart w:id="8" w:name="_Toc38985263"/>
      <w:bookmarkStart w:id="9" w:name="_Toc28359079"/>
      <w:bookmarkStart w:id="10" w:name="_Toc35393790"/>
      <w:bookmarkStart w:id="11" w:name="_Toc28359002"/>
      <w:bookmarkStart w:id="12" w:name="_Hlk24379207"/>
      <w:r>
        <w:rPr>
          <w:rFonts w:ascii="Times New Roman" w:hAnsi="Times New Roman"/>
          <w:b/>
          <w:bCs/>
          <w:color w:val="auto"/>
          <w:sz w:val="32"/>
          <w:szCs w:val="32"/>
          <w:highlight w:val="none"/>
        </w:rPr>
        <w:t>一、项目基本情况</w:t>
      </w:r>
      <w:bookmarkEnd w:id="7"/>
      <w:bookmarkEnd w:id="8"/>
      <w:bookmarkEnd w:id="9"/>
      <w:bookmarkEnd w:id="10"/>
      <w:bookmarkEnd w:id="11"/>
    </w:p>
    <w:p w14:paraId="2578ABC1">
      <w:pPr>
        <w:spacing w:line="360" w:lineRule="auto"/>
        <w:ind w:firstLine="480"/>
        <w:contextualSpacing/>
        <w:rPr>
          <w:rFonts w:hint="default" w:ascii="Times New Roman" w:hAnsi="Times New Roman"/>
          <w:color w:val="auto"/>
          <w:sz w:val="24"/>
          <w:szCs w:val="24"/>
          <w:highlight w:val="none"/>
          <w:lang w:val="en-US"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default" w:ascii="Times New Roman" w:hAnsi="Times New Roman"/>
          <w:color w:val="auto"/>
          <w:sz w:val="24"/>
          <w:szCs w:val="24"/>
          <w:highlight w:val="none"/>
          <w:lang w:val="zh-CN" w:eastAsia="zh-CN"/>
        </w:rPr>
        <w:t>项目编号：JSZC-320600-JSGH-C2025-0010</w:t>
      </w:r>
    </w:p>
    <w:p w14:paraId="53AC8BBE">
      <w:pPr>
        <w:spacing w:line="360" w:lineRule="auto"/>
        <w:ind w:firstLine="480"/>
        <w:contextualSpacing/>
        <w:rPr>
          <w:rFonts w:ascii="Times New Roman" w:hAnsi="Times New Roman"/>
          <w:color w:val="auto"/>
          <w:sz w:val="24"/>
          <w:szCs w:val="24"/>
          <w:highlight w:val="none"/>
          <w:lang w:val="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w:t>
      </w:r>
      <w:r>
        <w:rPr>
          <w:rFonts w:ascii="Times New Roman" w:hAnsi="Times New Roman"/>
          <w:color w:val="auto"/>
          <w:sz w:val="24"/>
          <w:szCs w:val="24"/>
          <w:highlight w:val="none"/>
          <w:lang w:val="zh-CN"/>
        </w:rPr>
        <w:t>项目名称：</w:t>
      </w:r>
      <w:bookmarkEnd w:id="12"/>
      <w:r>
        <w:rPr>
          <w:rFonts w:hint="eastAsia" w:ascii="宋体" w:hAnsi="宋体" w:cs="宋体"/>
          <w:color w:val="auto"/>
          <w:sz w:val="24"/>
          <w:szCs w:val="24"/>
          <w:highlight w:val="none"/>
          <w:lang w:eastAsia="zh-CN"/>
        </w:rPr>
        <w:t>南通博物苑九曲桥修复工程</w:t>
      </w:r>
    </w:p>
    <w:p w14:paraId="5CC2ECCE">
      <w:pPr>
        <w:adjustRightInd w:val="0"/>
        <w:snapToGrid w:val="0"/>
        <w:spacing w:line="360" w:lineRule="auto"/>
        <w:ind w:firstLine="480" w:firstLineChars="200"/>
        <w:rPr>
          <w:rFonts w:hint="eastAsia" w:ascii="宋体" w:hAnsi="宋体"/>
          <w:color w:val="auto"/>
          <w:sz w:val="24"/>
          <w:szCs w:val="24"/>
          <w:highlight w:val="none"/>
        </w:rPr>
      </w:pPr>
      <w:bookmarkStart w:id="13" w:name="_Toc28359003"/>
      <w:bookmarkStart w:id="14" w:name="_Toc38985264"/>
      <w:bookmarkStart w:id="15" w:name="_Toc35393791"/>
      <w:bookmarkStart w:id="16" w:name="_Toc35393622"/>
      <w:bookmarkStart w:id="17" w:name="_Toc28359080"/>
      <w:r>
        <w:rPr>
          <w:rFonts w:hint="eastAsia" w:ascii="宋体" w:hAnsi="宋体"/>
          <w:color w:val="auto"/>
          <w:sz w:val="24"/>
          <w:szCs w:val="24"/>
          <w:highlight w:val="none"/>
        </w:rPr>
        <w:t>3.所属行业：建筑业</w:t>
      </w:r>
    </w:p>
    <w:p w14:paraId="677FAC88">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4.预算金额：35</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1975.71</w:t>
      </w:r>
      <w:r>
        <w:rPr>
          <w:rFonts w:hint="eastAsia" w:ascii="宋体" w:hAnsi="宋体"/>
          <w:bCs/>
          <w:color w:val="auto"/>
          <w:sz w:val="24"/>
          <w:szCs w:val="24"/>
          <w:highlight w:val="none"/>
          <w:lang w:val="zh-CN"/>
        </w:rPr>
        <w:t>元</w:t>
      </w:r>
    </w:p>
    <w:p w14:paraId="3D2E177B">
      <w:pPr>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5.最高限价：3521975.71元</w:t>
      </w:r>
    </w:p>
    <w:p w14:paraId="187C7FDC">
      <w:pPr>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rPr>
        <w:t>6.采购需求：</w:t>
      </w:r>
      <w:r>
        <w:rPr>
          <w:rFonts w:hint="eastAsia" w:ascii="宋体" w:hAnsi="宋体"/>
          <w:color w:val="auto"/>
          <w:sz w:val="24"/>
          <w:szCs w:val="24"/>
          <w:highlight w:val="none"/>
          <w:lang w:eastAsia="zh-CN"/>
        </w:rPr>
        <w:t>南通博物苑九曲桥修复工程</w:t>
      </w:r>
      <w:r>
        <w:rPr>
          <w:rFonts w:hint="eastAsia" w:ascii="宋体" w:hAnsi="宋体"/>
          <w:color w:val="auto"/>
          <w:sz w:val="24"/>
          <w:szCs w:val="24"/>
          <w:highlight w:val="none"/>
        </w:rPr>
        <w:t>施工图及清单范围内的</w:t>
      </w:r>
      <w:r>
        <w:rPr>
          <w:rFonts w:hint="eastAsia" w:ascii="宋体" w:hAnsi="宋体"/>
          <w:color w:val="auto"/>
          <w:sz w:val="24"/>
          <w:szCs w:val="24"/>
          <w:highlight w:val="none"/>
          <w:lang w:val="en-US" w:eastAsia="zh-CN"/>
        </w:rPr>
        <w:t>修复</w:t>
      </w:r>
      <w:r>
        <w:rPr>
          <w:rFonts w:hint="eastAsia" w:ascii="宋体" w:hAnsi="宋体"/>
          <w:color w:val="auto"/>
          <w:sz w:val="24"/>
          <w:szCs w:val="24"/>
          <w:highlight w:val="none"/>
        </w:rPr>
        <w:t>等，详见</w:t>
      </w:r>
      <w:r>
        <w:rPr>
          <w:rFonts w:hint="eastAsia" w:ascii="宋体" w:hAnsi="宋体"/>
          <w:color w:val="auto"/>
          <w:sz w:val="24"/>
          <w:szCs w:val="24"/>
          <w:highlight w:val="none"/>
          <w:lang w:val="en-US" w:eastAsia="zh-CN"/>
        </w:rPr>
        <w:t>磋商</w:t>
      </w:r>
      <w:r>
        <w:rPr>
          <w:rFonts w:hint="eastAsia" w:ascii="宋体" w:hAnsi="宋体"/>
          <w:color w:val="auto"/>
          <w:sz w:val="24"/>
          <w:szCs w:val="24"/>
          <w:highlight w:val="none"/>
        </w:rPr>
        <w:t>文件第四章，请仔细研究。</w:t>
      </w:r>
    </w:p>
    <w:p w14:paraId="3113FB98">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7.合同履行期限：</w:t>
      </w:r>
      <w:r>
        <w:rPr>
          <w:rFonts w:hint="eastAsia" w:ascii="宋体" w:hAnsi="宋体"/>
          <w:color w:val="auto"/>
          <w:sz w:val="24"/>
          <w:szCs w:val="24"/>
          <w:highlight w:val="none"/>
          <w:u w:val="single"/>
          <w:lang w:val="en-US" w:eastAsia="zh-CN"/>
        </w:rPr>
        <w:t xml:space="preserve"> 100</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w:t>
      </w:r>
    </w:p>
    <w:p w14:paraId="4696EC69">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二、申请人的资格要求：</w:t>
      </w:r>
      <w:bookmarkEnd w:id="13"/>
      <w:bookmarkEnd w:id="14"/>
      <w:bookmarkEnd w:id="15"/>
      <w:bookmarkEnd w:id="16"/>
      <w:bookmarkEnd w:id="17"/>
    </w:p>
    <w:p w14:paraId="01E3D0C7">
      <w:pPr>
        <w:spacing w:line="360" w:lineRule="auto"/>
        <w:ind w:firstLine="480"/>
        <w:rPr>
          <w:rFonts w:ascii="Times New Roman" w:hAnsi="Times New Roman"/>
          <w:color w:val="auto"/>
          <w:sz w:val="24"/>
          <w:szCs w:val="24"/>
          <w:highlight w:val="none"/>
        </w:rPr>
      </w:pPr>
      <w:bookmarkStart w:id="18" w:name="_Toc28359081"/>
      <w:bookmarkStart w:id="19" w:name="_Toc35393623"/>
      <w:bookmarkStart w:id="20" w:name="_Toc28359004"/>
      <w:bookmarkStart w:id="21" w:name="_Toc35393792"/>
      <w:bookmarkStart w:id="22" w:name="_Toc38985265"/>
      <w:r>
        <w:rPr>
          <w:rFonts w:ascii="Times New Roman" w:hAnsi="Times New Roman"/>
          <w:color w:val="auto"/>
          <w:sz w:val="24"/>
          <w:szCs w:val="24"/>
          <w:highlight w:val="none"/>
        </w:rPr>
        <w:t>（一）通用资格要求</w:t>
      </w:r>
    </w:p>
    <w:p w14:paraId="304D255A">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hint="eastAsia" w:ascii="宋体" w:hAnsi="宋体"/>
          <w:color w:val="auto"/>
          <w:sz w:val="24"/>
          <w:szCs w:val="24"/>
          <w:highlight w:val="none"/>
        </w:rPr>
        <w:t>.</w:t>
      </w:r>
      <w:r>
        <w:rPr>
          <w:rFonts w:ascii="Times New Roman" w:hAnsi="Times New Roman"/>
          <w:color w:val="auto"/>
          <w:sz w:val="24"/>
          <w:szCs w:val="24"/>
          <w:highlight w:val="none"/>
        </w:rPr>
        <w:t>满足《中华人民共和国政府采购法》第二十二条规定。</w:t>
      </w:r>
    </w:p>
    <w:p w14:paraId="6AC53B78">
      <w:pPr>
        <w:spacing w:line="360" w:lineRule="auto"/>
        <w:ind w:firstLine="480"/>
        <w:rPr>
          <w:rFonts w:ascii="Times New Roman" w:hAnsi="Times New Roman" w:eastAsia="华文新魏"/>
          <w:color w:val="auto"/>
          <w:sz w:val="36"/>
          <w:szCs w:val="36"/>
          <w:highlight w:val="none"/>
        </w:rPr>
      </w:pPr>
      <w:r>
        <w:rPr>
          <w:rFonts w:ascii="Times New Roman" w:hAnsi="Times New Roman"/>
          <w:color w:val="auto"/>
          <w:sz w:val="24"/>
          <w:szCs w:val="24"/>
          <w:highlight w:val="none"/>
        </w:rPr>
        <w:t>2</w:t>
      </w:r>
      <w:r>
        <w:rPr>
          <w:rFonts w:hint="eastAsia" w:ascii="宋体" w:hAnsi="宋体"/>
          <w:color w:val="auto"/>
          <w:sz w:val="24"/>
          <w:szCs w:val="24"/>
          <w:highlight w:val="none"/>
        </w:rPr>
        <w:t>.</w:t>
      </w:r>
      <w:r>
        <w:rPr>
          <w:rFonts w:ascii="Times New Roman" w:hAnsi="Times New Roman"/>
          <w:color w:val="auto"/>
          <w:sz w:val="24"/>
          <w:szCs w:val="24"/>
          <w:highlight w:val="none"/>
        </w:rPr>
        <w:t>在“信用中国”网站（www.creditchina.gov.cn）查询，无被列入失信被执行人、重大税收违法案件当事人名单、政府采购严重失信行为记录名单及其他不符合《中华人民共和国政府采购法》第二十二条规定条件的信用记录。</w:t>
      </w:r>
    </w:p>
    <w:p w14:paraId="06046D88">
      <w:pPr>
        <w:keepNext w:val="0"/>
        <w:keepLines w:val="0"/>
        <w:pageBreakBefore w:val="0"/>
        <w:spacing w:line="360" w:lineRule="auto"/>
        <w:ind w:firstLine="482"/>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3</w:t>
      </w:r>
      <w:r>
        <w:rPr>
          <w:rFonts w:hint="eastAsia" w:ascii="宋体" w:hAnsi="宋体"/>
          <w:color w:val="auto"/>
          <w:sz w:val="24"/>
          <w:szCs w:val="24"/>
          <w:highlight w:val="none"/>
        </w:rPr>
        <w:t>.</w:t>
      </w:r>
      <w:r>
        <w:rPr>
          <w:rFonts w:hint="eastAsia" w:ascii="Times New Roman" w:hAnsi="Times New Roman" w:eastAsia="宋体" w:cs="Times New Roman"/>
          <w:b w:val="0"/>
          <w:bCs w:val="0"/>
          <w:color w:val="auto"/>
          <w:sz w:val="24"/>
          <w:szCs w:val="24"/>
          <w:highlight w:val="none"/>
        </w:rPr>
        <w:t>落实政府采购政策需满足的资格要求：</w:t>
      </w:r>
    </w:p>
    <w:p w14:paraId="30541B02">
      <w:pPr>
        <w:adjustRightInd w:val="0"/>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3.1 本项目专门面向中小企业，不享受价格扣除优惠政策。供应商应为中小微企业、监狱企业或残疾人福利性单位，并按照</w:t>
      </w:r>
      <w:r>
        <w:rPr>
          <w:rFonts w:hint="eastAsia" w:ascii="宋体" w:hAnsi="宋体"/>
          <w:color w:val="auto"/>
          <w:sz w:val="24"/>
          <w:szCs w:val="24"/>
          <w:highlight w:val="none"/>
          <w:u w:val="single"/>
          <w:lang w:val="en-US" w:eastAsia="zh-CN"/>
        </w:rPr>
        <w:t>采购</w:t>
      </w:r>
      <w:r>
        <w:rPr>
          <w:rFonts w:hint="eastAsia" w:ascii="宋体" w:hAnsi="宋体"/>
          <w:color w:val="auto"/>
          <w:sz w:val="24"/>
          <w:szCs w:val="24"/>
          <w:highlight w:val="none"/>
          <w:u w:val="single"/>
        </w:rPr>
        <w:t>文件要求提供《中小企业声明函》、《残疾人福利性单位声明函》或监狱和戒毒所企业证明材料。</w:t>
      </w:r>
    </w:p>
    <w:p w14:paraId="224D4EC6">
      <w:pPr>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4.本项目不接受联合体投标。</w:t>
      </w:r>
    </w:p>
    <w:p w14:paraId="46C0C2C1">
      <w:pPr>
        <w:adjustRightInd w:val="0"/>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5.本项目不接受分包。</w:t>
      </w:r>
    </w:p>
    <w:p w14:paraId="2F2A61F7">
      <w:pPr>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（二）本项目的特定资格要求</w:t>
      </w:r>
    </w:p>
    <w:p w14:paraId="32B0412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1.供应商须具备</w:t>
      </w:r>
      <w:r>
        <w:rPr>
          <w:rFonts w:hint="eastAsia" w:ascii="宋体" w:hAnsi="宋体" w:cs="宋体"/>
          <w:b/>
          <w:bCs/>
          <w:color w:val="auto"/>
          <w:sz w:val="24"/>
          <w:szCs w:val="24"/>
          <w:highlight w:val="none"/>
          <w:u w:val="single"/>
        </w:rPr>
        <w:t>有效的</w:t>
      </w:r>
      <w:r>
        <w:rPr>
          <w:rFonts w:hint="eastAsia" w:ascii="宋体" w:hAnsi="宋体" w:cs="宋体"/>
          <w:b/>
          <w:bCs/>
          <w:color w:val="auto"/>
          <w:sz w:val="24"/>
          <w:szCs w:val="24"/>
          <w:highlight w:val="none"/>
          <w:u w:val="single"/>
          <w:lang w:val="en-US" w:eastAsia="zh-CN"/>
        </w:rPr>
        <w:t>市政公用工程施工总承包叁级及以上资质或水利水电工程施工总承包叁级及以上资质</w:t>
      </w:r>
      <w:r>
        <w:rPr>
          <w:rFonts w:hint="eastAsia" w:ascii="宋体" w:hAnsi="宋体" w:cs="宋体"/>
          <w:b/>
          <w:bCs/>
          <w:color w:val="auto"/>
          <w:sz w:val="24"/>
          <w:szCs w:val="24"/>
          <w:highlight w:val="none"/>
          <w:u w:val="single"/>
        </w:rPr>
        <w:t>，并取得有效的安全生产许可证</w:t>
      </w:r>
      <w:r>
        <w:rPr>
          <w:rFonts w:hint="eastAsia" w:ascii="宋体" w:hAnsi="宋体" w:cs="宋体"/>
          <w:color w:val="auto"/>
          <w:sz w:val="24"/>
          <w:szCs w:val="24"/>
          <w:highlight w:val="none"/>
        </w:rPr>
        <w:t>。</w:t>
      </w:r>
    </w:p>
    <w:p w14:paraId="32933CF3">
      <w:pPr>
        <w:adjustRightInd w:val="0"/>
        <w:snapToGrid w:val="0"/>
        <w:spacing w:line="360" w:lineRule="auto"/>
        <w:ind w:firstLine="480" w:firstLineChars="200"/>
        <w:rPr>
          <w:rFonts w:ascii="宋体" w:hAnsi="宋体" w:cs="宋体"/>
          <w:b/>
          <w:bCs/>
          <w:color w:val="auto"/>
          <w:sz w:val="24"/>
          <w:szCs w:val="24"/>
          <w:highlight w:val="none"/>
          <w:u w:val="single"/>
        </w:rPr>
      </w:pPr>
      <w:r>
        <w:rPr>
          <w:rFonts w:hint="eastAsia" w:ascii="宋体" w:hAnsi="宋体" w:cs="宋体"/>
          <w:color w:val="auto"/>
          <w:sz w:val="24"/>
          <w:szCs w:val="24"/>
          <w:highlight w:val="none"/>
        </w:rPr>
        <w:t>2.供应商拟派项目负责人须具备</w:t>
      </w:r>
      <w:r>
        <w:rPr>
          <w:rFonts w:hint="eastAsia" w:ascii="宋体" w:hAnsi="宋体" w:cs="宋体"/>
          <w:b/>
          <w:bCs/>
          <w:color w:val="auto"/>
          <w:sz w:val="24"/>
          <w:szCs w:val="24"/>
          <w:highlight w:val="none"/>
          <w:u w:val="single"/>
        </w:rPr>
        <w:t>有效的</w:t>
      </w:r>
      <w:r>
        <w:rPr>
          <w:rFonts w:hint="eastAsia" w:ascii="宋体" w:hAnsi="宋体" w:cs="宋体"/>
          <w:b/>
          <w:bCs/>
          <w:color w:val="auto"/>
          <w:sz w:val="24"/>
          <w:szCs w:val="24"/>
          <w:highlight w:val="none"/>
          <w:u w:val="single"/>
          <w:lang w:val="en-US" w:eastAsia="zh-CN"/>
        </w:rPr>
        <w:t>市政公用</w:t>
      </w:r>
      <w:r>
        <w:rPr>
          <w:rFonts w:hint="eastAsia" w:ascii="宋体" w:hAnsi="宋体" w:cs="宋体"/>
          <w:b/>
          <w:bCs/>
          <w:color w:val="auto"/>
          <w:sz w:val="24"/>
          <w:szCs w:val="24"/>
          <w:highlight w:val="none"/>
          <w:u w:val="single"/>
        </w:rPr>
        <w:t>工程专业贰级及以上注册建造师资格</w:t>
      </w:r>
      <w:r>
        <w:rPr>
          <w:rFonts w:hint="eastAsia" w:ascii="宋体" w:hAnsi="宋体" w:cs="宋体"/>
          <w:b/>
          <w:bCs/>
          <w:color w:val="auto"/>
          <w:sz w:val="24"/>
          <w:szCs w:val="24"/>
          <w:highlight w:val="none"/>
          <w:u w:val="single"/>
          <w:lang w:val="en-US" w:eastAsia="zh-CN"/>
        </w:rPr>
        <w:t>或水利水电</w:t>
      </w:r>
      <w:r>
        <w:rPr>
          <w:rFonts w:hint="eastAsia" w:ascii="宋体" w:hAnsi="宋体" w:cs="宋体"/>
          <w:b/>
          <w:bCs/>
          <w:color w:val="auto"/>
          <w:sz w:val="24"/>
          <w:szCs w:val="24"/>
          <w:highlight w:val="none"/>
          <w:u w:val="single"/>
        </w:rPr>
        <w:t>工程专业贰级及以上注册建造师资格，同时具有建筑施工企业安全生产考核合格证书（B证）。以上证书的注册单位均须为本供应商，且必须满足下列条件：</w:t>
      </w:r>
    </w:p>
    <w:p w14:paraId="799AA4F7">
      <w:pPr>
        <w:adjustRightInd w:val="0"/>
        <w:snapToGrid w:val="0"/>
        <w:spacing w:line="360" w:lineRule="auto"/>
        <w:ind w:firstLine="482" w:firstLineChars="200"/>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(1)项目负责人不得同时在两个或者两个以上单位受聘或者执业。</w:t>
      </w:r>
    </w:p>
    <w:p w14:paraId="7439D27C">
      <w:pPr>
        <w:adjustRightInd w:val="0"/>
        <w:snapToGrid w:val="0"/>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采购的工程属于同一工程项目、同一项目批文、同一施工地点分段发包或分期施工的情况且总的工程规模在项目负责人执业范围之内。</w:t>
      </w:r>
    </w:p>
    <w:p w14:paraId="2D9BA028">
      <w:pPr>
        <w:adjustRightInd w:val="0"/>
        <w:snapToGrid w:val="0"/>
        <w:spacing w:line="360" w:lineRule="auto"/>
        <w:ind w:firstLine="482" w:firstLineChars="200"/>
        <w:rPr>
          <w:rFonts w:hint="eastAsia" w:ascii="宋体" w:hAnsi="宋体" w:eastAsia="宋体" w:cs="宋体"/>
          <w:b/>
          <w:bCs/>
          <w:color w:val="auto"/>
          <w:sz w:val="24"/>
          <w:szCs w:val="24"/>
          <w:highlight w:val="none"/>
          <w:u w:val="single"/>
        </w:rPr>
      </w:pPr>
      <w:r>
        <w:rPr>
          <w:rFonts w:hint="eastAsia" w:ascii="宋体" w:hAnsi="宋体" w:eastAsia="宋体" w:cs="宋体"/>
          <w:b/>
          <w:bCs/>
          <w:color w:val="auto"/>
          <w:sz w:val="24"/>
          <w:szCs w:val="24"/>
          <w:highlight w:val="none"/>
          <w:u w:val="single"/>
        </w:rPr>
        <w:t>注：①拟派项目负责人为供应商的正式员工</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提供有效的响应供应商与拟派项目负责人双方签订的有效劳动合同书</w:t>
      </w:r>
      <w:r>
        <w:rPr>
          <w:rFonts w:hint="eastAsia" w:ascii="宋体" w:hAnsi="宋体" w:eastAsia="宋体" w:cs="宋体"/>
          <w:b/>
          <w:bCs/>
          <w:color w:val="auto"/>
          <w:sz w:val="24"/>
          <w:szCs w:val="24"/>
          <w:highlight w:val="none"/>
          <w:u w:val="single"/>
          <w:lang w:val="en-US" w:eastAsia="zh-CN"/>
        </w:rPr>
        <w:t>及养老保险缴纳证明材料（供应商为其缴纳的响应截止时间前三个月（不含响应截止时间当月）中至少一个月的养老保险缴纳证明材料（若为响应截止时间当月新开办企业，则无需提供））</w:t>
      </w:r>
      <w:r>
        <w:rPr>
          <w:rFonts w:hint="eastAsia" w:ascii="宋体" w:hAnsi="宋体" w:eastAsia="宋体" w:cs="宋体"/>
          <w:b/>
          <w:bCs/>
          <w:color w:val="auto"/>
          <w:sz w:val="24"/>
          <w:szCs w:val="24"/>
          <w:highlight w:val="none"/>
          <w:u w:val="single"/>
        </w:rPr>
        <w:t>；</w:t>
      </w:r>
    </w:p>
    <w:p w14:paraId="24A766E0">
      <w:pPr>
        <w:adjustRightInd w:val="0"/>
        <w:snapToGrid w:val="0"/>
        <w:spacing w:line="360" w:lineRule="auto"/>
        <w:ind w:firstLine="482" w:firstLineChars="200"/>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②拟派项目负责人须根据《住房和城乡建设部办公厅关于全面实行一级建造师电子注册证书的通知》(建办市(2021)40号)、《省住房和城乡建设厅关于我省二级建造师、二级造价工程师、二级注册建筑师、二级注册结构工程师注册证书电子证照换发的公告》((2023)第 26号)的规定文件要求执行，其他省份二级建造师注册证书按当地相关规定执行，否则不予认可。</w:t>
      </w:r>
    </w:p>
    <w:p w14:paraId="42857636">
      <w:pPr>
        <w:numPr>
          <w:ilvl w:val="0"/>
          <w:numId w:val="0"/>
        </w:numPr>
        <w:adjustRightInd w:val="0"/>
        <w:snapToGrid w:val="0"/>
        <w:spacing w:line="360" w:lineRule="auto"/>
        <w:ind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w:t>
      </w:r>
      <w:r>
        <w:rPr>
          <w:rFonts w:hint="eastAsia" w:ascii="宋体" w:hAnsi="宋体" w:cs="宋体"/>
          <w:color w:val="auto"/>
          <w:sz w:val="24"/>
          <w:szCs w:val="24"/>
          <w:highlight w:val="none"/>
        </w:rPr>
        <w:t>根据《关于在我省国有资金投资工程建设项目招标投标中应用建筑企业资质动态监管结果有关要求的通知》（苏建招办【2022】2号）文件要求，供应商在响应文件递交截止时间当日，建筑业企业资质（仅指本项目要求的资质）动态监管结果不处于不合格状态。注：供应商某项被核查为不合格的资质，不得参</w:t>
      </w:r>
      <w:r>
        <w:rPr>
          <w:rFonts w:hint="eastAsia" w:ascii="宋体" w:hAnsi="宋体" w:eastAsia="宋体" w:cs="宋体"/>
          <w:color w:val="auto"/>
          <w:kern w:val="0"/>
          <w:sz w:val="24"/>
          <w:szCs w:val="24"/>
          <w:highlight w:val="none"/>
          <w:lang w:val="en-US" w:eastAsia="zh-CN" w:bidi="ar-SA"/>
        </w:rPr>
        <w:t>加该资质的招投标、合同备案等经营活动。</w:t>
      </w:r>
    </w:p>
    <w:p w14:paraId="5050ACD5">
      <w:pPr>
        <w:keepNext/>
        <w:keepLines/>
        <w:spacing w:before="120" w:after="120" w:line="360" w:lineRule="auto"/>
        <w:ind w:firstLine="643"/>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请各潜在供应商引起重视，公告发布之日起自行查询，及时整改，对于在响应文件递交截止时间当日动态监管处于不合格状态的供应商，视为资格审查不通过。查询方式：登录江苏省建筑市场监管与诚信信息一体化平台-企业信息-施工企业-动态监管不合格资质查询。</w:t>
      </w:r>
    </w:p>
    <w:p w14:paraId="51349A94">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ascii="Times New Roman" w:hAnsi="Times New Roman" w:eastAsia="宋体" w:cs="Times New Roman"/>
          <w:b/>
          <w:bCs/>
          <w:color w:val="auto"/>
          <w:sz w:val="32"/>
          <w:szCs w:val="32"/>
          <w:highlight w:val="none"/>
        </w:rPr>
      </w:pPr>
      <w:r>
        <w:rPr>
          <w:rFonts w:ascii="Times New Roman" w:hAnsi="Times New Roman" w:eastAsia="宋体" w:cs="Times New Roman"/>
          <w:b/>
          <w:bCs/>
          <w:color w:val="auto"/>
          <w:sz w:val="32"/>
          <w:szCs w:val="32"/>
          <w:highlight w:val="none"/>
        </w:rPr>
        <w:t>三、获取</w:t>
      </w:r>
      <w:bookmarkEnd w:id="18"/>
      <w:bookmarkEnd w:id="19"/>
      <w:bookmarkEnd w:id="20"/>
      <w:bookmarkEnd w:id="21"/>
      <w:bookmarkEnd w:id="22"/>
      <w:r>
        <w:rPr>
          <w:rFonts w:ascii="Times New Roman" w:hAnsi="Times New Roman" w:eastAsia="宋体" w:cs="Times New Roman"/>
          <w:b/>
          <w:bCs/>
          <w:color w:val="auto"/>
          <w:sz w:val="32"/>
          <w:szCs w:val="32"/>
          <w:highlight w:val="none"/>
        </w:rPr>
        <w:t>采购文件</w:t>
      </w:r>
    </w:p>
    <w:p w14:paraId="1BA5DE18">
      <w:pPr>
        <w:spacing w:line="360" w:lineRule="auto"/>
        <w:ind w:firstLine="480"/>
        <w:jc w:val="left"/>
        <w:rPr>
          <w:rFonts w:ascii="Times New Roman" w:hAnsi="Times New Roman"/>
          <w:color w:val="auto"/>
          <w:sz w:val="24"/>
          <w:szCs w:val="24"/>
          <w:highlight w:val="none"/>
        </w:rPr>
      </w:pPr>
      <w:bookmarkStart w:id="23" w:name="_Toc28359005"/>
      <w:bookmarkStart w:id="24" w:name="_Toc35393793"/>
      <w:bookmarkStart w:id="25" w:name="_Toc28359082"/>
      <w:bookmarkStart w:id="26" w:name="_Toc38985266"/>
      <w:bookmarkStart w:id="27" w:name="_Toc35393624"/>
      <w:r>
        <w:rPr>
          <w:rFonts w:ascii="Times New Roman" w:hAnsi="Times New Roman"/>
          <w:color w:val="auto"/>
          <w:sz w:val="24"/>
          <w:szCs w:val="24"/>
          <w:highlight w:val="none"/>
        </w:rPr>
        <w:t>1</w:t>
      </w:r>
      <w:r>
        <w:rPr>
          <w:rFonts w:hint="eastAsia" w:ascii="宋体" w:hAnsi="宋体" w:eastAsia="宋体" w:cs="宋体"/>
          <w:color w:val="auto"/>
          <w:kern w:val="0"/>
          <w:sz w:val="24"/>
          <w:szCs w:val="24"/>
          <w:highlight w:val="none"/>
          <w:lang w:val="en-US" w:eastAsia="zh-CN" w:bidi="ar-SA"/>
        </w:rPr>
        <w:t>.</w:t>
      </w:r>
      <w:r>
        <w:rPr>
          <w:rFonts w:ascii="Times New Roman" w:hAnsi="Times New Roman"/>
          <w:color w:val="auto"/>
          <w:sz w:val="24"/>
          <w:szCs w:val="24"/>
          <w:highlight w:val="none"/>
        </w:rPr>
        <w:t>时间</w:t>
      </w:r>
      <w:r>
        <w:rPr>
          <w:rFonts w:ascii="Times New Roman" w:hAnsi="Times New Roman"/>
          <w:b/>
          <w:bCs/>
          <w:color w:val="auto"/>
          <w:sz w:val="24"/>
          <w:szCs w:val="24"/>
          <w:highlight w:val="none"/>
        </w:rPr>
        <w:t>：</w:t>
      </w:r>
      <w:r>
        <w:rPr>
          <w:rFonts w:hint="default" w:ascii="Times New Roman" w:hAnsi="Times New Roman"/>
          <w:b/>
          <w:bCs/>
          <w:color w:val="auto"/>
          <w:sz w:val="24"/>
          <w:szCs w:val="24"/>
          <w:highlight w:val="none"/>
        </w:rPr>
        <w:t>自</w:t>
      </w:r>
      <w:r>
        <w:rPr>
          <w:rFonts w:hint="eastAsia" w:ascii="Times New Roman" w:hAnsi="Times New Roman"/>
          <w:b/>
          <w:bCs/>
          <w:color w:val="auto"/>
          <w:sz w:val="24"/>
          <w:szCs w:val="24"/>
          <w:highlight w:val="none"/>
          <w:lang w:val="en-US" w:eastAsia="zh-CN"/>
        </w:rPr>
        <w:t>本</w:t>
      </w:r>
      <w:r>
        <w:rPr>
          <w:rFonts w:hint="default" w:ascii="Times New Roman" w:hAnsi="Times New Roman"/>
          <w:b/>
          <w:bCs/>
          <w:color w:val="auto"/>
          <w:sz w:val="24"/>
          <w:szCs w:val="24"/>
          <w:highlight w:val="none"/>
        </w:rPr>
        <w:t>公告发布之日起至提交</w:t>
      </w:r>
      <w:r>
        <w:rPr>
          <w:rFonts w:hint="eastAsia" w:ascii="Times New Roman" w:hAnsi="Times New Roman"/>
          <w:b/>
          <w:bCs/>
          <w:color w:val="auto"/>
          <w:sz w:val="24"/>
          <w:szCs w:val="24"/>
          <w:highlight w:val="none"/>
          <w:lang w:val="en-US" w:eastAsia="zh-CN"/>
        </w:rPr>
        <w:t>响应</w:t>
      </w:r>
      <w:r>
        <w:rPr>
          <w:rFonts w:hint="default" w:ascii="Times New Roman" w:hAnsi="Times New Roman"/>
          <w:b/>
          <w:bCs/>
          <w:color w:val="auto"/>
          <w:sz w:val="24"/>
          <w:szCs w:val="24"/>
          <w:highlight w:val="none"/>
        </w:rPr>
        <w:t>文件截止时间止。</w:t>
      </w:r>
    </w:p>
    <w:p w14:paraId="0372BCED">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2</w:t>
      </w:r>
      <w:r>
        <w:rPr>
          <w:rFonts w:hint="eastAsia" w:ascii="宋体" w:hAnsi="宋体" w:eastAsia="宋体" w:cs="宋体"/>
          <w:color w:val="auto"/>
          <w:kern w:val="0"/>
          <w:sz w:val="24"/>
          <w:szCs w:val="24"/>
          <w:highlight w:val="none"/>
          <w:lang w:val="en-US" w:eastAsia="zh-CN" w:bidi="ar-SA"/>
        </w:rPr>
        <w:t>.</w:t>
      </w:r>
      <w:r>
        <w:rPr>
          <w:rFonts w:ascii="Times New Roman" w:hAnsi="Times New Roman"/>
          <w:color w:val="auto"/>
          <w:sz w:val="24"/>
          <w:szCs w:val="24"/>
          <w:highlight w:val="none"/>
        </w:rPr>
        <w:t>地点：“江苏政府采购网”</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南通市文化广电和旅游局（市文物局）（https://wglj.nantong.gov.cn/）、南通博物苑（http://www.ntmuseum.com/）</w:t>
      </w:r>
    </w:p>
    <w:p w14:paraId="1780F3AC">
      <w:pPr>
        <w:spacing w:line="360" w:lineRule="auto"/>
        <w:ind w:firstLine="480"/>
        <w:jc w:val="left"/>
        <w:rPr>
          <w:rFonts w:ascii="Times New Roman" w:hAnsi="Times New Roman"/>
          <w:color w:val="auto"/>
          <w:sz w:val="24"/>
          <w:szCs w:val="24"/>
          <w:highlight w:val="none"/>
        </w:rPr>
      </w:pPr>
      <w:r>
        <w:rPr>
          <w:rFonts w:ascii="Times New Roman" w:hAnsi="Times New Roman"/>
          <w:color w:val="auto"/>
          <w:sz w:val="24"/>
          <w:szCs w:val="24"/>
          <w:highlight w:val="none"/>
        </w:rPr>
        <w:t>3</w:t>
      </w:r>
      <w:r>
        <w:rPr>
          <w:rFonts w:hint="eastAsia" w:ascii="宋体" w:hAnsi="宋体" w:eastAsia="宋体" w:cs="宋体"/>
          <w:color w:val="auto"/>
          <w:kern w:val="0"/>
          <w:sz w:val="24"/>
          <w:szCs w:val="24"/>
          <w:highlight w:val="none"/>
          <w:lang w:val="en-US" w:eastAsia="zh-CN" w:bidi="ar-SA"/>
        </w:rPr>
        <w:t>.</w:t>
      </w:r>
      <w:r>
        <w:rPr>
          <w:rFonts w:ascii="Times New Roman" w:hAnsi="Times New Roman"/>
          <w:color w:val="auto"/>
          <w:sz w:val="24"/>
          <w:szCs w:val="24"/>
          <w:highlight w:val="none"/>
        </w:rPr>
        <w:t>方式：凡有意参与</w:t>
      </w:r>
      <w:r>
        <w:rPr>
          <w:rFonts w:hint="eastAsia" w:ascii="Times New Roman" w:hAnsi="Times New Roman"/>
          <w:color w:val="auto"/>
          <w:sz w:val="24"/>
          <w:szCs w:val="24"/>
          <w:highlight w:val="none"/>
          <w:lang w:val="en-US" w:eastAsia="zh-CN"/>
        </w:rPr>
        <w:t>磋商</w:t>
      </w:r>
      <w:r>
        <w:rPr>
          <w:rFonts w:ascii="Times New Roman" w:hAnsi="Times New Roman"/>
          <w:color w:val="auto"/>
          <w:sz w:val="24"/>
          <w:szCs w:val="24"/>
          <w:highlight w:val="none"/>
        </w:rPr>
        <w:t>的供应商须登录江苏政府采购网首页点击“苏采云”→ 通 过CA锁进行响应确认，并自行在磋商文件有效获取期内及时下载获取。</w:t>
      </w:r>
    </w:p>
    <w:p w14:paraId="168CC2E8">
      <w:pPr>
        <w:spacing w:line="360" w:lineRule="auto"/>
        <w:ind w:firstLine="480"/>
        <w:jc w:val="left"/>
        <w:rPr>
          <w:rFonts w:ascii="Times New Roman" w:hAnsi="Times New Roman"/>
          <w:b/>
          <w:bCs/>
          <w:color w:val="auto"/>
          <w:sz w:val="32"/>
          <w:szCs w:val="32"/>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kern w:val="0"/>
          <w:sz w:val="24"/>
          <w:szCs w:val="24"/>
          <w:highlight w:val="none"/>
          <w:lang w:val="en-US" w:eastAsia="zh-CN" w:bidi="ar-SA"/>
        </w:rPr>
        <w:t>.</w:t>
      </w:r>
      <w:r>
        <w:rPr>
          <w:rFonts w:hint="eastAsia" w:ascii="宋体" w:hAnsi="宋体" w:cs="宋体"/>
          <w:color w:val="auto"/>
          <w:sz w:val="24"/>
          <w:szCs w:val="24"/>
          <w:highlight w:val="none"/>
        </w:rPr>
        <w:t>售价：</w:t>
      </w:r>
      <w:bookmarkEnd w:id="23"/>
      <w:bookmarkEnd w:id="24"/>
      <w:bookmarkEnd w:id="25"/>
      <w:bookmarkEnd w:id="26"/>
      <w:bookmarkEnd w:id="27"/>
      <w:r>
        <w:rPr>
          <w:rFonts w:hint="eastAsia" w:ascii="宋体" w:hAnsi="宋体" w:cs="宋体"/>
          <w:color w:val="auto"/>
          <w:sz w:val="24"/>
          <w:szCs w:val="24"/>
          <w:highlight w:val="none"/>
        </w:rPr>
        <w:t>0.00元</w:t>
      </w:r>
    </w:p>
    <w:p w14:paraId="230ADE29">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ascii="Times New Roman" w:hAnsi="Times New Roman" w:eastAsia="宋体" w:cs="Times New Roman"/>
          <w:b/>
          <w:bCs/>
          <w:color w:val="auto"/>
          <w:sz w:val="32"/>
          <w:szCs w:val="32"/>
          <w:highlight w:val="none"/>
        </w:rPr>
      </w:pPr>
      <w:bookmarkStart w:id="28" w:name="_Toc35393625"/>
      <w:bookmarkStart w:id="29" w:name="_Toc38985267"/>
      <w:bookmarkStart w:id="30" w:name="_Toc28359084"/>
      <w:bookmarkStart w:id="31" w:name="_Toc35393794"/>
      <w:bookmarkStart w:id="32" w:name="_Toc28359007"/>
      <w:r>
        <w:rPr>
          <w:rFonts w:hint="eastAsia" w:ascii="Times New Roman" w:hAnsi="Times New Roman" w:eastAsia="宋体" w:cs="Times New Roman"/>
          <w:b/>
          <w:bCs/>
          <w:color w:val="auto"/>
          <w:sz w:val="32"/>
          <w:szCs w:val="32"/>
          <w:highlight w:val="none"/>
        </w:rPr>
        <w:t>四、响应文件提交</w:t>
      </w:r>
    </w:p>
    <w:p w14:paraId="540B43AE">
      <w:pPr>
        <w:spacing w:line="360" w:lineRule="auto"/>
        <w:ind w:firstLine="480"/>
        <w:jc w:val="left"/>
        <w:rPr>
          <w:rFonts w:hint="eastAsia" w:ascii="宋体" w:hAnsi="宋体" w:cs="宋体"/>
          <w:b/>
          <w:bCs/>
          <w:color w:val="auto"/>
          <w:sz w:val="24"/>
          <w:szCs w:val="24"/>
          <w:highlight w:val="none"/>
        </w:rPr>
      </w:pPr>
      <w:r>
        <w:rPr>
          <w:rFonts w:hint="eastAsia" w:ascii="宋体" w:hAnsi="宋体" w:cs="宋体"/>
          <w:color w:val="auto"/>
          <w:sz w:val="24"/>
          <w:szCs w:val="24"/>
          <w:highlight w:val="none"/>
        </w:rPr>
        <w:t>1</w:t>
      </w:r>
      <w:r>
        <w:rPr>
          <w:rFonts w:hint="eastAsia" w:ascii="宋体" w:hAnsi="宋体" w:cs="宋体"/>
          <w:b/>
          <w:bCs/>
          <w:color w:val="auto"/>
          <w:sz w:val="24"/>
          <w:szCs w:val="24"/>
          <w:highlight w:val="none"/>
        </w:rPr>
        <w:t>.截止时间202</w:t>
      </w: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lang w:val="en-US" w:eastAsia="zh-CN"/>
        </w:rPr>
        <w:t>04月07日9</w:t>
      </w:r>
      <w:r>
        <w:rPr>
          <w:rFonts w:hint="eastAsia" w:ascii="宋体" w:hAnsi="宋体" w:cs="宋体"/>
          <w:b/>
          <w:bCs/>
          <w:color w:val="auto"/>
          <w:sz w:val="24"/>
          <w:szCs w:val="24"/>
          <w:highlight w:val="none"/>
        </w:rPr>
        <w:t>点</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0分（北京时间）。逾时，系统将拒绝接受上传响应文件电子文档。</w:t>
      </w:r>
    </w:p>
    <w:p w14:paraId="7C5806D6">
      <w:pPr>
        <w:spacing w:line="360" w:lineRule="auto"/>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2.地点：“苏采云”政府采购一体化平台。</w:t>
      </w:r>
    </w:p>
    <w:p w14:paraId="05B4D949">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五、公告期限</w:t>
      </w:r>
      <w:bookmarkEnd w:id="28"/>
      <w:bookmarkEnd w:id="29"/>
      <w:bookmarkEnd w:id="30"/>
      <w:bookmarkEnd w:id="31"/>
      <w:bookmarkEnd w:id="32"/>
    </w:p>
    <w:p w14:paraId="23961882">
      <w:pPr>
        <w:spacing w:line="360" w:lineRule="auto"/>
        <w:ind w:firstLine="480"/>
        <w:jc w:val="left"/>
        <w:rPr>
          <w:rFonts w:ascii="Times New Roman" w:hAnsi="Times New Roman"/>
          <w:color w:val="auto"/>
          <w:sz w:val="24"/>
          <w:szCs w:val="24"/>
          <w:highlight w:val="none"/>
        </w:rPr>
      </w:pPr>
      <w:bookmarkStart w:id="33" w:name="_Toc35393626"/>
      <w:bookmarkStart w:id="34" w:name="_Toc38985268"/>
      <w:bookmarkStart w:id="35" w:name="_Toc35393795"/>
      <w:r>
        <w:rPr>
          <w:rFonts w:ascii="Times New Roman" w:hAnsi="Times New Roman"/>
          <w:color w:val="auto"/>
          <w:sz w:val="24"/>
          <w:szCs w:val="24"/>
          <w:highlight w:val="none"/>
        </w:rPr>
        <w:t>自本公告发布之日起</w:t>
      </w:r>
      <w:r>
        <w:rPr>
          <w:rFonts w:hint="eastAsia" w:ascii="Times New Roman" w:hAnsi="Times New Roman"/>
          <w:color w:val="auto"/>
          <w:sz w:val="24"/>
          <w:szCs w:val="24"/>
          <w:highlight w:val="none"/>
          <w:lang w:val="en-US" w:eastAsia="zh-CN"/>
        </w:rPr>
        <w:t>3</w:t>
      </w:r>
      <w:r>
        <w:rPr>
          <w:rFonts w:ascii="Times New Roman" w:hAnsi="Times New Roman"/>
          <w:color w:val="auto"/>
          <w:sz w:val="24"/>
          <w:szCs w:val="24"/>
          <w:highlight w:val="none"/>
        </w:rPr>
        <w:t>个工作日。</w:t>
      </w:r>
    </w:p>
    <w:p w14:paraId="5AB44A31">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六、其他补充事宜</w:t>
      </w:r>
      <w:bookmarkEnd w:id="33"/>
      <w:bookmarkEnd w:id="34"/>
      <w:bookmarkEnd w:id="35"/>
    </w:p>
    <w:p w14:paraId="5AD5AF1A">
      <w:pPr>
        <w:adjustRightInd w:val="0"/>
        <w:snapToGrid w:val="0"/>
        <w:spacing w:line="360" w:lineRule="auto"/>
        <w:ind w:firstLine="480" w:firstLineChars="200"/>
        <w:rPr>
          <w:rFonts w:ascii="宋体" w:hAnsi="宋体" w:cs="宋体"/>
          <w:color w:val="auto"/>
          <w:kern w:val="0"/>
          <w:sz w:val="24"/>
          <w:szCs w:val="24"/>
          <w:highlight w:val="none"/>
        </w:rPr>
      </w:pPr>
      <w:bookmarkStart w:id="36" w:name="_Toc28359085"/>
      <w:bookmarkStart w:id="37" w:name="_Toc35393627"/>
      <w:bookmarkStart w:id="38" w:name="_Toc35393796"/>
      <w:bookmarkStart w:id="39" w:name="_Toc28359008"/>
      <w:bookmarkStart w:id="40" w:name="_Toc38985269"/>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磋商</w:t>
      </w:r>
      <w:r>
        <w:rPr>
          <w:rFonts w:ascii="宋体" w:hAnsi="宋体" w:cs="宋体"/>
          <w:color w:val="auto"/>
          <w:kern w:val="0"/>
          <w:sz w:val="24"/>
          <w:szCs w:val="24"/>
          <w:highlight w:val="none"/>
        </w:rPr>
        <w:t>保证金：免收</w:t>
      </w:r>
    </w:p>
    <w:p w14:paraId="72804988">
      <w:pPr>
        <w:adjustRightInd w:val="0"/>
        <w:snapToGrid w:val="0"/>
        <w:spacing w:line="360" w:lineRule="auto"/>
        <w:ind w:firstLine="480" w:firstLineChars="20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2.</w:t>
      </w:r>
      <w:r>
        <w:rPr>
          <w:rFonts w:ascii="宋体" w:hAnsi="宋体" w:cs="宋体"/>
          <w:color w:val="auto"/>
          <w:kern w:val="0"/>
          <w:sz w:val="24"/>
          <w:szCs w:val="24"/>
          <w:highlight w:val="none"/>
        </w:rPr>
        <w:t>项目演示、样品、答辩等：</w:t>
      </w:r>
      <w:r>
        <w:rPr>
          <w:rFonts w:hint="eastAsia" w:ascii="宋体" w:hAnsi="宋体" w:cs="宋体"/>
          <w:color w:val="auto"/>
          <w:kern w:val="0"/>
          <w:sz w:val="24"/>
          <w:szCs w:val="24"/>
          <w:highlight w:val="none"/>
          <w:lang w:val="en-US" w:eastAsia="zh-CN"/>
        </w:rPr>
        <w:t>无。</w:t>
      </w:r>
    </w:p>
    <w:p w14:paraId="115A70E5">
      <w:pPr>
        <w:adjustRightInd w:val="0"/>
        <w:snapToGrid w:val="0"/>
        <w:spacing w:line="360" w:lineRule="auto"/>
        <w:ind w:firstLine="480" w:firstLineChars="20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 xml:space="preserve">现场踏勘：供应商自行踏勘现场，踏勘联系方式：0513-85062508。 </w:t>
      </w:r>
    </w:p>
    <w:p w14:paraId="55F11406">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（含潜在</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）对采购方式、</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文件中采购需求、</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资格条件、评标方法和评标标准、合同文本及资格审查结果的询问、质疑请向采购人提出，由采购人负责答复。</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对其他事项的询问、质疑请向采购代理机构提出，由采购代理机构负责答复。</w:t>
      </w:r>
    </w:p>
    <w:p w14:paraId="76B1A069">
      <w:pPr>
        <w:adjustRightInd w:val="0"/>
        <w:snapToGrid w:val="0"/>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系统操作过程中如遇问题，请致电“苏采云”客服0519-86722801。</w:t>
      </w:r>
    </w:p>
    <w:p w14:paraId="6D73E3F3">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.有关本次</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的事项若存在变动或修改，均以江苏政府采购网发布的更正或补充通知为准，敬请及时关注。</w:t>
      </w:r>
    </w:p>
    <w:p w14:paraId="32B9170D">
      <w:pPr>
        <w:adjustRightInd w:val="0"/>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应依照规定提交各类声明函、承诺函，不再同时提供原件备查或提供有关部门出具的相关证明文件。但</w:t>
      </w:r>
      <w:r>
        <w:rPr>
          <w:rFonts w:hint="eastAsia" w:ascii="宋体" w:hAnsi="宋体" w:cs="宋体"/>
          <w:color w:val="auto"/>
          <w:kern w:val="0"/>
          <w:sz w:val="24"/>
          <w:szCs w:val="24"/>
          <w:highlight w:val="none"/>
          <w:lang w:val="en-US" w:eastAsia="zh-CN"/>
        </w:rPr>
        <w:t>成交供应商</w:t>
      </w:r>
      <w:r>
        <w:rPr>
          <w:rFonts w:hint="eastAsia" w:ascii="宋体" w:hAnsi="宋体" w:cs="宋体"/>
          <w:color w:val="auto"/>
          <w:kern w:val="0"/>
          <w:sz w:val="24"/>
          <w:szCs w:val="24"/>
          <w:highlight w:val="none"/>
        </w:rPr>
        <w:t>应做好提交声明函、承诺函相应原件的核查准备；核查后发现虚假或违背承诺的，依照相关法律法规规定处理。</w:t>
      </w:r>
    </w:p>
    <w:p w14:paraId="1D4D492D">
      <w:pPr>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.“苏采云”系统使用相关提醒</w:t>
      </w:r>
    </w:p>
    <w:p w14:paraId="254364F1">
      <w:pPr>
        <w:adjustRightInd w:val="0"/>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1根据省财政厅《关于更换全省政府采购交易系统CA数字证书和电子签章的通知》（苏财购〔2023〕101号），“苏采云”政府采购交易系统（以下简称苏采云系统）的CA数字证书、电子签章已更换为江苏省电子政务证书认证中心CA和方正国际软件（北京）有限公司电子签章。如果</w:t>
      </w:r>
      <w:r>
        <w:rPr>
          <w:rFonts w:hint="eastAsia" w:ascii="宋体" w:hAnsi="宋体"/>
          <w:bCs/>
          <w:color w:val="auto"/>
          <w:sz w:val="24"/>
          <w:szCs w:val="24"/>
          <w:highlight w:val="none"/>
          <w:lang w:val="en-US" w:eastAsia="zh-CN"/>
        </w:rPr>
        <w:t>供应商</w:t>
      </w:r>
      <w:r>
        <w:rPr>
          <w:rFonts w:hint="eastAsia" w:ascii="宋体" w:hAnsi="宋体"/>
          <w:bCs/>
          <w:color w:val="auto"/>
          <w:sz w:val="24"/>
          <w:szCs w:val="24"/>
          <w:highlight w:val="none"/>
        </w:rPr>
        <w:t>通过苏采云系统参与政府采购项目，需要更换CA数字证书和电子签章。具体办理指南和操作手册见链接：http://www.ccgp-jiangsu.gov.cn/jiangsu/zlxz/ee/ee3a4bc5a3454aa2b0d9312230633ce9.html。</w:t>
      </w:r>
    </w:p>
    <w:p w14:paraId="57D3D9BB">
      <w:pPr>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.2领取CA和办理电子签章请至南通市政务服务中心裙楼四楼（南通市公共资源交中心）CA办理窗口办理，详见《江苏省政府采购数字证书(投标人) CA及电子签章办理指南》），请及时进行注册并按要求制作、上传电子</w:t>
      </w:r>
      <w:r>
        <w:rPr>
          <w:rFonts w:hint="eastAsia" w:ascii="宋体" w:hAnsi="宋体"/>
          <w:bCs/>
          <w:color w:val="auto"/>
          <w:sz w:val="24"/>
          <w:szCs w:val="24"/>
          <w:highlight w:val="none"/>
          <w:lang w:val="en-US" w:eastAsia="zh-CN"/>
        </w:rPr>
        <w:t>响应</w:t>
      </w:r>
      <w:r>
        <w:rPr>
          <w:rFonts w:hint="eastAsia" w:ascii="宋体" w:hAnsi="宋体"/>
          <w:bCs/>
          <w:color w:val="auto"/>
          <w:sz w:val="24"/>
          <w:szCs w:val="24"/>
          <w:highlight w:val="none"/>
        </w:rPr>
        <w:t>文件。</w:t>
      </w:r>
    </w:p>
    <w:p w14:paraId="743557DD">
      <w:pPr>
        <w:adjustRightInd w:val="0"/>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.3开标当天</w:t>
      </w:r>
      <w:r>
        <w:rPr>
          <w:rFonts w:hint="eastAsia" w:ascii="宋体" w:hAnsi="宋体" w:cs="宋体"/>
          <w:color w:val="auto"/>
          <w:kern w:val="0"/>
          <w:sz w:val="24"/>
          <w:szCs w:val="24"/>
          <w:highlight w:val="none"/>
          <w:lang w:val="en-US" w:eastAsia="zh-CN"/>
        </w:rPr>
        <w:t>供应商</w:t>
      </w:r>
      <w:r>
        <w:rPr>
          <w:rFonts w:hint="eastAsia" w:ascii="宋体" w:hAnsi="宋体"/>
          <w:bCs/>
          <w:color w:val="auto"/>
          <w:sz w:val="24"/>
          <w:szCs w:val="24"/>
          <w:highlight w:val="none"/>
        </w:rPr>
        <w:t>应及时登录“苏采云”不见面开标大厅，并在规定时间内自行实施远程解密。</w:t>
      </w:r>
      <w:r>
        <w:rPr>
          <w:rFonts w:hint="eastAsia" w:ascii="宋体" w:hAnsi="宋体" w:cs="宋体"/>
          <w:color w:val="auto"/>
          <w:kern w:val="0"/>
          <w:sz w:val="24"/>
          <w:szCs w:val="24"/>
          <w:highlight w:val="none"/>
          <w:lang w:val="en-US" w:eastAsia="zh-CN"/>
        </w:rPr>
        <w:t>供应商</w:t>
      </w:r>
      <w:r>
        <w:rPr>
          <w:rFonts w:hint="eastAsia" w:ascii="宋体" w:hAnsi="宋体"/>
          <w:bCs/>
          <w:color w:val="auto"/>
          <w:sz w:val="24"/>
          <w:szCs w:val="24"/>
          <w:highlight w:val="none"/>
        </w:rPr>
        <w:t>解密时间限定为响应文件解密指令发出后30分钟（</w:t>
      </w:r>
      <w:r>
        <w:rPr>
          <w:rFonts w:hint="eastAsia" w:ascii="宋体" w:hAnsi="宋体" w:cs="宋体"/>
          <w:color w:val="auto"/>
          <w:kern w:val="0"/>
          <w:sz w:val="24"/>
          <w:szCs w:val="24"/>
          <w:highlight w:val="none"/>
          <w:lang w:val="en-US" w:eastAsia="zh-CN"/>
        </w:rPr>
        <w:t>供应商</w:t>
      </w:r>
      <w:r>
        <w:rPr>
          <w:rFonts w:hint="eastAsia" w:ascii="宋体" w:hAnsi="宋体"/>
          <w:bCs/>
          <w:color w:val="auto"/>
          <w:sz w:val="24"/>
          <w:szCs w:val="24"/>
          <w:highlight w:val="none"/>
        </w:rPr>
        <w:t>应当充分考虑网络延时造成的本地网络计时不一致风险，提前完成解密动作）。</w:t>
      </w:r>
      <w:r>
        <w:rPr>
          <w:rFonts w:hint="eastAsia" w:ascii="宋体" w:hAnsi="宋体" w:cs="宋体"/>
          <w:color w:val="auto"/>
          <w:kern w:val="0"/>
          <w:sz w:val="24"/>
          <w:szCs w:val="24"/>
          <w:highlight w:val="none"/>
          <w:lang w:val="en-US" w:eastAsia="zh-CN"/>
        </w:rPr>
        <w:t>供应商</w:t>
      </w:r>
      <w:r>
        <w:rPr>
          <w:rFonts w:hint="eastAsia" w:ascii="宋体" w:hAnsi="宋体"/>
          <w:bCs/>
          <w:color w:val="auto"/>
          <w:sz w:val="24"/>
          <w:szCs w:val="24"/>
          <w:highlight w:val="none"/>
        </w:rPr>
        <w:t>因网络、电源、浏览器不稳定、未按要求配置软硬件环境，解密锁用错或其他物理故障、操作熟练程度等自身原因，导致响应文件在规定时间内未能解密、解密失败或解密超时，系统内响应文件将被退回，相应风险由</w:t>
      </w:r>
      <w:r>
        <w:rPr>
          <w:rFonts w:hint="eastAsia" w:ascii="宋体" w:hAnsi="宋体" w:cs="宋体"/>
          <w:color w:val="auto"/>
          <w:kern w:val="0"/>
          <w:sz w:val="24"/>
          <w:szCs w:val="24"/>
          <w:highlight w:val="none"/>
          <w:lang w:val="en-US" w:eastAsia="zh-CN"/>
        </w:rPr>
        <w:t>供应商</w:t>
      </w:r>
      <w:r>
        <w:rPr>
          <w:rFonts w:hint="eastAsia" w:ascii="宋体" w:hAnsi="宋体"/>
          <w:bCs/>
          <w:color w:val="auto"/>
          <w:sz w:val="24"/>
          <w:szCs w:val="24"/>
          <w:highlight w:val="none"/>
        </w:rPr>
        <w:t>自行承担；因采购人原因或网上招投标平台发生故障，导致无法按时完成响应文件解密或开、评标工作无法进行的，可根据实际情况相应延迟解密时间或调整开、评标时间。</w:t>
      </w:r>
    </w:p>
    <w:p w14:paraId="42A2F037">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Times New Roman" w:hAnsi="Times New Roman" w:eastAsia="宋体" w:cs="Times New Roman"/>
          <w:b/>
          <w:bCs/>
          <w:color w:val="auto"/>
          <w:sz w:val="32"/>
          <w:szCs w:val="32"/>
          <w:highlight w:val="none"/>
        </w:rPr>
      </w:pPr>
      <w:r>
        <w:rPr>
          <w:rFonts w:hint="eastAsia" w:ascii="Times New Roman" w:hAnsi="Times New Roman" w:eastAsia="宋体" w:cs="Times New Roman"/>
          <w:b/>
          <w:bCs/>
          <w:color w:val="auto"/>
          <w:sz w:val="32"/>
          <w:szCs w:val="32"/>
          <w:highlight w:val="none"/>
        </w:rPr>
        <w:t>七、本次磋商联系方式</w:t>
      </w:r>
      <w:bookmarkEnd w:id="36"/>
      <w:bookmarkEnd w:id="37"/>
      <w:bookmarkEnd w:id="38"/>
      <w:bookmarkEnd w:id="39"/>
      <w:bookmarkEnd w:id="40"/>
    </w:p>
    <w:p w14:paraId="1BF9B4CA">
      <w:pPr>
        <w:widowControl/>
        <w:shd w:val="clear" w:color="auto" w:fill="FFFFFF"/>
        <w:adjustRightInd w:val="0"/>
        <w:snapToGrid w:val="0"/>
        <w:spacing w:line="360" w:lineRule="auto"/>
        <w:ind w:firstLine="480" w:firstLineChars="200"/>
        <w:jc w:val="left"/>
        <w:rPr>
          <w:rFonts w:ascii="宋体" w:hAnsi="宋体"/>
          <w:color w:val="auto"/>
          <w:kern w:val="0"/>
          <w:sz w:val="24"/>
          <w:szCs w:val="24"/>
          <w:highlight w:val="none"/>
        </w:rPr>
      </w:pPr>
      <w:bookmarkStart w:id="41" w:name="_Toc35393808"/>
      <w:bookmarkStart w:id="42" w:name="_Toc28359098"/>
      <w:bookmarkStart w:id="43" w:name="_Toc28359021"/>
      <w:bookmarkStart w:id="44" w:name="_Toc35393639"/>
      <w:bookmarkStart w:id="45" w:name="_Toc28359010"/>
      <w:bookmarkStart w:id="46" w:name="_Toc28359087"/>
      <w:r>
        <w:rPr>
          <w:rFonts w:hint="eastAsia" w:ascii="宋体" w:hAnsi="宋体"/>
          <w:color w:val="auto"/>
          <w:kern w:val="0"/>
          <w:sz w:val="24"/>
          <w:szCs w:val="24"/>
          <w:highlight w:val="none"/>
        </w:rPr>
        <w:t>1</w:t>
      </w:r>
      <w:r>
        <w:rPr>
          <w:rFonts w:hint="eastAsia" w:ascii="宋体" w:hAnsi="宋体" w:cs="宋体"/>
          <w:color w:val="auto"/>
          <w:kern w:val="0"/>
          <w:sz w:val="24"/>
          <w:szCs w:val="24"/>
          <w:highlight w:val="none"/>
        </w:rPr>
        <w:t>.</w:t>
      </w:r>
      <w:r>
        <w:rPr>
          <w:rFonts w:hint="eastAsia" w:ascii="宋体" w:hAnsi="宋体"/>
          <w:color w:val="auto"/>
          <w:kern w:val="0"/>
          <w:sz w:val="24"/>
          <w:szCs w:val="24"/>
          <w:highlight w:val="none"/>
        </w:rPr>
        <w:t>采购人信息</w:t>
      </w:r>
    </w:p>
    <w:p w14:paraId="04B4E2AA">
      <w:pPr>
        <w:widowControl/>
        <w:shd w:val="clear" w:color="auto" w:fill="FFFFFF"/>
        <w:adjustRightInd w:val="0"/>
        <w:snapToGrid w:val="0"/>
        <w:spacing w:line="360" w:lineRule="auto"/>
        <w:ind w:firstLine="480" w:firstLineChars="200"/>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名 称：</w:t>
      </w:r>
      <w:r>
        <w:rPr>
          <w:rFonts w:hint="eastAsia" w:ascii="宋体" w:hAnsi="宋体"/>
          <w:color w:val="auto"/>
          <w:kern w:val="0"/>
          <w:sz w:val="24"/>
          <w:szCs w:val="24"/>
          <w:highlight w:val="none"/>
          <w:lang w:eastAsia="zh-CN"/>
        </w:rPr>
        <w:t>南通博物苑</w:t>
      </w:r>
    </w:p>
    <w:p w14:paraId="557CC11A">
      <w:pPr>
        <w:widowControl/>
        <w:shd w:val="clear" w:color="auto" w:fill="FFFFFF"/>
        <w:adjustRightInd w:val="0"/>
        <w:snapToGri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地址：南通市崇川区</w:t>
      </w:r>
      <w:r>
        <w:rPr>
          <w:rFonts w:hint="eastAsia" w:ascii="宋体" w:hAnsi="宋体"/>
          <w:color w:val="auto"/>
          <w:kern w:val="0"/>
          <w:sz w:val="24"/>
          <w:szCs w:val="24"/>
          <w:highlight w:val="none"/>
          <w:lang w:val="en-US" w:eastAsia="zh-CN"/>
        </w:rPr>
        <w:t>濠南路19</w:t>
      </w:r>
      <w:r>
        <w:rPr>
          <w:rFonts w:hint="eastAsia" w:ascii="宋体" w:hAnsi="宋体"/>
          <w:color w:val="auto"/>
          <w:kern w:val="0"/>
          <w:sz w:val="24"/>
          <w:szCs w:val="24"/>
          <w:highlight w:val="none"/>
        </w:rPr>
        <w:t>号</w:t>
      </w:r>
    </w:p>
    <w:p w14:paraId="607CEA5B">
      <w:pPr>
        <w:widowControl/>
        <w:shd w:val="clear" w:color="auto" w:fill="FFFFFF"/>
        <w:adjustRightInd w:val="0"/>
        <w:snapToGrid w:val="0"/>
        <w:spacing w:line="360" w:lineRule="auto"/>
        <w:ind w:firstLine="480" w:firstLineChars="200"/>
        <w:jc w:val="left"/>
        <w:rPr>
          <w:rFonts w:hint="default" w:ascii="宋体" w:hAnsi="宋体" w:eastAsia="宋体"/>
          <w:color w:val="auto"/>
          <w:kern w:val="0"/>
          <w:sz w:val="24"/>
          <w:szCs w:val="24"/>
          <w:highlight w:val="none"/>
          <w:lang w:val="en-US" w:eastAsia="zh-CN"/>
        </w:rPr>
      </w:pPr>
      <w:r>
        <w:rPr>
          <w:rFonts w:hint="eastAsia" w:ascii="宋体" w:hAnsi="宋体"/>
          <w:color w:val="auto"/>
          <w:kern w:val="0"/>
          <w:sz w:val="24"/>
          <w:szCs w:val="24"/>
          <w:highlight w:val="none"/>
        </w:rPr>
        <w:t>联系人：</w:t>
      </w:r>
      <w:r>
        <w:rPr>
          <w:rFonts w:hint="eastAsia" w:ascii="宋体" w:hAnsi="宋体"/>
          <w:color w:val="auto"/>
          <w:kern w:val="0"/>
          <w:sz w:val="24"/>
          <w:szCs w:val="24"/>
          <w:highlight w:val="none"/>
          <w:lang w:val="en-US" w:eastAsia="zh-CN"/>
        </w:rPr>
        <w:t>万主任</w:t>
      </w:r>
    </w:p>
    <w:p w14:paraId="0C957FF8">
      <w:pPr>
        <w:widowControl/>
        <w:shd w:val="clear" w:color="auto" w:fill="FFFFFF"/>
        <w:adjustRightInd w:val="0"/>
        <w:snapToGri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联系方式：</w:t>
      </w:r>
      <w:bookmarkStart w:id="47" w:name="_Toc28359009"/>
      <w:bookmarkStart w:id="48" w:name="_Toc28359086"/>
      <w:r>
        <w:rPr>
          <w:rFonts w:hint="eastAsia" w:ascii="宋体" w:hAnsi="宋体"/>
          <w:color w:val="auto"/>
          <w:kern w:val="0"/>
          <w:sz w:val="24"/>
          <w:szCs w:val="24"/>
          <w:highlight w:val="none"/>
          <w:lang w:val="en-US" w:eastAsia="zh-CN"/>
        </w:rPr>
        <w:t>0513-</w:t>
      </w:r>
      <w:r>
        <w:rPr>
          <w:rFonts w:hint="eastAsia" w:ascii="宋体" w:hAnsi="宋体"/>
          <w:color w:val="auto"/>
          <w:kern w:val="0"/>
          <w:sz w:val="24"/>
          <w:szCs w:val="24"/>
          <w:highlight w:val="none"/>
        </w:rPr>
        <w:t>85062508</w:t>
      </w:r>
    </w:p>
    <w:bookmarkEnd w:id="41"/>
    <w:bookmarkEnd w:id="42"/>
    <w:bookmarkEnd w:id="43"/>
    <w:bookmarkEnd w:id="44"/>
    <w:bookmarkEnd w:id="47"/>
    <w:bookmarkEnd w:id="48"/>
    <w:p w14:paraId="1C8EDB4D">
      <w:pPr>
        <w:adjustRightInd w:val="0"/>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2.主管部门</w:t>
      </w:r>
    </w:p>
    <w:p w14:paraId="6AA2D3FB">
      <w:pPr>
        <w:adjustRightInd w:val="0"/>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名称：南通市文化广电和旅游局</w:t>
      </w:r>
    </w:p>
    <w:p w14:paraId="533DFC86">
      <w:pPr>
        <w:adjustRightInd w:val="0"/>
        <w:snapToGrid w:val="0"/>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地址：南通市崇川区世纪大道6号</w:t>
      </w:r>
    </w:p>
    <w:p w14:paraId="69714030">
      <w:pPr>
        <w:adjustRightInd w:val="0"/>
        <w:snapToGrid w:val="0"/>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联系方式：0513-85099576</w:t>
      </w:r>
    </w:p>
    <w:p w14:paraId="7A2C129A">
      <w:pPr>
        <w:adjustRightInd w:val="0"/>
        <w:snapToGrid w:val="0"/>
        <w:spacing w:line="360" w:lineRule="auto"/>
        <w:ind w:firstLine="480" w:firstLineChars="200"/>
        <w:rPr>
          <w:rFonts w:ascii="宋体" w:hAnsi="宋体"/>
          <w:color w:val="auto"/>
          <w:kern w:val="0"/>
          <w:sz w:val="24"/>
          <w:szCs w:val="24"/>
          <w:highlight w:val="none"/>
        </w:rPr>
      </w:pPr>
      <w:r>
        <w:rPr>
          <w:rFonts w:hint="eastAsia" w:ascii="宋体" w:hAnsi="宋体"/>
          <w:color w:val="auto"/>
          <w:sz w:val="24"/>
          <w:szCs w:val="24"/>
          <w:highlight w:val="none"/>
          <w:lang w:val="en-US" w:eastAsia="zh-CN"/>
        </w:rPr>
        <w:t>3</w:t>
      </w:r>
      <w:r>
        <w:rPr>
          <w:rFonts w:hint="eastAsia" w:ascii="宋体" w:hAnsi="宋体" w:cs="宋体"/>
          <w:color w:val="auto"/>
          <w:kern w:val="0"/>
          <w:sz w:val="24"/>
          <w:szCs w:val="24"/>
          <w:highlight w:val="none"/>
        </w:rPr>
        <w:t>.</w:t>
      </w:r>
      <w:r>
        <w:rPr>
          <w:rFonts w:hint="eastAsia" w:ascii="宋体" w:hAnsi="宋体"/>
          <w:color w:val="auto"/>
          <w:sz w:val="24"/>
          <w:szCs w:val="24"/>
          <w:highlight w:val="none"/>
        </w:rPr>
        <w:t>采购代理机构信息</w:t>
      </w:r>
    </w:p>
    <w:p w14:paraId="45F212AC">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名 称：</w:t>
      </w:r>
      <w:r>
        <w:rPr>
          <w:rFonts w:hint="eastAsia" w:ascii="宋体" w:hAnsi="宋体" w:cs="宋体"/>
          <w:color w:val="auto"/>
          <w:sz w:val="24"/>
          <w:szCs w:val="24"/>
          <w:highlight w:val="none"/>
          <w:lang w:eastAsia="zh-CN"/>
        </w:rPr>
        <w:t>江苏广和工程咨询有限公司</w:t>
      </w:r>
    </w:p>
    <w:p w14:paraId="4FC159D2">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 址：南通市</w:t>
      </w:r>
      <w:r>
        <w:rPr>
          <w:rFonts w:hint="eastAsia" w:ascii="宋体" w:hAnsi="宋体" w:cs="宋体"/>
          <w:color w:val="auto"/>
          <w:sz w:val="24"/>
          <w:szCs w:val="24"/>
          <w:highlight w:val="none"/>
          <w:lang w:eastAsia="zh-CN"/>
        </w:rPr>
        <w:t>经济技术开发区中央路</w:t>
      </w:r>
      <w:r>
        <w:rPr>
          <w:rFonts w:hint="eastAsia" w:ascii="宋体" w:hAnsi="宋体" w:cs="宋体"/>
          <w:color w:val="auto"/>
          <w:sz w:val="24"/>
          <w:szCs w:val="24"/>
          <w:highlight w:val="none"/>
          <w:lang w:val="en-US" w:eastAsia="zh-CN"/>
        </w:rPr>
        <w:t>25号新星商厦1205</w:t>
      </w:r>
      <w:r>
        <w:rPr>
          <w:rFonts w:hint="eastAsia" w:ascii="宋体" w:hAnsi="宋体" w:cs="宋体"/>
          <w:color w:val="auto"/>
          <w:sz w:val="24"/>
          <w:szCs w:val="24"/>
          <w:highlight w:val="none"/>
          <w:lang w:eastAsia="zh-CN"/>
        </w:rPr>
        <w:t>室</w:t>
      </w:r>
    </w:p>
    <w:p w14:paraId="29965924">
      <w:pPr>
        <w:adjustRightInd w:val="0"/>
        <w:snapToGrid w:val="0"/>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杨工</w:t>
      </w:r>
    </w:p>
    <w:p w14:paraId="69A1D4C9">
      <w:pPr>
        <w:widowControl/>
        <w:shd w:val="clear" w:color="auto" w:fill="FFFFFF"/>
        <w:adjustRightInd w:val="0"/>
        <w:snapToGrid w:val="0"/>
        <w:spacing w:line="36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color w:val="auto"/>
          <w:kern w:val="0"/>
          <w:sz w:val="24"/>
          <w:szCs w:val="24"/>
          <w:highlight w:val="none"/>
        </w:rPr>
        <w:t>联系方式：</w:t>
      </w:r>
      <w:r>
        <w:rPr>
          <w:rFonts w:hint="eastAsia" w:ascii="宋体" w:hAnsi="宋体"/>
          <w:color w:val="auto"/>
          <w:kern w:val="0"/>
          <w:sz w:val="24"/>
          <w:szCs w:val="24"/>
          <w:highlight w:val="none"/>
          <w:lang w:val="en-US" w:eastAsia="zh-CN"/>
        </w:rPr>
        <w:t>15262765636</w:t>
      </w:r>
      <w:r>
        <w:rPr>
          <w:rFonts w:hint="eastAsia" w:ascii="宋体" w:hAnsi="宋体" w:cs="宋体"/>
          <w:color w:val="auto"/>
          <w:sz w:val="24"/>
          <w:szCs w:val="24"/>
          <w:highlight w:val="none"/>
        </w:rPr>
        <w:t xml:space="preserve">  </w:t>
      </w:r>
      <w:r>
        <w:rPr>
          <w:rFonts w:hint="eastAsia" w:ascii="宋体" w:hAnsi="宋体"/>
          <w:color w:val="auto"/>
          <w:sz w:val="24"/>
          <w:szCs w:val="24"/>
          <w:highlight w:val="none"/>
          <w:lang w:val="en-US" w:eastAsia="zh-CN"/>
        </w:rPr>
        <w:t xml:space="preserve">  </w:t>
      </w:r>
    </w:p>
    <w:p w14:paraId="61986186">
      <w:pPr>
        <w:spacing w:line="360" w:lineRule="auto"/>
        <w:ind w:firstLine="480"/>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4</w:t>
      </w:r>
      <w:r>
        <w:rPr>
          <w:rFonts w:hint="eastAsia" w:ascii="宋体" w:hAnsi="宋体" w:cs="宋体"/>
          <w:color w:val="auto"/>
          <w:kern w:val="0"/>
          <w:sz w:val="24"/>
          <w:szCs w:val="24"/>
          <w:highlight w:val="none"/>
        </w:rPr>
        <w:t>.</w:t>
      </w:r>
      <w:r>
        <w:rPr>
          <w:rFonts w:ascii="Times New Roman" w:hAnsi="Times New Roman"/>
          <w:color w:val="auto"/>
          <w:sz w:val="24"/>
          <w:szCs w:val="24"/>
          <w:highlight w:val="none"/>
        </w:rPr>
        <w:t>项目联系方式</w:t>
      </w:r>
    </w:p>
    <w:p w14:paraId="66D6E548">
      <w:pPr>
        <w:spacing w:line="360" w:lineRule="auto"/>
        <w:ind w:firstLine="480"/>
        <w:rPr>
          <w:rFonts w:hint="default" w:ascii="Times New Roman" w:hAnsi="Times New Roman" w:eastAsia="宋体"/>
          <w:color w:val="auto"/>
          <w:sz w:val="24"/>
          <w:szCs w:val="24"/>
          <w:highlight w:val="none"/>
          <w:lang w:val="en-US" w:eastAsia="zh-CN"/>
        </w:rPr>
      </w:pPr>
      <w:r>
        <w:rPr>
          <w:rFonts w:ascii="Times New Roman" w:hAnsi="Times New Roman"/>
          <w:color w:val="auto"/>
          <w:sz w:val="24"/>
          <w:szCs w:val="24"/>
          <w:highlight w:val="none"/>
        </w:rPr>
        <w:t>项目联系人：</w:t>
      </w:r>
      <w:r>
        <w:rPr>
          <w:rFonts w:hint="eastAsia" w:ascii="宋体" w:hAnsi="宋体" w:cs="宋体"/>
          <w:color w:val="auto"/>
          <w:sz w:val="24"/>
          <w:szCs w:val="24"/>
          <w:highlight w:val="none"/>
          <w:lang w:val="en-US" w:eastAsia="zh-CN"/>
        </w:rPr>
        <w:t>杨工</w:t>
      </w:r>
    </w:p>
    <w:p w14:paraId="184AF080">
      <w:pPr>
        <w:spacing w:line="360" w:lineRule="auto"/>
        <w:ind w:firstLine="480"/>
        <w:rPr>
          <w:rFonts w:ascii="Times New Roman" w:hAnsi="Times New Roman"/>
          <w:color w:val="auto"/>
          <w:sz w:val="24"/>
          <w:szCs w:val="24"/>
          <w:highlight w:val="none"/>
        </w:rPr>
      </w:pPr>
      <w:r>
        <w:rPr>
          <w:rFonts w:hint="eastAsia" w:ascii="宋体" w:hAnsi="宋体"/>
          <w:color w:val="auto"/>
          <w:kern w:val="0"/>
          <w:sz w:val="24"/>
          <w:szCs w:val="24"/>
          <w:highlight w:val="none"/>
        </w:rPr>
        <w:t>联系方式：</w:t>
      </w:r>
      <w:r>
        <w:rPr>
          <w:rFonts w:hint="eastAsia" w:ascii="宋体" w:hAnsi="宋体"/>
          <w:color w:val="auto"/>
          <w:kern w:val="0"/>
          <w:sz w:val="24"/>
          <w:szCs w:val="24"/>
          <w:highlight w:val="none"/>
          <w:lang w:val="en-US" w:eastAsia="zh-CN"/>
        </w:rPr>
        <w:t>15262765636</w:t>
      </w:r>
      <w:r>
        <w:rPr>
          <w:rFonts w:ascii="Times New Roman" w:hAnsi="Times New Roman"/>
          <w:color w:val="auto"/>
          <w:sz w:val="24"/>
          <w:szCs w:val="24"/>
          <w:highlight w:val="none"/>
        </w:rPr>
        <w:t>　</w:t>
      </w:r>
    </w:p>
    <w:p w14:paraId="2675C5F1">
      <w:pPr>
        <w:spacing w:line="360" w:lineRule="auto"/>
        <w:ind w:firstLine="480"/>
        <w:rPr>
          <w:rFonts w:ascii="Times New Roman" w:hAnsi="Times New Roman"/>
          <w:color w:val="auto"/>
          <w:sz w:val="24"/>
          <w:szCs w:val="24"/>
          <w:highlight w:val="none"/>
        </w:rPr>
      </w:pPr>
      <w:bookmarkStart w:id="225" w:name="_GoBack"/>
      <w:bookmarkEnd w:id="225"/>
      <w:r>
        <w:rPr>
          <w:rFonts w:ascii="Times New Roman" w:hAnsi="Times New Roman"/>
          <w:color w:val="auto"/>
          <w:sz w:val="24"/>
          <w:szCs w:val="24"/>
          <w:highlight w:val="none"/>
        </w:rPr>
        <w:t>　</w:t>
      </w:r>
      <w:bookmarkEnd w:id="45"/>
      <w:bookmarkEnd w:id="46"/>
      <w:bookmarkStart w:id="49" w:name="_Toc120614211"/>
    </w:p>
    <w:p w14:paraId="5B5A6FEC">
      <w:pPr>
        <w:rPr>
          <w:rFonts w:ascii="Times New Roman" w:hAnsi="Times New Roman"/>
          <w:color w:val="auto"/>
          <w:sz w:val="24"/>
          <w:szCs w:val="24"/>
          <w:highlight w:val="none"/>
        </w:rPr>
      </w:pPr>
      <w:r>
        <w:rPr>
          <w:rFonts w:ascii="Times New Roman" w:hAnsi="Times New Roman"/>
          <w:color w:val="auto"/>
          <w:sz w:val="24"/>
          <w:szCs w:val="24"/>
          <w:highlight w:val="none"/>
        </w:rPr>
        <w:br w:type="page"/>
      </w:r>
    </w:p>
    <w:p w14:paraId="006421F3">
      <w:pPr>
        <w:keepNext/>
        <w:spacing w:line="360" w:lineRule="auto"/>
        <w:jc w:val="center"/>
        <w:outlineLvl w:val="0"/>
        <w:rPr>
          <w:rFonts w:ascii="Times New Roman" w:hAnsi="Times New Roman" w:eastAsia="宋体" w:cs="Times New Roman"/>
          <w:b/>
          <w:bCs/>
          <w:color w:val="auto"/>
          <w:sz w:val="36"/>
          <w:szCs w:val="36"/>
          <w:highlight w:val="none"/>
        </w:rPr>
      </w:pPr>
      <w:bookmarkStart w:id="50" w:name="_Toc21591"/>
      <w:r>
        <w:rPr>
          <w:rFonts w:ascii="Times New Roman" w:hAnsi="Times New Roman" w:eastAsia="宋体" w:cs="Times New Roman"/>
          <w:b/>
          <w:bCs/>
          <w:color w:val="auto"/>
          <w:sz w:val="36"/>
          <w:szCs w:val="36"/>
          <w:highlight w:val="none"/>
        </w:rPr>
        <w:t>第二章</w:t>
      </w:r>
      <w:bookmarkEnd w:id="1"/>
      <w:bookmarkEnd w:id="2"/>
      <w:bookmarkEnd w:id="3"/>
      <w:bookmarkEnd w:id="4"/>
      <w:bookmarkEnd w:id="5"/>
      <w:bookmarkEnd w:id="49"/>
      <w:r>
        <w:rPr>
          <w:rFonts w:hint="eastAsia" w:ascii="Times New Roman" w:hAnsi="Times New Roman" w:eastAsia="宋体" w:cs="Times New Roman"/>
          <w:b/>
          <w:bCs/>
          <w:color w:val="auto"/>
          <w:sz w:val="36"/>
          <w:szCs w:val="36"/>
          <w:highlight w:val="none"/>
        </w:rPr>
        <w:t xml:space="preserve"> </w:t>
      </w:r>
      <w:r>
        <w:rPr>
          <w:rFonts w:ascii="Times New Roman" w:hAnsi="Times New Roman" w:eastAsia="宋体" w:cs="Times New Roman"/>
          <w:b/>
          <w:bCs/>
          <w:color w:val="auto"/>
          <w:sz w:val="36"/>
          <w:szCs w:val="36"/>
          <w:highlight w:val="none"/>
        </w:rPr>
        <w:t>供应商须知</w:t>
      </w:r>
      <w:bookmarkEnd w:id="50"/>
    </w:p>
    <w:p w14:paraId="691DC8A2">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Times New Roman" w:hAnsi="Times New Roman" w:eastAsia="宋体" w:cs="Times New Roman"/>
          <w:b/>
          <w:bCs/>
          <w:color w:val="auto"/>
          <w:sz w:val="32"/>
          <w:szCs w:val="32"/>
          <w:highlight w:val="none"/>
        </w:rPr>
      </w:pPr>
      <w:bookmarkStart w:id="51" w:name="_Toc513029203"/>
      <w:bookmarkStart w:id="52" w:name="_Toc120614214"/>
      <w:bookmarkStart w:id="53" w:name="_Toc16938519"/>
      <w:bookmarkStart w:id="54" w:name="_Toc20823275"/>
      <w:r>
        <w:rPr>
          <w:rFonts w:hint="eastAsia" w:ascii="Times New Roman" w:hAnsi="Times New Roman" w:eastAsia="宋体" w:cs="Times New Roman"/>
          <w:b/>
          <w:bCs/>
          <w:color w:val="auto"/>
          <w:sz w:val="32"/>
          <w:szCs w:val="32"/>
          <w:highlight w:val="none"/>
        </w:rPr>
        <w:t>一、总则</w:t>
      </w:r>
      <w:bookmarkEnd w:id="51"/>
      <w:bookmarkEnd w:id="52"/>
      <w:bookmarkEnd w:id="53"/>
      <w:bookmarkEnd w:id="54"/>
    </w:p>
    <w:p w14:paraId="08C5B7A0">
      <w:pPr>
        <w:keepNext/>
        <w:keepLines/>
        <w:spacing w:line="360" w:lineRule="auto"/>
        <w:ind w:firstLine="560"/>
        <w:outlineLvl w:val="3"/>
        <w:rPr>
          <w:rFonts w:hint="eastAsia" w:ascii="宋体" w:hAnsi="宋体" w:eastAsia="宋体" w:cs="宋体"/>
          <w:color w:val="auto"/>
          <w:sz w:val="28"/>
          <w:szCs w:val="28"/>
          <w:highlight w:val="none"/>
        </w:rPr>
      </w:pPr>
      <w:bookmarkStart w:id="55" w:name="_Hlt16619475"/>
      <w:bookmarkEnd w:id="55"/>
      <w:bookmarkStart w:id="56" w:name="_Toc458694821"/>
      <w:bookmarkStart w:id="57" w:name="_Toc16938520"/>
      <w:bookmarkStart w:id="58" w:name="_Toc20823276"/>
      <w:bookmarkStart w:id="59" w:name="_Toc513029204"/>
      <w:r>
        <w:rPr>
          <w:rFonts w:hint="eastAsia" w:ascii="宋体" w:hAnsi="宋体" w:eastAsia="宋体" w:cs="宋体"/>
          <w:color w:val="auto"/>
          <w:sz w:val="28"/>
          <w:szCs w:val="28"/>
          <w:highlight w:val="none"/>
        </w:rPr>
        <w:t>1</w:t>
      </w:r>
      <w:bookmarkEnd w:id="56"/>
      <w:r>
        <w:rPr>
          <w:rFonts w:hint="eastAsia" w:ascii="宋体" w:hAnsi="宋体" w:eastAsia="宋体" w:cs="宋体"/>
          <w:color w:val="auto"/>
          <w:sz w:val="28"/>
          <w:szCs w:val="28"/>
          <w:highlight w:val="none"/>
        </w:rPr>
        <w:t>、采购方式</w:t>
      </w:r>
      <w:bookmarkEnd w:id="57"/>
      <w:bookmarkEnd w:id="58"/>
      <w:bookmarkEnd w:id="59"/>
    </w:p>
    <w:p w14:paraId="4A00A717">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1.1 本次政府采购活动采取竞争性磋商</w:t>
      </w:r>
      <w:r>
        <w:rPr>
          <w:rFonts w:hint="eastAsia" w:ascii="宋体" w:hAnsi="宋体" w:cs="宋体"/>
          <w:color w:val="auto"/>
          <w:sz w:val="24"/>
          <w:szCs w:val="21"/>
          <w:highlight w:val="none"/>
          <w:lang w:eastAsia="zh-CN"/>
        </w:rPr>
        <w:t>（</w:t>
      </w:r>
      <w:r>
        <w:rPr>
          <w:rFonts w:hint="eastAsia" w:ascii="宋体" w:hAnsi="宋体" w:eastAsia="宋体" w:cs="宋体"/>
          <w:color w:val="auto"/>
          <w:sz w:val="24"/>
          <w:szCs w:val="21"/>
          <w:highlight w:val="none"/>
        </w:rPr>
        <w:t>以下简称磋商</w:t>
      </w:r>
      <w:r>
        <w:rPr>
          <w:rFonts w:hint="eastAsia" w:ascii="宋体" w:hAnsi="宋体" w:cs="宋体"/>
          <w:color w:val="auto"/>
          <w:sz w:val="24"/>
          <w:szCs w:val="21"/>
          <w:highlight w:val="none"/>
          <w:lang w:eastAsia="zh-CN"/>
        </w:rPr>
        <w:t>）</w:t>
      </w:r>
      <w:r>
        <w:rPr>
          <w:rFonts w:hint="eastAsia" w:ascii="宋体" w:hAnsi="宋体" w:eastAsia="宋体" w:cs="宋体"/>
          <w:color w:val="auto"/>
          <w:sz w:val="24"/>
          <w:szCs w:val="21"/>
          <w:highlight w:val="none"/>
        </w:rPr>
        <w:t>方式，本磋商文件仅适用于磋商公告中所述项目。</w:t>
      </w:r>
    </w:p>
    <w:p w14:paraId="7AC840E1">
      <w:pPr>
        <w:keepNext/>
        <w:keepLines/>
        <w:spacing w:line="360" w:lineRule="auto"/>
        <w:ind w:firstLine="560"/>
        <w:outlineLvl w:val="3"/>
        <w:rPr>
          <w:rFonts w:hint="eastAsia" w:ascii="宋体" w:hAnsi="宋体" w:eastAsia="宋体" w:cs="宋体"/>
          <w:color w:val="auto"/>
          <w:sz w:val="28"/>
          <w:szCs w:val="28"/>
          <w:highlight w:val="none"/>
        </w:rPr>
      </w:pPr>
      <w:bookmarkStart w:id="60" w:name="_Toc16938521"/>
      <w:bookmarkStart w:id="61" w:name="_Toc513029205"/>
      <w:bookmarkStart w:id="62" w:name="_Toc20823277"/>
      <w:r>
        <w:rPr>
          <w:rFonts w:hint="eastAsia" w:ascii="宋体" w:hAnsi="宋体" w:eastAsia="宋体" w:cs="宋体"/>
          <w:color w:val="auto"/>
          <w:sz w:val="28"/>
          <w:szCs w:val="28"/>
          <w:highlight w:val="none"/>
        </w:rPr>
        <w:t>2、合格的</w:t>
      </w:r>
      <w:bookmarkEnd w:id="60"/>
      <w:bookmarkEnd w:id="61"/>
      <w:bookmarkEnd w:id="62"/>
      <w:r>
        <w:rPr>
          <w:rFonts w:hint="eastAsia" w:ascii="宋体" w:hAnsi="宋体" w:eastAsia="宋体" w:cs="宋体"/>
          <w:color w:val="auto"/>
          <w:sz w:val="28"/>
          <w:szCs w:val="28"/>
          <w:highlight w:val="none"/>
        </w:rPr>
        <w:t>供应商</w:t>
      </w:r>
    </w:p>
    <w:p w14:paraId="63D7FFB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2.1满足磋商公告中供应商资格要求的规定。</w:t>
      </w:r>
    </w:p>
    <w:p w14:paraId="7196D51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满足本磋商文件实质性要求和条件的规定。</w:t>
      </w:r>
    </w:p>
    <w:p w14:paraId="4CE96F89">
      <w:pPr>
        <w:keepNext/>
        <w:keepLines/>
        <w:spacing w:line="360" w:lineRule="auto"/>
        <w:ind w:firstLine="560"/>
        <w:outlineLvl w:val="3"/>
        <w:rPr>
          <w:rFonts w:hint="eastAsia" w:ascii="宋体" w:hAnsi="宋体" w:eastAsia="宋体" w:cs="宋体"/>
          <w:color w:val="auto"/>
          <w:sz w:val="28"/>
          <w:szCs w:val="28"/>
          <w:highlight w:val="none"/>
        </w:rPr>
      </w:pPr>
      <w:bookmarkStart w:id="63" w:name="_Toc513029206"/>
      <w:bookmarkStart w:id="64" w:name="_Toc20823278"/>
      <w:bookmarkStart w:id="65" w:name="_Toc16938522"/>
      <w:r>
        <w:rPr>
          <w:rFonts w:hint="eastAsia" w:ascii="宋体" w:hAnsi="宋体" w:eastAsia="宋体" w:cs="宋体"/>
          <w:color w:val="auto"/>
          <w:sz w:val="28"/>
          <w:szCs w:val="28"/>
          <w:highlight w:val="none"/>
        </w:rPr>
        <w:t>3、适用法律</w:t>
      </w:r>
      <w:bookmarkEnd w:id="63"/>
      <w:bookmarkEnd w:id="64"/>
      <w:bookmarkEnd w:id="65"/>
    </w:p>
    <w:p w14:paraId="36C8A752">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3.1 本次磋商及由此产生的合同受中华人民共和国有关的法律法规制约和保护。</w:t>
      </w:r>
    </w:p>
    <w:p w14:paraId="506605AE">
      <w:pPr>
        <w:keepNext/>
        <w:keepLines/>
        <w:spacing w:line="360" w:lineRule="auto"/>
        <w:ind w:firstLine="560"/>
        <w:outlineLvl w:val="3"/>
        <w:rPr>
          <w:rFonts w:hint="eastAsia" w:ascii="宋体" w:hAnsi="宋体" w:eastAsia="宋体" w:cs="宋体"/>
          <w:color w:val="auto"/>
          <w:sz w:val="28"/>
          <w:szCs w:val="28"/>
          <w:highlight w:val="none"/>
        </w:rPr>
      </w:pPr>
      <w:bookmarkStart w:id="66" w:name="_Toc513029207"/>
      <w:bookmarkStart w:id="67" w:name="_Toc462564067"/>
      <w:bookmarkStart w:id="68" w:name="_Toc16938523"/>
      <w:bookmarkStart w:id="69" w:name="_Toc20823279"/>
      <w:r>
        <w:rPr>
          <w:rFonts w:hint="eastAsia" w:ascii="宋体" w:hAnsi="宋体" w:eastAsia="宋体" w:cs="宋体"/>
          <w:color w:val="auto"/>
          <w:sz w:val="28"/>
          <w:szCs w:val="28"/>
          <w:highlight w:val="none"/>
        </w:rPr>
        <w:t>4、磋商费用</w:t>
      </w:r>
      <w:bookmarkEnd w:id="66"/>
      <w:bookmarkEnd w:id="67"/>
      <w:bookmarkEnd w:id="68"/>
      <w:bookmarkEnd w:id="69"/>
    </w:p>
    <w:p w14:paraId="041168AF">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4.1</w:t>
      </w:r>
      <w:r>
        <w:rPr>
          <w:rFonts w:hint="eastAsia" w:ascii="宋体" w:hAnsi="宋体" w:eastAsia="宋体" w:cs="宋体"/>
          <w:color w:val="auto"/>
          <w:sz w:val="24"/>
          <w:szCs w:val="21"/>
          <w:highlight w:val="none"/>
        </w:rPr>
        <w:t>供应商应自行承担所有与参加本次磋商有关的费用，无论磋商过程中的做法和结果如何，</w:t>
      </w:r>
      <w:r>
        <w:rPr>
          <w:rFonts w:hint="eastAsia" w:ascii="宋体" w:hAnsi="宋体" w:cs="宋体"/>
          <w:color w:val="auto"/>
          <w:sz w:val="24"/>
          <w:szCs w:val="24"/>
          <w:highlight w:val="none"/>
          <w:lang w:eastAsia="zh-CN"/>
        </w:rPr>
        <w:t>江苏广和工程咨询有限公司</w:t>
      </w:r>
      <w:r>
        <w:rPr>
          <w:rFonts w:hint="eastAsia" w:ascii="宋体" w:hAnsi="宋体" w:cs="宋体"/>
          <w:color w:val="auto"/>
          <w:sz w:val="24"/>
          <w:szCs w:val="24"/>
          <w:highlight w:val="none"/>
        </w:rPr>
        <w:t>（以下简称采购代理机构）</w:t>
      </w:r>
      <w:r>
        <w:rPr>
          <w:rFonts w:hint="eastAsia" w:ascii="宋体" w:hAnsi="宋体" w:eastAsia="宋体" w:cs="宋体"/>
          <w:color w:val="auto"/>
          <w:sz w:val="24"/>
          <w:szCs w:val="21"/>
          <w:highlight w:val="none"/>
        </w:rPr>
        <w:t>在任何情况下均无义务和责任承担这些费用。</w:t>
      </w:r>
    </w:p>
    <w:p w14:paraId="13FFB323">
      <w:pPr>
        <w:spacing w:line="360" w:lineRule="auto"/>
        <w:ind w:firstLine="480"/>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rPr>
        <w:t>4.2</w:t>
      </w:r>
      <w:r>
        <w:rPr>
          <w:rFonts w:hint="eastAsia" w:ascii="宋体" w:hAnsi="宋体" w:cs="宋体"/>
          <w:color w:val="auto"/>
          <w:sz w:val="24"/>
          <w:szCs w:val="24"/>
          <w:highlight w:val="none"/>
        </w:rPr>
        <w:t>本项目采购代理费（按发改价格【2011】534号的标准*</w:t>
      </w:r>
      <w:r>
        <w:rPr>
          <w:rFonts w:hint="eastAsia" w:ascii="宋体" w:hAnsi="宋体" w:cs="宋体"/>
          <w:color w:val="auto"/>
          <w:sz w:val="24"/>
          <w:szCs w:val="24"/>
          <w:highlight w:val="none"/>
          <w:lang w:val="en-US" w:eastAsia="zh-CN"/>
        </w:rPr>
        <w:t>80</w:t>
      </w:r>
      <w:r>
        <w:rPr>
          <w:rFonts w:hint="eastAsia" w:ascii="宋体" w:hAnsi="宋体" w:cs="宋体"/>
          <w:color w:val="auto"/>
          <w:sz w:val="24"/>
          <w:szCs w:val="24"/>
          <w:highlight w:val="none"/>
        </w:rPr>
        <w:t>%计算）由成交供应商承担，请参加</w:t>
      </w:r>
      <w:r>
        <w:rPr>
          <w:rFonts w:hint="eastAsia" w:ascii="宋体" w:hAnsi="宋体" w:cs="宋体"/>
          <w:color w:val="auto"/>
          <w:sz w:val="24"/>
          <w:szCs w:val="24"/>
          <w:highlight w:val="none"/>
          <w:lang w:val="en-US" w:eastAsia="zh-CN"/>
        </w:rPr>
        <w:t>磋商</w:t>
      </w:r>
      <w:r>
        <w:rPr>
          <w:rFonts w:hint="eastAsia" w:ascii="宋体" w:hAnsi="宋体" w:cs="宋体"/>
          <w:color w:val="auto"/>
          <w:sz w:val="24"/>
          <w:szCs w:val="24"/>
          <w:highlight w:val="none"/>
        </w:rPr>
        <w:t>的供应商在成本中自行考虑。上述费用由成交供应商在领取成交通知书前向采购代理机构一次性付清。</w:t>
      </w:r>
    </w:p>
    <w:p w14:paraId="65A7B7B3">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4.3</w:t>
      </w:r>
      <w:r>
        <w:rPr>
          <w:rFonts w:hint="eastAsia" w:ascii="宋体" w:hAnsi="宋体" w:cs="宋体"/>
          <w:color w:val="auto"/>
          <w:sz w:val="24"/>
          <w:szCs w:val="21"/>
          <w:highlight w:val="none"/>
          <w:lang w:val="en-US" w:eastAsia="zh-CN"/>
        </w:rPr>
        <w:t>供应商</w:t>
      </w:r>
      <w:r>
        <w:rPr>
          <w:rFonts w:hint="eastAsia" w:ascii="宋体" w:hAnsi="宋体" w:eastAsia="宋体" w:cs="宋体"/>
          <w:color w:val="auto"/>
          <w:sz w:val="24"/>
          <w:szCs w:val="21"/>
          <w:highlight w:val="none"/>
          <w:lang w:val="en-US" w:eastAsia="zh-CN"/>
        </w:rPr>
        <w:t>自行对工程现场及周围环境进行踏勘，踏勘现场发生的一切费用由</w:t>
      </w: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sz w:val="24"/>
          <w:szCs w:val="21"/>
          <w:highlight w:val="none"/>
          <w:lang w:val="en-US" w:eastAsia="zh-CN"/>
        </w:rPr>
        <w:t>自行承担</w:t>
      </w:r>
      <w:r>
        <w:rPr>
          <w:rFonts w:hint="eastAsia" w:ascii="宋体" w:hAnsi="宋体" w:eastAsia="宋体" w:cs="宋体"/>
          <w:color w:val="auto"/>
          <w:sz w:val="24"/>
          <w:szCs w:val="21"/>
          <w:highlight w:val="none"/>
        </w:rPr>
        <w:t>。</w:t>
      </w:r>
    </w:p>
    <w:p w14:paraId="48D801F2">
      <w:pPr>
        <w:keepNext/>
        <w:keepLines/>
        <w:spacing w:line="360" w:lineRule="auto"/>
        <w:ind w:firstLine="560"/>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5、磋商文件的约束力</w:t>
      </w:r>
    </w:p>
    <w:p w14:paraId="32836A7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5.1</w:t>
      </w:r>
      <w:r>
        <w:rPr>
          <w:rFonts w:hint="eastAsia" w:ascii="宋体" w:hAnsi="宋体" w:eastAsia="宋体" w:cs="宋体"/>
          <w:color w:val="auto"/>
          <w:sz w:val="24"/>
          <w:szCs w:val="24"/>
          <w:highlight w:val="none"/>
        </w:rPr>
        <w:t>供应商一旦参加本项目采购活动，即被认为接受了本磋商文件的规定和约束。</w:t>
      </w:r>
    </w:p>
    <w:p w14:paraId="758543F1">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宋体" w:hAnsi="宋体" w:eastAsia="宋体" w:cs="宋体"/>
          <w:b/>
          <w:bCs/>
          <w:color w:val="auto"/>
          <w:sz w:val="32"/>
          <w:szCs w:val="32"/>
          <w:highlight w:val="none"/>
        </w:rPr>
      </w:pPr>
      <w:bookmarkStart w:id="70" w:name="_Toc513029209"/>
      <w:bookmarkStart w:id="71" w:name="_Toc20823281"/>
      <w:bookmarkStart w:id="72" w:name="_Toc16938525"/>
      <w:bookmarkStart w:id="73" w:name="_Toc120614215"/>
      <w:r>
        <w:rPr>
          <w:rFonts w:hint="eastAsia" w:ascii="宋体" w:hAnsi="宋体" w:eastAsia="宋体" w:cs="宋体"/>
          <w:b/>
          <w:bCs/>
          <w:color w:val="auto"/>
          <w:sz w:val="32"/>
          <w:szCs w:val="32"/>
          <w:highlight w:val="none"/>
        </w:rPr>
        <w:t>二、</w:t>
      </w:r>
      <w:bookmarkEnd w:id="70"/>
      <w:bookmarkEnd w:id="71"/>
      <w:bookmarkEnd w:id="72"/>
      <w:bookmarkEnd w:id="73"/>
      <w:r>
        <w:rPr>
          <w:rFonts w:hint="eastAsia" w:ascii="宋体" w:hAnsi="宋体" w:eastAsia="宋体" w:cs="宋体"/>
          <w:b/>
          <w:bCs/>
          <w:color w:val="auto"/>
          <w:sz w:val="32"/>
          <w:szCs w:val="32"/>
          <w:highlight w:val="none"/>
        </w:rPr>
        <w:t>磋商文件</w:t>
      </w:r>
    </w:p>
    <w:p w14:paraId="0C1264C3">
      <w:pPr>
        <w:keepNext/>
        <w:keepLines/>
        <w:spacing w:line="360" w:lineRule="auto"/>
        <w:ind w:firstLine="560"/>
        <w:outlineLvl w:val="3"/>
        <w:rPr>
          <w:rFonts w:hint="eastAsia" w:ascii="宋体" w:hAnsi="宋体" w:eastAsia="宋体" w:cs="宋体"/>
          <w:color w:val="auto"/>
          <w:sz w:val="28"/>
          <w:szCs w:val="28"/>
          <w:highlight w:val="none"/>
        </w:rPr>
      </w:pPr>
      <w:bookmarkStart w:id="74" w:name="_Toc16938526"/>
      <w:bookmarkStart w:id="75" w:name="_Toc513029210"/>
      <w:bookmarkStart w:id="76" w:name="_Toc20823282"/>
      <w:r>
        <w:rPr>
          <w:rFonts w:hint="eastAsia" w:ascii="宋体" w:hAnsi="宋体" w:eastAsia="宋体" w:cs="宋体"/>
          <w:color w:val="auto"/>
          <w:sz w:val="28"/>
          <w:szCs w:val="28"/>
          <w:highlight w:val="none"/>
        </w:rPr>
        <w:t>6、磋商文件构成</w:t>
      </w:r>
      <w:bookmarkEnd w:id="74"/>
      <w:bookmarkEnd w:id="75"/>
      <w:bookmarkEnd w:id="76"/>
    </w:p>
    <w:p w14:paraId="28923FD6">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6.1</w:t>
      </w:r>
      <w:r>
        <w:rPr>
          <w:rFonts w:hint="eastAsia" w:ascii="宋体" w:hAnsi="宋体" w:eastAsia="宋体" w:cs="宋体"/>
          <w:color w:val="auto"/>
          <w:sz w:val="24"/>
          <w:szCs w:val="21"/>
          <w:highlight w:val="none"/>
        </w:rPr>
        <w:t>磋商文件由以下部分组成：</w:t>
      </w:r>
    </w:p>
    <w:p w14:paraId="4E680F3F">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（1）磋商邀请</w:t>
      </w:r>
    </w:p>
    <w:p w14:paraId="6001DBE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（2）供应商须知</w:t>
      </w:r>
    </w:p>
    <w:p w14:paraId="277DAFD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（3）合同文本</w:t>
      </w:r>
    </w:p>
    <w:p w14:paraId="4397148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（4）采购需求</w:t>
      </w:r>
    </w:p>
    <w:p w14:paraId="7DD703C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rPr>
        <w:t>评标方法与评标标准</w:t>
      </w:r>
    </w:p>
    <w:p w14:paraId="56F8725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（6）响应文件格式</w:t>
      </w:r>
    </w:p>
    <w:p w14:paraId="75C6B35B">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请仔细检查磋商文件是否齐全，如有缺漏请立即与</w:t>
      </w:r>
      <w:r>
        <w:rPr>
          <w:rFonts w:hint="eastAsia" w:ascii="宋体" w:hAnsi="宋体" w:cs="宋体"/>
          <w:color w:val="auto"/>
          <w:sz w:val="24"/>
          <w:szCs w:val="24"/>
          <w:highlight w:val="none"/>
        </w:rPr>
        <w:t>采购代理机构</w:t>
      </w:r>
      <w:r>
        <w:rPr>
          <w:rFonts w:hint="eastAsia" w:ascii="宋体" w:hAnsi="宋体" w:eastAsia="宋体" w:cs="宋体"/>
          <w:color w:val="auto"/>
          <w:sz w:val="24"/>
          <w:szCs w:val="21"/>
          <w:highlight w:val="none"/>
        </w:rPr>
        <w:t>联系解决。</w:t>
      </w:r>
    </w:p>
    <w:p w14:paraId="301C7A6F">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6.2</w:t>
      </w:r>
      <w:r>
        <w:rPr>
          <w:rFonts w:hint="eastAsia" w:ascii="宋体" w:hAnsi="宋体" w:eastAsia="宋体" w:cs="宋体"/>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0E3D2788">
      <w:pPr>
        <w:keepNext/>
        <w:keepLines/>
        <w:spacing w:line="360" w:lineRule="auto"/>
        <w:ind w:firstLine="560"/>
        <w:outlineLvl w:val="3"/>
        <w:rPr>
          <w:rFonts w:hint="eastAsia" w:ascii="宋体" w:hAnsi="宋体" w:eastAsia="宋体" w:cs="宋体"/>
          <w:color w:val="auto"/>
          <w:sz w:val="28"/>
          <w:szCs w:val="28"/>
          <w:highlight w:val="none"/>
        </w:rPr>
      </w:pPr>
      <w:bookmarkStart w:id="77" w:name="_Toc513029211"/>
      <w:bookmarkStart w:id="78" w:name="_Toc462564070"/>
      <w:bookmarkStart w:id="79" w:name="_Toc20823283"/>
      <w:bookmarkStart w:id="80" w:name="_Toc16938527"/>
      <w:r>
        <w:rPr>
          <w:rFonts w:hint="eastAsia" w:ascii="宋体" w:hAnsi="宋体" w:eastAsia="宋体" w:cs="宋体"/>
          <w:color w:val="auto"/>
          <w:sz w:val="28"/>
          <w:szCs w:val="28"/>
          <w:highlight w:val="none"/>
        </w:rPr>
        <w:t>7、磋商文件的澄清</w:t>
      </w:r>
      <w:bookmarkEnd w:id="77"/>
      <w:bookmarkEnd w:id="78"/>
      <w:bookmarkEnd w:id="79"/>
      <w:bookmarkEnd w:id="80"/>
    </w:p>
    <w:p w14:paraId="15050B9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1"/>
          <w:highlight w:val="none"/>
        </w:rPr>
        <w:t>7.1</w:t>
      </w:r>
      <w:r>
        <w:rPr>
          <w:rFonts w:hint="eastAsia" w:ascii="宋体" w:hAnsi="宋体" w:eastAsia="宋体" w:cs="宋体"/>
          <w:color w:val="auto"/>
          <w:sz w:val="24"/>
          <w:szCs w:val="21"/>
          <w:highlight w:val="none"/>
        </w:rPr>
        <w:t>任何要求对磋商文件进行澄清的供应商，应在磋商截止期5日</w:t>
      </w:r>
      <w:r>
        <w:rPr>
          <w:rFonts w:hint="eastAsia" w:ascii="宋体" w:hAnsi="宋体" w:eastAsia="宋体" w:cs="宋体"/>
          <w:color w:val="auto"/>
          <w:sz w:val="24"/>
          <w:szCs w:val="24"/>
          <w:highlight w:val="none"/>
        </w:rPr>
        <w:t>前</w:t>
      </w:r>
      <w:r>
        <w:rPr>
          <w:rFonts w:hint="eastAsia" w:ascii="宋体" w:hAnsi="宋体" w:eastAsia="宋体" w:cs="宋体"/>
          <w:color w:val="auto"/>
          <w:sz w:val="24"/>
          <w:szCs w:val="21"/>
          <w:highlight w:val="none"/>
        </w:rPr>
        <w:t>按磋商公告中的通讯地址，以书面形式通知</w:t>
      </w:r>
      <w:r>
        <w:rPr>
          <w:rFonts w:hint="eastAsia" w:ascii="宋体" w:hAnsi="宋体" w:cs="宋体"/>
          <w:color w:val="auto"/>
          <w:sz w:val="24"/>
          <w:szCs w:val="24"/>
          <w:highlight w:val="none"/>
        </w:rPr>
        <w:t>采购代理机构</w:t>
      </w:r>
      <w:r>
        <w:rPr>
          <w:rFonts w:hint="eastAsia" w:ascii="宋体" w:hAnsi="宋体" w:eastAsia="宋体" w:cs="宋体"/>
          <w:color w:val="auto"/>
          <w:sz w:val="24"/>
          <w:szCs w:val="21"/>
          <w:highlight w:val="none"/>
        </w:rPr>
        <w:t>。</w:t>
      </w:r>
    </w:p>
    <w:p w14:paraId="51F91C0B">
      <w:pPr>
        <w:keepNext/>
        <w:keepLines/>
        <w:spacing w:line="360" w:lineRule="auto"/>
        <w:ind w:firstLine="560"/>
        <w:outlineLvl w:val="3"/>
        <w:rPr>
          <w:rFonts w:hint="eastAsia" w:ascii="宋体" w:hAnsi="宋体" w:eastAsia="宋体" w:cs="宋体"/>
          <w:color w:val="auto"/>
          <w:sz w:val="28"/>
          <w:szCs w:val="28"/>
          <w:highlight w:val="none"/>
        </w:rPr>
      </w:pPr>
      <w:bookmarkStart w:id="81" w:name="_Toc462564071"/>
      <w:bookmarkStart w:id="82" w:name="_Toc16938528"/>
      <w:bookmarkStart w:id="83" w:name="_Toc513029212"/>
      <w:bookmarkStart w:id="84" w:name="_Toc20823284"/>
      <w:r>
        <w:rPr>
          <w:rFonts w:hint="eastAsia" w:ascii="宋体" w:hAnsi="宋体" w:eastAsia="宋体" w:cs="宋体"/>
          <w:color w:val="auto"/>
          <w:sz w:val="28"/>
          <w:szCs w:val="28"/>
          <w:highlight w:val="none"/>
        </w:rPr>
        <w:t>8、磋商文件的澄清和修改</w:t>
      </w:r>
      <w:bookmarkEnd w:id="81"/>
      <w:bookmarkEnd w:id="82"/>
      <w:bookmarkEnd w:id="83"/>
      <w:bookmarkEnd w:id="84"/>
    </w:p>
    <w:p w14:paraId="6A756735">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8.1</w:t>
      </w:r>
      <w:r>
        <w:rPr>
          <w:rFonts w:hint="eastAsia" w:ascii="宋体" w:hAnsi="宋体" w:eastAsia="宋体" w:cs="宋体"/>
          <w:color w:val="auto"/>
          <w:sz w:val="24"/>
          <w:szCs w:val="21"/>
          <w:highlight w:val="none"/>
        </w:rPr>
        <w:t>在响应文件提交截止时间前，</w:t>
      </w:r>
      <w:r>
        <w:rPr>
          <w:rFonts w:hint="eastAsia" w:ascii="宋体" w:hAnsi="宋体" w:cs="宋体"/>
          <w:color w:val="auto"/>
          <w:sz w:val="24"/>
          <w:szCs w:val="24"/>
          <w:highlight w:val="none"/>
        </w:rPr>
        <w:t>采购代理机构</w:t>
      </w:r>
      <w:r>
        <w:rPr>
          <w:rFonts w:hint="eastAsia" w:ascii="宋体" w:hAnsi="宋体" w:eastAsia="宋体" w:cs="宋体"/>
          <w:color w:val="auto"/>
          <w:sz w:val="24"/>
          <w:szCs w:val="21"/>
          <w:highlight w:val="none"/>
        </w:rPr>
        <w:t>可以对磋商文件进行澄清和修改</w:t>
      </w:r>
      <w:r>
        <w:rPr>
          <w:rFonts w:hint="eastAsia" w:ascii="宋体" w:hAnsi="宋体" w:cs="宋体"/>
          <w:color w:val="auto"/>
          <w:sz w:val="24"/>
          <w:szCs w:val="21"/>
          <w:highlight w:val="none"/>
          <w:lang w:eastAsia="zh-CN"/>
        </w:rPr>
        <w:t>，</w:t>
      </w:r>
      <w:r>
        <w:rPr>
          <w:rFonts w:hint="eastAsia" w:ascii="宋体" w:hAnsi="宋体" w:eastAsia="宋体" w:cs="宋体"/>
          <w:color w:val="auto"/>
          <w:sz w:val="24"/>
          <w:szCs w:val="21"/>
          <w:highlight w:val="none"/>
        </w:rPr>
        <w:t>澄清或者修改的内容作为磋商文件的组成部分。澄清或者修改的内容可能影响响应文件编制的，</w:t>
      </w:r>
      <w:r>
        <w:rPr>
          <w:rFonts w:hint="eastAsia" w:ascii="宋体" w:hAnsi="宋体" w:cs="宋体"/>
          <w:color w:val="auto"/>
          <w:sz w:val="24"/>
          <w:szCs w:val="24"/>
          <w:highlight w:val="none"/>
        </w:rPr>
        <w:t>采购代理机构</w:t>
      </w:r>
      <w:r>
        <w:rPr>
          <w:rFonts w:hint="eastAsia" w:ascii="宋体" w:hAnsi="宋体" w:eastAsia="宋体" w:cs="宋体"/>
          <w:color w:val="auto"/>
          <w:sz w:val="24"/>
          <w:szCs w:val="21"/>
          <w:highlight w:val="none"/>
        </w:rPr>
        <w:t>将在提交首次响应文件截止时间至少5日前，在“江苏政府采购网”上发布书面更正公告形式通知所有获取磋商文件的供应商</w:t>
      </w:r>
      <w:r>
        <w:rPr>
          <w:rFonts w:hint="eastAsia" w:ascii="宋体" w:hAnsi="宋体" w:cs="宋体"/>
          <w:color w:val="auto"/>
          <w:sz w:val="24"/>
          <w:szCs w:val="21"/>
          <w:highlight w:val="none"/>
          <w:lang w:eastAsia="zh-CN"/>
        </w:rPr>
        <w:t>，</w:t>
      </w:r>
      <w:r>
        <w:rPr>
          <w:rFonts w:hint="eastAsia" w:ascii="宋体" w:hAnsi="宋体" w:eastAsia="宋体" w:cs="宋体"/>
          <w:color w:val="auto"/>
          <w:sz w:val="24"/>
          <w:szCs w:val="21"/>
          <w:highlight w:val="none"/>
        </w:rPr>
        <w:t>更正公告内容将作为磋商文件的组成部分，并对供应商具有约束力。不足5日的，</w:t>
      </w:r>
      <w:r>
        <w:rPr>
          <w:rFonts w:hint="eastAsia" w:ascii="宋体" w:hAnsi="宋体" w:cs="宋体"/>
          <w:color w:val="auto"/>
          <w:sz w:val="24"/>
          <w:szCs w:val="24"/>
          <w:highlight w:val="none"/>
        </w:rPr>
        <w:t>采购代理机构</w:t>
      </w:r>
      <w:r>
        <w:rPr>
          <w:rFonts w:hint="eastAsia" w:ascii="宋体" w:hAnsi="宋体" w:eastAsia="宋体" w:cs="宋体"/>
          <w:color w:val="auto"/>
          <w:sz w:val="24"/>
          <w:szCs w:val="21"/>
          <w:highlight w:val="none"/>
        </w:rPr>
        <w:t>将顺延提交首次响应文件截止时间。</w:t>
      </w:r>
    </w:p>
    <w:p w14:paraId="4A23A82D">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宋体" w:hAnsi="宋体" w:eastAsia="宋体" w:cs="宋体"/>
          <w:b/>
          <w:bCs/>
          <w:color w:val="auto"/>
          <w:sz w:val="32"/>
          <w:szCs w:val="32"/>
          <w:highlight w:val="none"/>
        </w:rPr>
      </w:pPr>
      <w:bookmarkStart w:id="85" w:name="_Toc462564072"/>
      <w:bookmarkStart w:id="86" w:name="_Toc513029213"/>
      <w:bookmarkStart w:id="87" w:name="_Toc120614216"/>
      <w:bookmarkStart w:id="88" w:name="_Toc16938529"/>
      <w:bookmarkStart w:id="89" w:name="_Toc20823285"/>
      <w:r>
        <w:rPr>
          <w:rFonts w:hint="eastAsia" w:ascii="宋体" w:hAnsi="宋体" w:eastAsia="宋体" w:cs="宋体"/>
          <w:b/>
          <w:bCs/>
          <w:color w:val="auto"/>
          <w:sz w:val="32"/>
          <w:szCs w:val="32"/>
          <w:highlight w:val="none"/>
        </w:rPr>
        <w:t>三、响应文件的编制</w:t>
      </w:r>
      <w:bookmarkEnd w:id="85"/>
      <w:bookmarkEnd w:id="86"/>
      <w:bookmarkEnd w:id="87"/>
      <w:bookmarkEnd w:id="88"/>
      <w:bookmarkEnd w:id="89"/>
    </w:p>
    <w:p w14:paraId="1475BF84">
      <w:pPr>
        <w:keepNext/>
        <w:keepLines/>
        <w:spacing w:line="360" w:lineRule="auto"/>
        <w:ind w:firstLine="560"/>
        <w:outlineLvl w:val="3"/>
        <w:rPr>
          <w:rFonts w:hint="eastAsia" w:ascii="宋体" w:hAnsi="宋体" w:eastAsia="宋体" w:cs="宋体"/>
          <w:color w:val="auto"/>
          <w:sz w:val="28"/>
          <w:szCs w:val="28"/>
          <w:highlight w:val="none"/>
        </w:rPr>
      </w:pPr>
      <w:bookmarkStart w:id="90" w:name="_Toc16938530"/>
      <w:bookmarkStart w:id="91" w:name="_Toc513029214"/>
      <w:bookmarkStart w:id="92" w:name="_Toc20823286"/>
      <w:bookmarkStart w:id="93" w:name="_Toc462564073"/>
      <w:r>
        <w:rPr>
          <w:rFonts w:hint="eastAsia" w:ascii="宋体" w:hAnsi="宋体" w:eastAsia="宋体" w:cs="宋体"/>
          <w:color w:val="auto"/>
          <w:sz w:val="28"/>
          <w:szCs w:val="28"/>
          <w:highlight w:val="none"/>
        </w:rPr>
        <w:t>9、响应文件的语言及度量衡单位</w:t>
      </w:r>
      <w:bookmarkEnd w:id="90"/>
      <w:bookmarkEnd w:id="91"/>
      <w:bookmarkEnd w:id="92"/>
      <w:bookmarkEnd w:id="93"/>
    </w:p>
    <w:p w14:paraId="7EED94B4">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9.1</w:t>
      </w:r>
      <w:r>
        <w:rPr>
          <w:rFonts w:hint="eastAsia" w:ascii="宋体" w:hAnsi="宋体" w:eastAsia="宋体" w:cs="宋体"/>
          <w:color w:val="auto"/>
          <w:sz w:val="24"/>
          <w:szCs w:val="21"/>
          <w:highlight w:val="none"/>
        </w:rPr>
        <w:t>供应商提交的响应文件以及供应商与</w:t>
      </w:r>
      <w:r>
        <w:rPr>
          <w:rFonts w:hint="eastAsia" w:ascii="宋体" w:hAnsi="宋体" w:cs="宋体"/>
          <w:color w:val="auto"/>
          <w:sz w:val="24"/>
          <w:szCs w:val="24"/>
          <w:highlight w:val="none"/>
        </w:rPr>
        <w:t>采购代理机构</w:t>
      </w:r>
      <w:r>
        <w:rPr>
          <w:rFonts w:hint="eastAsia" w:ascii="宋体" w:hAnsi="宋体" w:eastAsia="宋体" w:cs="宋体"/>
          <w:color w:val="auto"/>
          <w:sz w:val="24"/>
          <w:szCs w:val="21"/>
          <w:highlight w:val="none"/>
        </w:rPr>
        <w:t>就有关磋商的所有来往通知、函件和文件均应使用</w:t>
      </w:r>
      <w:r>
        <w:rPr>
          <w:rFonts w:hint="eastAsia" w:ascii="宋体" w:hAnsi="宋体" w:eastAsia="宋体" w:cs="宋体"/>
          <w:b/>
          <w:bCs/>
          <w:color w:val="auto"/>
          <w:sz w:val="24"/>
          <w:szCs w:val="21"/>
          <w:highlight w:val="none"/>
        </w:rPr>
        <w:t>简体中文</w:t>
      </w:r>
      <w:r>
        <w:rPr>
          <w:rFonts w:hint="eastAsia" w:ascii="宋体" w:hAnsi="宋体" w:eastAsia="宋体" w:cs="宋体"/>
          <w:color w:val="auto"/>
          <w:sz w:val="24"/>
          <w:szCs w:val="21"/>
          <w:highlight w:val="none"/>
        </w:rPr>
        <w:t>。</w:t>
      </w:r>
    </w:p>
    <w:p w14:paraId="63A4B9C8">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9.2</w:t>
      </w:r>
      <w:r>
        <w:rPr>
          <w:rFonts w:hint="eastAsia" w:ascii="宋体" w:hAnsi="宋体" w:eastAsia="宋体" w:cs="宋体"/>
          <w:color w:val="auto"/>
          <w:sz w:val="24"/>
          <w:szCs w:val="21"/>
          <w:highlight w:val="none"/>
        </w:rPr>
        <w:t>除技术性能另有规定外，响应文件所使用的度量衡单位，均须采用国家法定计量单位。</w:t>
      </w:r>
    </w:p>
    <w:p w14:paraId="28C7A7A6">
      <w:pPr>
        <w:keepNext/>
        <w:keepLines/>
        <w:spacing w:line="360" w:lineRule="auto"/>
        <w:ind w:firstLine="560"/>
        <w:outlineLvl w:val="3"/>
        <w:rPr>
          <w:rFonts w:hint="eastAsia" w:ascii="宋体" w:hAnsi="宋体" w:eastAsia="宋体" w:cs="宋体"/>
          <w:color w:val="auto"/>
          <w:sz w:val="28"/>
          <w:szCs w:val="28"/>
          <w:highlight w:val="none"/>
        </w:rPr>
      </w:pPr>
      <w:bookmarkStart w:id="94" w:name="_Toc20823287"/>
      <w:bookmarkStart w:id="95" w:name="_Toc16938531"/>
      <w:bookmarkStart w:id="96" w:name="_Toc513029215"/>
      <w:bookmarkStart w:id="97" w:name="_Toc462564074"/>
      <w:r>
        <w:rPr>
          <w:rFonts w:hint="eastAsia" w:ascii="宋体" w:hAnsi="宋体" w:eastAsia="宋体" w:cs="宋体"/>
          <w:color w:val="auto"/>
          <w:sz w:val="28"/>
          <w:szCs w:val="28"/>
          <w:highlight w:val="none"/>
        </w:rPr>
        <w:t>10、响应文件构成</w:t>
      </w:r>
      <w:bookmarkEnd w:id="94"/>
      <w:bookmarkEnd w:id="95"/>
      <w:bookmarkEnd w:id="96"/>
      <w:bookmarkEnd w:id="97"/>
    </w:p>
    <w:p w14:paraId="2DCC18B1">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10.1</w:t>
      </w:r>
      <w:r>
        <w:rPr>
          <w:rFonts w:hint="eastAsia" w:ascii="宋体" w:hAnsi="宋体" w:eastAsia="宋体" w:cs="宋体"/>
          <w:color w:val="auto"/>
          <w:sz w:val="24"/>
          <w:szCs w:val="21"/>
          <w:highlight w:val="none"/>
        </w:rPr>
        <w:t>供应商编写的响应文件应包括资格证明文件、符合性证明文件、分项报价表、其他证明文件、磋商响应函</w:t>
      </w:r>
      <w:r>
        <w:rPr>
          <w:rFonts w:hint="eastAsia" w:ascii="宋体" w:hAnsi="宋体" w:cs="宋体"/>
          <w:color w:val="auto"/>
          <w:sz w:val="24"/>
          <w:szCs w:val="21"/>
          <w:highlight w:val="none"/>
          <w:lang w:eastAsia="zh-CN"/>
        </w:rPr>
        <w:t>、</w:t>
      </w:r>
      <w:r>
        <w:rPr>
          <w:rFonts w:hint="eastAsia" w:ascii="宋体" w:hAnsi="宋体" w:cs="宋体"/>
          <w:color w:val="auto"/>
          <w:sz w:val="24"/>
          <w:szCs w:val="21"/>
          <w:highlight w:val="none"/>
          <w:lang w:val="en-US" w:eastAsia="zh-CN"/>
        </w:rPr>
        <w:t>开标一览表</w:t>
      </w:r>
      <w:r>
        <w:rPr>
          <w:rFonts w:hint="eastAsia" w:ascii="宋体" w:hAnsi="宋体" w:eastAsia="宋体" w:cs="宋体"/>
          <w:color w:val="auto"/>
          <w:sz w:val="24"/>
          <w:szCs w:val="21"/>
          <w:highlight w:val="none"/>
        </w:rPr>
        <w:t>等部分。</w:t>
      </w:r>
    </w:p>
    <w:p w14:paraId="1B4BC224">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10.2 如标书制作工具中格式和内容与“江苏政府采购网”发布的磋商文件不一致，请以“江苏政府采购网”发布的磋商文件为准。</w:t>
      </w:r>
    </w:p>
    <w:p w14:paraId="27047B12">
      <w:pPr>
        <w:keepNext/>
        <w:keepLines/>
        <w:spacing w:line="360" w:lineRule="auto"/>
        <w:ind w:firstLine="560"/>
        <w:outlineLvl w:val="3"/>
        <w:rPr>
          <w:rFonts w:hint="eastAsia" w:ascii="宋体" w:hAnsi="宋体" w:eastAsia="宋体" w:cs="宋体"/>
          <w:color w:val="auto"/>
          <w:sz w:val="28"/>
          <w:szCs w:val="28"/>
          <w:highlight w:val="none"/>
        </w:rPr>
      </w:pPr>
      <w:bookmarkStart w:id="98" w:name="_Hlt26670360"/>
      <w:bookmarkEnd w:id="98"/>
      <w:bookmarkStart w:id="99" w:name="_Hlt26954838"/>
      <w:bookmarkEnd w:id="99"/>
      <w:bookmarkStart w:id="100" w:name="_Hlt26668975"/>
      <w:bookmarkEnd w:id="100"/>
      <w:bookmarkStart w:id="101" w:name="_Toc513029219"/>
      <w:bookmarkStart w:id="102" w:name="_Toc49090507"/>
      <w:bookmarkStart w:id="103" w:name="_Toc49090509"/>
      <w:bookmarkStart w:id="104" w:name="_Toc513029216"/>
      <w:bookmarkStart w:id="105" w:name="_Toc14577354"/>
      <w:bookmarkStart w:id="106" w:name="_Toc14577357"/>
      <w:bookmarkStart w:id="107" w:name="_Toc14577355"/>
      <w:bookmarkStart w:id="108" w:name="_Toc49090508"/>
      <w:r>
        <w:rPr>
          <w:rFonts w:hint="eastAsia" w:ascii="宋体" w:hAnsi="宋体" w:eastAsia="宋体" w:cs="宋体"/>
          <w:color w:val="auto"/>
          <w:sz w:val="28"/>
          <w:szCs w:val="28"/>
          <w:highlight w:val="none"/>
        </w:rPr>
        <w:t>11、证明磋商响应标的符合磋商文件规定的文件</w:t>
      </w:r>
      <w:bookmarkEnd w:id="101"/>
      <w:bookmarkEnd w:id="102"/>
      <w:bookmarkEnd w:id="103"/>
      <w:bookmarkEnd w:id="104"/>
      <w:bookmarkEnd w:id="105"/>
      <w:bookmarkEnd w:id="106"/>
    </w:p>
    <w:p w14:paraId="3E61D82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11.1供应商应按照磋商文件要求提交证明文件，证明其及磋商响应标的符合磋商文件规定。</w:t>
      </w:r>
    </w:p>
    <w:p w14:paraId="7F2B3478">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11.2磋商文件对证明文件无明确形式要求的，证明文件可以以文字资料、图纸和数据等形式提交。</w:t>
      </w:r>
      <w:bookmarkEnd w:id="107"/>
      <w:bookmarkEnd w:id="108"/>
    </w:p>
    <w:p w14:paraId="4EBA2786">
      <w:pPr>
        <w:keepNext/>
        <w:keepLines/>
        <w:spacing w:line="360" w:lineRule="auto"/>
        <w:ind w:firstLine="560"/>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12、分项报价表</w:t>
      </w:r>
    </w:p>
    <w:p w14:paraId="0CE0DA46">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12.1</w:t>
      </w:r>
      <w:r>
        <w:rPr>
          <w:rFonts w:hint="eastAsia" w:ascii="宋体" w:hAnsi="宋体" w:eastAsia="宋体" w:cs="宋体"/>
          <w:color w:val="auto"/>
          <w:sz w:val="24"/>
          <w:szCs w:val="21"/>
          <w:highlight w:val="none"/>
        </w:rPr>
        <w:t>供应商应按照磋商文件规定格式填报分项报价表。</w:t>
      </w:r>
    </w:p>
    <w:p w14:paraId="46358DDB">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rPr>
        <w:t>12.2</w:t>
      </w:r>
      <w:r>
        <w:rPr>
          <w:rFonts w:hint="eastAsia" w:ascii="宋体" w:hAnsi="宋体" w:eastAsia="宋体" w:cs="宋体"/>
          <w:bCs/>
          <w:color w:val="auto"/>
          <w:sz w:val="24"/>
          <w:szCs w:val="21"/>
          <w:highlight w:val="none"/>
        </w:rPr>
        <w:t>磋商货币。响应文件中的单价和总价无特殊规定的采用人民币报价，以元为单位标注。</w:t>
      </w:r>
      <w:r>
        <w:rPr>
          <w:rFonts w:hint="eastAsia" w:ascii="宋体" w:hAnsi="宋体" w:eastAsia="宋体" w:cs="宋体"/>
          <w:color w:val="auto"/>
          <w:sz w:val="24"/>
          <w:szCs w:val="21"/>
          <w:highlight w:val="none"/>
        </w:rPr>
        <w:t>磋商文件中另有规定的按规定执行。</w:t>
      </w:r>
    </w:p>
    <w:p w14:paraId="2F05377E">
      <w:pPr>
        <w:keepNext/>
        <w:keepLines/>
        <w:spacing w:line="360" w:lineRule="auto"/>
        <w:ind w:firstLine="560"/>
        <w:outlineLvl w:val="3"/>
        <w:rPr>
          <w:rFonts w:hint="eastAsia" w:ascii="宋体" w:hAnsi="宋体" w:eastAsia="宋体" w:cs="宋体"/>
          <w:color w:val="auto"/>
          <w:sz w:val="28"/>
          <w:szCs w:val="28"/>
          <w:highlight w:val="none"/>
        </w:rPr>
      </w:pPr>
      <w:bookmarkStart w:id="109" w:name="_Hlt26954848"/>
      <w:bookmarkEnd w:id="109"/>
      <w:bookmarkStart w:id="110" w:name="_Hlt26670486"/>
      <w:bookmarkEnd w:id="110"/>
      <w:bookmarkStart w:id="111" w:name="_Hlt26670482"/>
      <w:bookmarkEnd w:id="111"/>
      <w:bookmarkStart w:id="112" w:name="_Hlt26954731"/>
      <w:bookmarkEnd w:id="112"/>
      <w:bookmarkStart w:id="113" w:name="_Hlt26954846"/>
      <w:bookmarkEnd w:id="113"/>
      <w:bookmarkStart w:id="114" w:name="_Toc49090510"/>
      <w:bookmarkStart w:id="115" w:name="_Toc14577359"/>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、磋商响应函和开标一览表</w:t>
      </w:r>
    </w:p>
    <w:p w14:paraId="30FED2C8">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1</w:t>
      </w:r>
      <w:r>
        <w:rPr>
          <w:rFonts w:hint="eastAsia" w:ascii="宋体" w:hAnsi="宋体" w:cs="宋体"/>
          <w:bCs/>
          <w:color w:val="auto"/>
          <w:sz w:val="24"/>
          <w:szCs w:val="21"/>
          <w:highlight w:val="none"/>
          <w:lang w:val="en-US" w:eastAsia="zh-CN"/>
        </w:rPr>
        <w:t>3</w:t>
      </w:r>
      <w:r>
        <w:rPr>
          <w:rFonts w:hint="eastAsia" w:ascii="宋体" w:hAnsi="宋体" w:eastAsia="宋体" w:cs="宋体"/>
          <w:bCs/>
          <w:color w:val="auto"/>
          <w:sz w:val="24"/>
          <w:szCs w:val="21"/>
          <w:highlight w:val="none"/>
        </w:rPr>
        <w:t>.1</w:t>
      </w:r>
      <w:r>
        <w:rPr>
          <w:rFonts w:hint="eastAsia" w:ascii="宋体" w:hAnsi="宋体" w:eastAsia="宋体" w:cs="宋体"/>
          <w:color w:val="auto"/>
          <w:sz w:val="24"/>
          <w:szCs w:val="21"/>
          <w:highlight w:val="none"/>
        </w:rPr>
        <w:t>供应商应按照磋商文件中提供的格式完整、正确填写磋商响应函</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开标一览表</w:t>
      </w:r>
      <w:r>
        <w:rPr>
          <w:rFonts w:hint="eastAsia" w:ascii="宋体" w:hAnsi="宋体" w:eastAsia="宋体" w:cs="宋体"/>
          <w:color w:val="auto"/>
          <w:sz w:val="24"/>
          <w:szCs w:val="21"/>
          <w:highlight w:val="none"/>
        </w:rPr>
        <w:t>。</w:t>
      </w:r>
      <w:bookmarkEnd w:id="114"/>
      <w:bookmarkEnd w:id="115"/>
    </w:p>
    <w:p w14:paraId="6DBCA077">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cs="宋体"/>
          <w:color w:val="auto"/>
          <w:sz w:val="24"/>
          <w:szCs w:val="21"/>
          <w:highlight w:val="none"/>
          <w:lang w:val="en-US" w:eastAsia="zh-CN"/>
        </w:rPr>
        <w:t>3</w:t>
      </w:r>
      <w:r>
        <w:rPr>
          <w:rFonts w:hint="eastAsia" w:ascii="宋体" w:hAnsi="宋体" w:eastAsia="宋体" w:cs="宋体"/>
          <w:color w:val="auto"/>
          <w:sz w:val="24"/>
          <w:szCs w:val="21"/>
          <w:highlight w:val="none"/>
        </w:rPr>
        <w:t>.2对于采用货币报价的项目，开标一览表中的投标总报价应与分项报价表中的投标总报价一致，如不一致，不作为无效</w:t>
      </w:r>
      <w:r>
        <w:rPr>
          <w:rFonts w:hint="eastAsia" w:ascii="宋体" w:hAnsi="宋体" w:cs="宋体"/>
          <w:color w:val="auto"/>
          <w:sz w:val="24"/>
          <w:szCs w:val="21"/>
          <w:highlight w:val="none"/>
          <w:lang w:val="en-US" w:eastAsia="zh-CN"/>
        </w:rPr>
        <w:t>响应</w:t>
      </w:r>
      <w:r>
        <w:rPr>
          <w:rFonts w:hint="eastAsia" w:ascii="宋体" w:hAnsi="宋体" w:eastAsia="宋体" w:cs="宋体"/>
          <w:color w:val="auto"/>
          <w:sz w:val="24"/>
          <w:szCs w:val="21"/>
          <w:highlight w:val="none"/>
        </w:rPr>
        <w:t>处理，但评标时按开标一览表中价格为准。</w:t>
      </w:r>
    </w:p>
    <w:p w14:paraId="620A7B7E">
      <w:pPr>
        <w:keepNext/>
        <w:keepLines/>
        <w:spacing w:line="360" w:lineRule="auto"/>
        <w:ind w:firstLine="560"/>
        <w:outlineLvl w:val="3"/>
        <w:rPr>
          <w:rFonts w:hint="eastAsia" w:ascii="宋体" w:hAnsi="宋体" w:eastAsia="宋体" w:cs="宋体"/>
          <w:color w:val="auto"/>
          <w:sz w:val="28"/>
          <w:szCs w:val="28"/>
          <w:highlight w:val="none"/>
        </w:rPr>
      </w:pPr>
      <w:bookmarkStart w:id="116" w:name="_Toc14577360"/>
      <w:bookmarkStart w:id="117" w:name="_Toc49090511"/>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、磋商有效期</w:t>
      </w:r>
      <w:bookmarkEnd w:id="116"/>
      <w:bookmarkEnd w:id="117"/>
    </w:p>
    <w:p w14:paraId="5A4B18CE">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.1磋商有效期为</w:t>
      </w:r>
      <w:r>
        <w:rPr>
          <w:rFonts w:hint="eastAsia" w:ascii="宋体" w:hAnsi="宋体" w:cs="宋体"/>
          <w:bCs/>
          <w:color w:val="auto"/>
          <w:sz w:val="24"/>
          <w:szCs w:val="24"/>
          <w:highlight w:val="none"/>
        </w:rPr>
        <w:t>采购代理机构</w:t>
      </w:r>
      <w:r>
        <w:rPr>
          <w:rFonts w:hint="eastAsia" w:ascii="宋体" w:hAnsi="宋体" w:eastAsia="宋体" w:cs="宋体"/>
          <w:bCs/>
          <w:color w:val="auto"/>
          <w:sz w:val="24"/>
          <w:szCs w:val="21"/>
          <w:highlight w:val="none"/>
        </w:rPr>
        <w:t>规定的提交响应文件截止之日后</w:t>
      </w:r>
      <w:r>
        <w:rPr>
          <w:rFonts w:hint="eastAsia" w:ascii="宋体" w:hAnsi="宋体" w:cs="宋体"/>
          <w:b/>
          <w:color w:val="auto"/>
          <w:sz w:val="24"/>
          <w:szCs w:val="21"/>
          <w:highlight w:val="none"/>
          <w:u w:val="single"/>
          <w:lang w:val="en-US" w:eastAsia="zh-CN"/>
        </w:rPr>
        <w:t>九</w:t>
      </w:r>
      <w:r>
        <w:rPr>
          <w:rFonts w:hint="eastAsia" w:ascii="宋体" w:hAnsi="宋体" w:eastAsia="宋体" w:cs="宋体"/>
          <w:b/>
          <w:color w:val="auto"/>
          <w:sz w:val="24"/>
          <w:szCs w:val="21"/>
          <w:highlight w:val="none"/>
          <w:u w:val="single"/>
        </w:rPr>
        <w:t>十（</w:t>
      </w:r>
      <w:r>
        <w:rPr>
          <w:rFonts w:hint="eastAsia" w:ascii="宋体" w:hAnsi="宋体" w:cs="宋体"/>
          <w:b/>
          <w:color w:val="auto"/>
          <w:sz w:val="24"/>
          <w:szCs w:val="21"/>
          <w:highlight w:val="none"/>
          <w:u w:val="single"/>
          <w:lang w:val="en-US" w:eastAsia="zh-CN"/>
        </w:rPr>
        <w:t>90</w:t>
      </w:r>
      <w:r>
        <w:rPr>
          <w:rFonts w:hint="eastAsia" w:ascii="宋体" w:hAnsi="宋体" w:eastAsia="宋体" w:cs="宋体"/>
          <w:b/>
          <w:color w:val="auto"/>
          <w:sz w:val="24"/>
          <w:szCs w:val="21"/>
          <w:highlight w:val="none"/>
          <w:u w:val="single"/>
        </w:rPr>
        <w:t>）天</w:t>
      </w:r>
      <w:r>
        <w:rPr>
          <w:rFonts w:hint="eastAsia" w:ascii="宋体" w:hAnsi="宋体" w:eastAsia="宋体" w:cs="宋体"/>
          <w:bCs/>
          <w:color w:val="auto"/>
          <w:sz w:val="24"/>
          <w:szCs w:val="21"/>
          <w:highlight w:val="none"/>
        </w:rPr>
        <w:t>。磋商有效期比规定短的将被视为非实质性响应磋商文件而予以拒绝。</w:t>
      </w:r>
    </w:p>
    <w:p w14:paraId="5E8551C1">
      <w:pPr>
        <w:keepNext/>
        <w:keepLines/>
        <w:spacing w:line="360" w:lineRule="auto"/>
        <w:ind w:firstLine="560"/>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、磋商有效期的延长</w:t>
      </w:r>
    </w:p>
    <w:p w14:paraId="770C9792">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w:t>
      </w:r>
      <w:r>
        <w:rPr>
          <w:rFonts w:hint="eastAsia" w:ascii="宋体" w:hAnsi="宋体" w:cs="宋体"/>
          <w:bCs/>
          <w:color w:val="auto"/>
          <w:sz w:val="24"/>
          <w:szCs w:val="21"/>
          <w:highlight w:val="none"/>
          <w:lang w:val="en-US" w:eastAsia="zh-CN"/>
        </w:rPr>
        <w:t>5</w:t>
      </w:r>
      <w:r>
        <w:rPr>
          <w:rFonts w:hint="eastAsia" w:ascii="宋体" w:hAnsi="宋体" w:eastAsia="宋体" w:cs="宋体"/>
          <w:bCs/>
          <w:color w:val="auto"/>
          <w:sz w:val="24"/>
          <w:szCs w:val="21"/>
          <w:highlight w:val="none"/>
        </w:rPr>
        <w:t>.1在特殊情况下，</w:t>
      </w:r>
      <w:r>
        <w:rPr>
          <w:rFonts w:hint="eastAsia" w:ascii="宋体" w:hAnsi="宋体" w:cs="宋体"/>
          <w:bCs/>
          <w:color w:val="auto"/>
          <w:sz w:val="24"/>
          <w:szCs w:val="24"/>
          <w:highlight w:val="none"/>
        </w:rPr>
        <w:t>采购代理机构</w:t>
      </w:r>
      <w:r>
        <w:rPr>
          <w:rFonts w:hint="eastAsia" w:ascii="宋体" w:hAnsi="宋体" w:eastAsia="宋体" w:cs="宋体"/>
          <w:bCs/>
          <w:color w:val="auto"/>
          <w:sz w:val="24"/>
          <w:szCs w:val="21"/>
          <w:highlight w:val="none"/>
        </w:rPr>
        <w:t>于原磋商有效期满之前，可向供应商提出延长磋商有效期的要求。这种要求与答复均应采用书面形式。供应商可以拒绝</w:t>
      </w:r>
      <w:r>
        <w:rPr>
          <w:rFonts w:hint="eastAsia" w:ascii="宋体" w:hAnsi="宋体" w:cs="宋体"/>
          <w:bCs/>
          <w:color w:val="auto"/>
          <w:sz w:val="24"/>
          <w:szCs w:val="24"/>
          <w:highlight w:val="none"/>
        </w:rPr>
        <w:t>采购代理机构</w:t>
      </w:r>
      <w:r>
        <w:rPr>
          <w:rFonts w:hint="eastAsia" w:ascii="宋体" w:hAnsi="宋体" w:eastAsia="宋体" w:cs="宋体"/>
          <w:bCs/>
          <w:color w:val="auto"/>
          <w:sz w:val="24"/>
          <w:szCs w:val="21"/>
          <w:highlight w:val="none"/>
        </w:rPr>
        <w:t>的这一要求而放弃磋商，同意延长磋商有效期的供应商既不能要求也不允许修改其响应文件。</w:t>
      </w:r>
      <w:r>
        <w:rPr>
          <w:rFonts w:hint="eastAsia" w:ascii="宋体" w:hAnsi="宋体" w:eastAsia="宋体" w:cs="宋体"/>
          <w:color w:val="auto"/>
          <w:sz w:val="24"/>
          <w:szCs w:val="24"/>
          <w:highlight w:val="none"/>
        </w:rPr>
        <w:t>受磋商有效期约束的所有权利与义务均延长至新的有效期</w:t>
      </w:r>
      <w:r>
        <w:rPr>
          <w:rFonts w:hint="eastAsia" w:ascii="宋体" w:hAnsi="宋体" w:eastAsia="宋体" w:cs="宋体"/>
          <w:bCs/>
          <w:color w:val="auto"/>
          <w:sz w:val="24"/>
          <w:szCs w:val="21"/>
          <w:highlight w:val="none"/>
        </w:rPr>
        <w:t>。</w:t>
      </w:r>
    </w:p>
    <w:p w14:paraId="3BAB5EAB">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宋体" w:hAnsi="宋体" w:eastAsia="宋体" w:cs="宋体"/>
          <w:b/>
          <w:bCs/>
          <w:color w:val="auto"/>
          <w:sz w:val="32"/>
          <w:szCs w:val="32"/>
          <w:highlight w:val="none"/>
        </w:rPr>
      </w:pPr>
      <w:bookmarkStart w:id="118" w:name="_Hlt26954739"/>
      <w:bookmarkEnd w:id="118"/>
      <w:bookmarkStart w:id="119" w:name="_Hlt26954852"/>
      <w:bookmarkEnd w:id="119"/>
      <w:bookmarkStart w:id="120" w:name="_Toc20823296"/>
      <w:bookmarkStart w:id="121" w:name="_Toc120614217"/>
      <w:bookmarkStart w:id="122" w:name="_Toc513029224"/>
      <w:bookmarkStart w:id="123" w:name="_Toc16938540"/>
      <w:r>
        <w:rPr>
          <w:rFonts w:hint="eastAsia" w:ascii="宋体" w:hAnsi="宋体" w:eastAsia="宋体" w:cs="宋体"/>
          <w:b/>
          <w:bCs/>
          <w:color w:val="auto"/>
          <w:sz w:val="32"/>
          <w:szCs w:val="32"/>
          <w:highlight w:val="none"/>
        </w:rPr>
        <w:t>四、响应文件的递交</w:t>
      </w:r>
      <w:bookmarkEnd w:id="120"/>
      <w:bookmarkEnd w:id="121"/>
      <w:bookmarkEnd w:id="122"/>
      <w:bookmarkEnd w:id="123"/>
    </w:p>
    <w:p w14:paraId="4C3505A4">
      <w:pPr>
        <w:keepNext/>
        <w:keepLines/>
        <w:spacing w:line="360" w:lineRule="auto"/>
        <w:ind w:firstLine="560"/>
        <w:outlineLvl w:val="3"/>
        <w:rPr>
          <w:rFonts w:hint="eastAsia" w:ascii="宋体" w:hAnsi="宋体" w:eastAsia="宋体" w:cs="宋体"/>
          <w:color w:val="auto"/>
          <w:sz w:val="28"/>
          <w:szCs w:val="28"/>
          <w:highlight w:val="none"/>
        </w:rPr>
      </w:pPr>
      <w:bookmarkStart w:id="124" w:name="_Toc462564084"/>
      <w:bookmarkStart w:id="125" w:name="_Toc513029225"/>
      <w:bookmarkStart w:id="126" w:name="_Toc20823297"/>
      <w:bookmarkStart w:id="127" w:name="_Toc16938541"/>
      <w:r>
        <w:rPr>
          <w:rFonts w:hint="eastAsia" w:ascii="宋体" w:hAnsi="宋体" w:eastAsia="宋体" w:cs="宋体"/>
          <w:color w:val="auto"/>
          <w:sz w:val="28"/>
          <w:szCs w:val="28"/>
          <w:highlight w:val="none"/>
          <w:lang w:val="en-US" w:eastAsia="zh-CN"/>
        </w:rPr>
        <w:t>16</w:t>
      </w:r>
      <w:r>
        <w:rPr>
          <w:rFonts w:hint="eastAsia" w:ascii="宋体" w:hAnsi="宋体" w:eastAsia="宋体" w:cs="宋体"/>
          <w:color w:val="auto"/>
          <w:sz w:val="28"/>
          <w:szCs w:val="28"/>
          <w:highlight w:val="none"/>
        </w:rPr>
        <w:t>、电子磋商</w:t>
      </w:r>
      <w:bookmarkEnd w:id="124"/>
      <w:bookmarkEnd w:id="125"/>
      <w:bookmarkEnd w:id="126"/>
      <w:bookmarkEnd w:id="127"/>
      <w:r>
        <w:rPr>
          <w:rFonts w:hint="eastAsia" w:ascii="宋体" w:hAnsi="宋体" w:eastAsia="宋体" w:cs="宋体"/>
          <w:color w:val="auto"/>
          <w:sz w:val="28"/>
          <w:szCs w:val="28"/>
          <w:highlight w:val="none"/>
        </w:rPr>
        <w:t>响应文件的递交</w:t>
      </w:r>
    </w:p>
    <w:p w14:paraId="174D324F">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1</w:t>
      </w:r>
      <w:r>
        <w:rPr>
          <w:rFonts w:hint="eastAsia" w:ascii="宋体" w:hAnsi="宋体" w:cs="宋体"/>
          <w:bCs/>
          <w:color w:val="auto"/>
          <w:sz w:val="24"/>
          <w:szCs w:val="21"/>
          <w:highlight w:val="none"/>
          <w:lang w:val="en-US" w:eastAsia="zh-CN"/>
        </w:rPr>
        <w:t>6</w:t>
      </w:r>
      <w:r>
        <w:rPr>
          <w:rFonts w:hint="eastAsia" w:ascii="宋体" w:hAnsi="宋体" w:eastAsia="宋体" w:cs="宋体"/>
          <w:bCs/>
          <w:color w:val="auto"/>
          <w:sz w:val="24"/>
          <w:szCs w:val="21"/>
          <w:highlight w:val="none"/>
        </w:rPr>
        <w:t>.1供应商应当按照《操作手册》规定，在提交响应文件截止时间前制作并上传电子响应文件。</w:t>
      </w:r>
      <w:bookmarkStart w:id="128" w:name="_Toc16938542"/>
      <w:bookmarkStart w:id="129" w:name="_Toc513029226"/>
      <w:bookmarkStart w:id="130" w:name="_Toc20823298"/>
    </w:p>
    <w:p w14:paraId="49BF33A2">
      <w:pPr>
        <w:keepNext/>
        <w:keepLines/>
        <w:spacing w:line="360" w:lineRule="auto"/>
        <w:ind w:firstLine="560"/>
        <w:outlineLvl w:val="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17、提交响应文件截止时间</w:t>
      </w:r>
      <w:bookmarkEnd w:id="128"/>
      <w:bookmarkEnd w:id="129"/>
      <w:bookmarkEnd w:id="130"/>
    </w:p>
    <w:p w14:paraId="3EBD865C">
      <w:pPr>
        <w:spacing w:line="360" w:lineRule="auto"/>
        <w:ind w:firstLine="480"/>
        <w:rPr>
          <w:rFonts w:hint="eastAsia" w:ascii="宋体" w:hAnsi="宋体" w:eastAsia="宋体" w:cs="宋体"/>
          <w:b/>
          <w:bCs/>
          <w:color w:val="auto"/>
          <w:sz w:val="24"/>
          <w:szCs w:val="21"/>
          <w:highlight w:val="none"/>
          <w:u w:val="single"/>
        </w:rPr>
      </w:pPr>
      <w:r>
        <w:rPr>
          <w:rFonts w:hint="eastAsia" w:ascii="宋体" w:hAnsi="宋体" w:eastAsia="宋体" w:cs="宋体"/>
          <w:b/>
          <w:bCs/>
          <w:color w:val="auto"/>
          <w:sz w:val="24"/>
          <w:szCs w:val="21"/>
          <w:highlight w:val="none"/>
          <w:u w:val="single"/>
        </w:rPr>
        <w:t>1</w:t>
      </w:r>
      <w:r>
        <w:rPr>
          <w:rFonts w:hint="eastAsia" w:ascii="宋体" w:hAnsi="宋体" w:cs="宋体"/>
          <w:b/>
          <w:bCs/>
          <w:color w:val="auto"/>
          <w:sz w:val="24"/>
          <w:szCs w:val="21"/>
          <w:highlight w:val="none"/>
          <w:u w:val="single"/>
          <w:lang w:val="en-US" w:eastAsia="zh-CN"/>
        </w:rPr>
        <w:t>7</w:t>
      </w:r>
      <w:r>
        <w:rPr>
          <w:rFonts w:hint="eastAsia" w:ascii="宋体" w:hAnsi="宋体" w:eastAsia="宋体" w:cs="宋体"/>
          <w:b/>
          <w:bCs/>
          <w:color w:val="auto"/>
          <w:sz w:val="24"/>
          <w:szCs w:val="21"/>
          <w:highlight w:val="none"/>
          <w:u w:val="single"/>
        </w:rPr>
        <w:t>.1供应商上传电子响应文件的时间不得迟于磋商公告中规定的提交响应文件截止时间。</w:t>
      </w:r>
    </w:p>
    <w:p w14:paraId="0B6E951E">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供应商应充分考虑到网络环境、网络带宽等风险因素，如因供应商自身原因造成的电子响应文件上传不成功的按照本磋商文件第二章第2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.3.2条规定做无效响应处理。</w:t>
      </w:r>
    </w:p>
    <w:p w14:paraId="1C0725A7">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cs="宋体"/>
          <w:color w:val="auto"/>
          <w:sz w:val="24"/>
          <w:szCs w:val="21"/>
          <w:highlight w:val="none"/>
          <w:lang w:val="en-US" w:eastAsia="zh-CN"/>
        </w:rPr>
        <w:t>7</w:t>
      </w:r>
      <w:r>
        <w:rPr>
          <w:rFonts w:hint="eastAsia" w:ascii="宋体" w:hAnsi="宋体" w:eastAsia="宋体" w:cs="宋体"/>
          <w:color w:val="auto"/>
          <w:sz w:val="24"/>
          <w:szCs w:val="21"/>
          <w:highlight w:val="none"/>
        </w:rPr>
        <w:t>.2</w:t>
      </w:r>
      <w:r>
        <w:rPr>
          <w:rFonts w:hint="eastAsia" w:ascii="宋体" w:hAnsi="宋体" w:cs="宋体"/>
          <w:bCs/>
          <w:color w:val="auto"/>
          <w:sz w:val="24"/>
          <w:szCs w:val="24"/>
          <w:highlight w:val="none"/>
        </w:rPr>
        <w:t>采购代理机构</w:t>
      </w:r>
      <w:r>
        <w:rPr>
          <w:rFonts w:hint="eastAsia" w:ascii="宋体" w:hAnsi="宋体" w:eastAsia="宋体" w:cs="宋体"/>
          <w:bCs/>
          <w:color w:val="auto"/>
          <w:sz w:val="24"/>
          <w:szCs w:val="21"/>
          <w:highlight w:val="none"/>
        </w:rPr>
        <w:t>可以按照规定，通过修改磋商文件酌情延长提交响应文件截止日期，在此情况下，供应商的所有权利和义务以及供应商受制的截止日期均应以延长后新的截止日期为准。</w:t>
      </w:r>
    </w:p>
    <w:p w14:paraId="2A928163">
      <w:pPr>
        <w:keepNext/>
        <w:keepLines/>
        <w:spacing w:line="360" w:lineRule="auto"/>
        <w:ind w:firstLine="560"/>
        <w:outlineLvl w:val="3"/>
        <w:rPr>
          <w:rFonts w:hint="eastAsia" w:ascii="宋体" w:hAnsi="宋体" w:eastAsia="宋体" w:cs="宋体"/>
          <w:color w:val="auto"/>
          <w:sz w:val="28"/>
          <w:szCs w:val="28"/>
          <w:highlight w:val="none"/>
        </w:rPr>
      </w:pPr>
      <w:bookmarkStart w:id="131" w:name="_Toc513029227"/>
      <w:bookmarkStart w:id="132" w:name="_Toc20823299"/>
      <w:bookmarkStart w:id="133" w:name="_Toc16938543"/>
      <w:r>
        <w:rPr>
          <w:rFonts w:hint="eastAsia" w:ascii="宋体" w:hAnsi="宋体" w:cs="宋体"/>
          <w:color w:val="auto"/>
          <w:sz w:val="28"/>
          <w:szCs w:val="28"/>
          <w:highlight w:val="none"/>
          <w:lang w:val="en-US" w:eastAsia="zh-CN"/>
        </w:rPr>
        <w:t>18</w:t>
      </w:r>
      <w:r>
        <w:rPr>
          <w:rFonts w:hint="eastAsia" w:ascii="宋体" w:hAnsi="宋体" w:eastAsia="宋体" w:cs="宋体"/>
          <w:color w:val="auto"/>
          <w:sz w:val="28"/>
          <w:szCs w:val="28"/>
          <w:highlight w:val="none"/>
        </w:rPr>
        <w:t>、响应文件</w:t>
      </w:r>
      <w:bookmarkEnd w:id="131"/>
      <w:bookmarkEnd w:id="132"/>
      <w:bookmarkEnd w:id="133"/>
      <w:r>
        <w:rPr>
          <w:rFonts w:hint="eastAsia" w:ascii="宋体" w:hAnsi="宋体" w:eastAsia="宋体" w:cs="宋体"/>
          <w:color w:val="auto"/>
          <w:sz w:val="28"/>
          <w:szCs w:val="28"/>
          <w:highlight w:val="none"/>
        </w:rPr>
        <w:t>的拒收</w:t>
      </w:r>
    </w:p>
    <w:p w14:paraId="1FB3AC0F">
      <w:pPr>
        <w:spacing w:line="360" w:lineRule="auto"/>
        <w:ind w:firstLine="48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val="en-US" w:eastAsia="zh-CN"/>
        </w:rPr>
        <w:t>18</w:t>
      </w:r>
      <w:r>
        <w:rPr>
          <w:rFonts w:hint="eastAsia" w:ascii="宋体" w:hAnsi="宋体" w:eastAsia="宋体" w:cs="宋体"/>
          <w:bCs/>
          <w:color w:val="auto"/>
          <w:sz w:val="24"/>
          <w:szCs w:val="21"/>
          <w:highlight w:val="none"/>
        </w:rPr>
        <w:t>.1</w:t>
      </w:r>
      <w:r>
        <w:rPr>
          <w:rFonts w:hint="eastAsia" w:ascii="宋体" w:hAnsi="宋体" w:cs="宋体"/>
          <w:bCs/>
          <w:color w:val="auto"/>
          <w:sz w:val="24"/>
          <w:szCs w:val="24"/>
          <w:highlight w:val="none"/>
        </w:rPr>
        <w:t>采购代理机构</w:t>
      </w:r>
      <w:r>
        <w:rPr>
          <w:rFonts w:hint="eastAsia" w:ascii="宋体" w:hAnsi="宋体" w:eastAsia="宋体" w:cs="宋体"/>
          <w:bCs/>
          <w:color w:val="auto"/>
          <w:sz w:val="24"/>
          <w:szCs w:val="21"/>
          <w:highlight w:val="none"/>
        </w:rPr>
        <w:t>拒绝接收在其规定的提交响应文件截止时间后上传的任何电子响应文件。</w:t>
      </w:r>
    </w:p>
    <w:p w14:paraId="63EE1E8F">
      <w:pPr>
        <w:keepNext/>
        <w:keepLines/>
        <w:spacing w:line="360" w:lineRule="auto"/>
        <w:ind w:firstLine="560"/>
        <w:outlineLvl w:val="3"/>
        <w:rPr>
          <w:rFonts w:hint="eastAsia" w:ascii="宋体" w:hAnsi="宋体" w:eastAsia="宋体" w:cs="宋体"/>
          <w:color w:val="auto"/>
          <w:sz w:val="28"/>
          <w:szCs w:val="28"/>
          <w:highlight w:val="none"/>
        </w:rPr>
      </w:pPr>
      <w:bookmarkStart w:id="134" w:name="_Toc20823300"/>
      <w:bookmarkStart w:id="135" w:name="_Toc16938544"/>
      <w:bookmarkStart w:id="136" w:name="_Toc513029228"/>
      <w:r>
        <w:rPr>
          <w:rFonts w:hint="eastAsia" w:ascii="宋体" w:hAnsi="宋体" w:cs="宋体"/>
          <w:color w:val="auto"/>
          <w:sz w:val="28"/>
          <w:szCs w:val="28"/>
          <w:highlight w:val="none"/>
          <w:lang w:val="en-US" w:eastAsia="zh-CN"/>
        </w:rPr>
        <w:t>19</w:t>
      </w:r>
      <w:r>
        <w:rPr>
          <w:rFonts w:hint="eastAsia" w:ascii="宋体" w:hAnsi="宋体" w:eastAsia="宋体" w:cs="宋体"/>
          <w:color w:val="auto"/>
          <w:sz w:val="28"/>
          <w:szCs w:val="28"/>
          <w:highlight w:val="none"/>
        </w:rPr>
        <w:t>、响应文件的撤回和修改</w:t>
      </w:r>
      <w:bookmarkEnd w:id="134"/>
      <w:bookmarkEnd w:id="135"/>
      <w:bookmarkEnd w:id="136"/>
    </w:p>
    <w:p w14:paraId="70C26061">
      <w:pPr>
        <w:spacing w:line="360" w:lineRule="auto"/>
        <w:ind w:firstLine="480"/>
        <w:rPr>
          <w:rFonts w:hint="eastAsia" w:ascii="宋体" w:hAnsi="宋体" w:eastAsia="宋体" w:cs="宋体"/>
          <w:color w:val="auto"/>
          <w:sz w:val="24"/>
          <w:szCs w:val="21"/>
          <w:highlight w:val="none"/>
        </w:rPr>
      </w:pPr>
      <w:r>
        <w:rPr>
          <w:rFonts w:hint="eastAsia" w:ascii="宋体" w:hAnsi="宋体" w:cs="宋体"/>
          <w:color w:val="auto"/>
          <w:sz w:val="24"/>
          <w:szCs w:val="21"/>
          <w:highlight w:val="none"/>
          <w:lang w:val="en-US" w:eastAsia="zh-CN"/>
        </w:rPr>
        <w:t>19</w:t>
      </w:r>
      <w:r>
        <w:rPr>
          <w:rFonts w:hint="eastAsia" w:ascii="宋体" w:hAnsi="宋体" w:eastAsia="宋体" w:cs="宋体"/>
          <w:color w:val="auto"/>
          <w:sz w:val="24"/>
          <w:szCs w:val="21"/>
          <w:highlight w:val="none"/>
        </w:rPr>
        <w:t>.1响应文件的撤回</w:t>
      </w:r>
    </w:p>
    <w:p w14:paraId="7BB5988D">
      <w:pPr>
        <w:spacing w:line="360" w:lineRule="auto"/>
        <w:ind w:firstLine="480"/>
        <w:rPr>
          <w:rFonts w:hint="eastAsia" w:ascii="宋体" w:hAnsi="宋体" w:eastAsia="宋体" w:cs="宋体"/>
          <w:color w:val="auto"/>
          <w:sz w:val="24"/>
          <w:szCs w:val="21"/>
          <w:highlight w:val="none"/>
        </w:rPr>
      </w:pPr>
      <w:r>
        <w:rPr>
          <w:rFonts w:hint="eastAsia" w:ascii="宋体" w:hAnsi="宋体" w:cs="宋体"/>
          <w:color w:val="auto"/>
          <w:sz w:val="24"/>
          <w:szCs w:val="21"/>
          <w:highlight w:val="none"/>
          <w:lang w:val="en-US" w:eastAsia="zh-CN"/>
        </w:rPr>
        <w:t>19</w:t>
      </w:r>
      <w:r>
        <w:rPr>
          <w:rFonts w:hint="eastAsia" w:ascii="宋体" w:hAnsi="宋体" w:eastAsia="宋体" w:cs="宋体"/>
          <w:color w:val="auto"/>
          <w:sz w:val="24"/>
          <w:szCs w:val="21"/>
          <w:highlight w:val="none"/>
        </w:rPr>
        <w:t>.1.1 电子响应文件的撤回</w:t>
      </w:r>
    </w:p>
    <w:p w14:paraId="2DCCE921">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供应商可在</w:t>
      </w:r>
      <w:r>
        <w:rPr>
          <w:rFonts w:hint="eastAsia" w:ascii="宋体" w:hAnsi="宋体" w:eastAsia="宋体" w:cs="宋体"/>
          <w:bCs/>
          <w:color w:val="auto"/>
          <w:sz w:val="24"/>
          <w:szCs w:val="21"/>
          <w:highlight w:val="none"/>
        </w:rPr>
        <w:t>提交响应文件</w:t>
      </w:r>
      <w:r>
        <w:rPr>
          <w:rFonts w:hint="eastAsia" w:ascii="宋体" w:hAnsi="宋体" w:eastAsia="宋体" w:cs="宋体"/>
          <w:color w:val="auto"/>
          <w:sz w:val="24"/>
          <w:szCs w:val="21"/>
          <w:highlight w:val="none"/>
        </w:rPr>
        <w:t>截止时间前，撤回其电子响应文件，具体操作方法见《操作手册》。</w:t>
      </w:r>
    </w:p>
    <w:p w14:paraId="3FA704A3">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1"/>
          <w:highlight w:val="none"/>
          <w:lang w:val="en-US" w:eastAsia="zh-CN"/>
        </w:rPr>
        <w:t>19</w:t>
      </w:r>
      <w:r>
        <w:rPr>
          <w:rFonts w:hint="eastAsia" w:ascii="宋体" w:hAnsi="宋体" w:eastAsia="宋体" w:cs="宋体"/>
          <w:color w:val="auto"/>
          <w:sz w:val="24"/>
          <w:szCs w:val="24"/>
          <w:highlight w:val="none"/>
        </w:rPr>
        <w:t>.1.2供应商撤回电子响应文件，则认为其不再参与本项目磋商活动。</w:t>
      </w:r>
    </w:p>
    <w:p w14:paraId="3DFC6FEA">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1"/>
          <w:highlight w:val="none"/>
          <w:lang w:val="en-US" w:eastAsia="zh-CN"/>
        </w:rPr>
        <w:t>19</w:t>
      </w:r>
      <w:r>
        <w:rPr>
          <w:rFonts w:hint="eastAsia" w:ascii="宋体" w:hAnsi="宋体" w:eastAsia="宋体" w:cs="宋体"/>
          <w:color w:val="auto"/>
          <w:sz w:val="24"/>
          <w:szCs w:val="24"/>
          <w:highlight w:val="none"/>
        </w:rPr>
        <w:t>.2响应文件的修改</w:t>
      </w:r>
    </w:p>
    <w:p w14:paraId="317C0412">
      <w:pPr>
        <w:spacing w:line="360" w:lineRule="auto"/>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供应商可在</w:t>
      </w:r>
      <w:r>
        <w:rPr>
          <w:rFonts w:hint="eastAsia" w:ascii="宋体" w:hAnsi="宋体" w:eastAsia="宋体" w:cs="宋体"/>
          <w:bCs/>
          <w:color w:val="auto"/>
          <w:sz w:val="24"/>
          <w:szCs w:val="21"/>
          <w:highlight w:val="none"/>
        </w:rPr>
        <w:t>提交响应文件</w:t>
      </w:r>
      <w:r>
        <w:rPr>
          <w:rFonts w:hint="eastAsia" w:ascii="宋体" w:hAnsi="宋体" w:eastAsia="宋体" w:cs="宋体"/>
          <w:color w:val="auto"/>
          <w:sz w:val="24"/>
          <w:szCs w:val="21"/>
          <w:highlight w:val="none"/>
        </w:rPr>
        <w:t>截止时间前，对其电子响应文件进行修改，具体操作方法见《操作手册》。</w:t>
      </w:r>
    </w:p>
    <w:p w14:paraId="27164F6F">
      <w:pPr>
        <w:spacing w:line="360" w:lineRule="auto"/>
        <w:ind w:firstLine="480"/>
        <w:rPr>
          <w:rFonts w:hint="eastAsia" w:ascii="宋体" w:hAnsi="宋体" w:eastAsia="宋体" w:cs="宋体"/>
          <w:bCs/>
          <w:color w:val="auto"/>
          <w:sz w:val="24"/>
          <w:szCs w:val="21"/>
          <w:highlight w:val="none"/>
        </w:rPr>
      </w:pPr>
      <w:r>
        <w:rPr>
          <w:rFonts w:hint="eastAsia" w:ascii="宋体" w:hAnsi="宋体" w:cs="宋体"/>
          <w:color w:val="auto"/>
          <w:sz w:val="24"/>
          <w:szCs w:val="21"/>
          <w:highlight w:val="none"/>
          <w:lang w:val="en-US" w:eastAsia="zh-CN"/>
        </w:rPr>
        <w:t>19</w:t>
      </w:r>
      <w:r>
        <w:rPr>
          <w:rFonts w:hint="eastAsia" w:ascii="宋体" w:hAnsi="宋体" w:eastAsia="宋体" w:cs="宋体"/>
          <w:color w:val="auto"/>
          <w:sz w:val="24"/>
          <w:szCs w:val="21"/>
          <w:highlight w:val="none"/>
        </w:rPr>
        <w:t>.3</w:t>
      </w:r>
      <w:r>
        <w:rPr>
          <w:rFonts w:hint="eastAsia" w:ascii="宋体" w:hAnsi="宋体" w:eastAsia="宋体" w:cs="宋体"/>
          <w:bCs/>
          <w:color w:val="auto"/>
          <w:sz w:val="24"/>
          <w:szCs w:val="21"/>
          <w:highlight w:val="none"/>
        </w:rPr>
        <w:t>在提交响应文件截止时间之后，供应商不得对其电子响应文件作任何修改。</w:t>
      </w:r>
    </w:p>
    <w:p w14:paraId="48DAE249">
      <w:pPr>
        <w:spacing w:line="360" w:lineRule="auto"/>
        <w:ind w:firstLine="480"/>
        <w:rPr>
          <w:rFonts w:hint="eastAsia" w:ascii="宋体" w:hAnsi="宋体" w:eastAsia="宋体" w:cs="宋体"/>
          <w:bCs/>
          <w:color w:val="auto"/>
          <w:sz w:val="24"/>
          <w:szCs w:val="21"/>
          <w:highlight w:val="none"/>
        </w:rPr>
      </w:pPr>
      <w:r>
        <w:rPr>
          <w:rFonts w:hint="eastAsia" w:ascii="宋体" w:hAnsi="宋体" w:cs="宋体"/>
          <w:color w:val="auto"/>
          <w:sz w:val="24"/>
          <w:szCs w:val="21"/>
          <w:highlight w:val="none"/>
          <w:lang w:val="en-US" w:eastAsia="zh-CN"/>
        </w:rPr>
        <w:t>19</w:t>
      </w:r>
      <w:r>
        <w:rPr>
          <w:rFonts w:hint="eastAsia" w:ascii="宋体" w:hAnsi="宋体" w:eastAsia="宋体" w:cs="宋体"/>
          <w:color w:val="auto"/>
          <w:sz w:val="24"/>
          <w:szCs w:val="21"/>
          <w:highlight w:val="none"/>
        </w:rPr>
        <w:t>.4</w:t>
      </w:r>
      <w:r>
        <w:rPr>
          <w:rFonts w:hint="eastAsia" w:ascii="宋体" w:hAnsi="宋体" w:eastAsia="宋体" w:cs="宋体"/>
          <w:bCs/>
          <w:color w:val="auto"/>
          <w:sz w:val="24"/>
          <w:szCs w:val="21"/>
          <w:highlight w:val="none"/>
        </w:rPr>
        <w:t>在提交响应文件截止时间至磋商文件中规定的磋商有效期满之间的这段时间内，供应商不得撤回其响应文件。</w:t>
      </w:r>
    </w:p>
    <w:p w14:paraId="147C5885">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宋体" w:hAnsi="宋体" w:eastAsia="宋体" w:cs="宋体"/>
          <w:b/>
          <w:bCs/>
          <w:color w:val="auto"/>
          <w:sz w:val="32"/>
          <w:szCs w:val="32"/>
          <w:highlight w:val="none"/>
        </w:rPr>
      </w:pPr>
      <w:bookmarkStart w:id="137" w:name="_Toc16938545"/>
      <w:bookmarkStart w:id="138" w:name="_Toc513029229"/>
      <w:bookmarkStart w:id="139" w:name="_Toc20823301"/>
      <w:bookmarkStart w:id="140" w:name="_Toc120614218"/>
      <w:r>
        <w:rPr>
          <w:rFonts w:hint="eastAsia" w:ascii="宋体" w:hAnsi="宋体" w:eastAsia="宋体" w:cs="宋体"/>
          <w:b/>
          <w:bCs/>
          <w:color w:val="auto"/>
          <w:sz w:val="32"/>
          <w:szCs w:val="32"/>
          <w:highlight w:val="none"/>
        </w:rPr>
        <w:t>五、响应文件的解密与评审</w:t>
      </w:r>
      <w:bookmarkEnd w:id="137"/>
      <w:bookmarkEnd w:id="138"/>
      <w:bookmarkEnd w:id="139"/>
      <w:bookmarkEnd w:id="140"/>
    </w:p>
    <w:p w14:paraId="2E4D6CA2">
      <w:pPr>
        <w:keepNext/>
        <w:keepLines/>
        <w:spacing w:line="360" w:lineRule="auto"/>
        <w:ind w:firstLine="560"/>
        <w:outlineLvl w:val="3"/>
        <w:rPr>
          <w:rFonts w:hint="eastAsia" w:ascii="宋体" w:hAnsi="宋体" w:eastAsia="宋体" w:cs="宋体"/>
          <w:color w:val="auto"/>
          <w:sz w:val="28"/>
          <w:szCs w:val="28"/>
          <w:highlight w:val="none"/>
        </w:rPr>
      </w:pPr>
      <w:bookmarkStart w:id="141" w:name="_Toc20823302"/>
      <w:bookmarkStart w:id="142" w:name="_Toc513029230"/>
      <w:bookmarkStart w:id="143" w:name="_Toc16938546"/>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rPr>
        <w:t>、</w:t>
      </w:r>
      <w:bookmarkEnd w:id="141"/>
      <w:bookmarkEnd w:id="142"/>
      <w:bookmarkEnd w:id="143"/>
      <w:r>
        <w:rPr>
          <w:rFonts w:hint="eastAsia" w:ascii="宋体" w:hAnsi="宋体" w:eastAsia="宋体" w:cs="宋体"/>
          <w:color w:val="auto"/>
          <w:sz w:val="28"/>
          <w:szCs w:val="28"/>
          <w:highlight w:val="none"/>
        </w:rPr>
        <w:t>响应文件解密</w:t>
      </w:r>
    </w:p>
    <w:p w14:paraId="6B6E930B">
      <w:pPr>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0</w:t>
      </w:r>
      <w:r>
        <w:rPr>
          <w:rFonts w:hint="eastAsia" w:ascii="宋体" w:hAnsi="宋体" w:eastAsia="宋体" w:cs="宋体"/>
          <w:color w:val="auto"/>
          <w:sz w:val="24"/>
          <w:szCs w:val="21"/>
          <w:highlight w:val="none"/>
        </w:rPr>
        <w:t>.1</w:t>
      </w:r>
      <w:r>
        <w:rPr>
          <w:rFonts w:hint="eastAsia" w:ascii="宋体" w:hAnsi="宋体" w:eastAsia="宋体" w:cs="宋体"/>
          <w:color w:val="auto"/>
          <w:sz w:val="24"/>
          <w:szCs w:val="24"/>
          <w:highlight w:val="none"/>
        </w:rPr>
        <w:t>供应商应当按照《操作手册》规定，在苏采云系统规定的时间内对磋商响应文件进行解密。</w:t>
      </w:r>
    </w:p>
    <w:p w14:paraId="654379F2">
      <w:pPr>
        <w:keepNext/>
        <w:keepLines/>
        <w:spacing w:line="360" w:lineRule="auto"/>
        <w:ind w:firstLine="560"/>
        <w:outlineLvl w:val="3"/>
        <w:rPr>
          <w:rFonts w:hint="eastAsia" w:ascii="宋体" w:hAnsi="宋体" w:eastAsia="宋体" w:cs="宋体"/>
          <w:color w:val="auto"/>
          <w:sz w:val="28"/>
          <w:szCs w:val="28"/>
          <w:highlight w:val="none"/>
        </w:rPr>
      </w:pPr>
      <w:bookmarkStart w:id="144" w:name="_Toc16938547"/>
      <w:bookmarkStart w:id="145" w:name="_Toc20823303"/>
      <w:bookmarkStart w:id="146" w:name="_Toc513029231"/>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、磋商小组</w:t>
      </w:r>
    </w:p>
    <w:p w14:paraId="637D1F6F">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.1</w:t>
      </w:r>
      <w:r>
        <w:rPr>
          <w:rFonts w:hint="eastAsia" w:ascii="宋体" w:hAnsi="宋体" w:cs="宋体"/>
          <w:bCs/>
          <w:color w:val="auto"/>
          <w:sz w:val="24"/>
          <w:szCs w:val="24"/>
          <w:highlight w:val="none"/>
        </w:rPr>
        <w:t>采购代理机构</w:t>
      </w:r>
      <w:r>
        <w:rPr>
          <w:rFonts w:hint="eastAsia" w:ascii="宋体" w:hAnsi="宋体" w:eastAsia="宋体" w:cs="宋体"/>
          <w:color w:val="auto"/>
          <w:sz w:val="24"/>
          <w:szCs w:val="24"/>
          <w:highlight w:val="none"/>
        </w:rPr>
        <w:t>将组织磋商小组对响应文件进行评审。磋商小组由采购人代表和有关技术、经济等方面的专家组成，且人员构成符合政府采购有关规定。</w:t>
      </w:r>
    </w:p>
    <w:p w14:paraId="271A127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.2磋商小组独立工作，负责评审所有响应文件并确定成交侯选人。</w:t>
      </w:r>
    </w:p>
    <w:p w14:paraId="7C8C182F">
      <w:pPr>
        <w:keepNext/>
        <w:keepLines/>
        <w:spacing w:line="360" w:lineRule="auto"/>
        <w:ind w:firstLine="560"/>
        <w:outlineLvl w:val="3"/>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22</w:t>
      </w:r>
      <w:r>
        <w:rPr>
          <w:rFonts w:hint="eastAsia" w:ascii="宋体" w:hAnsi="宋体" w:eastAsia="宋体" w:cs="宋体"/>
          <w:color w:val="auto"/>
          <w:sz w:val="28"/>
          <w:szCs w:val="28"/>
          <w:highlight w:val="none"/>
        </w:rPr>
        <w:t>、评审过程的保密与公正</w:t>
      </w:r>
      <w:bookmarkEnd w:id="144"/>
      <w:bookmarkEnd w:id="145"/>
      <w:bookmarkEnd w:id="146"/>
    </w:p>
    <w:p w14:paraId="2D10BAEF">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rPr>
        <w:t>.1</w:t>
      </w:r>
      <w:r>
        <w:rPr>
          <w:rFonts w:hint="eastAsia" w:ascii="宋体" w:hAnsi="宋体" w:eastAsia="宋体" w:cs="宋体"/>
          <w:bCs/>
          <w:color w:val="auto"/>
          <w:sz w:val="24"/>
          <w:szCs w:val="21"/>
          <w:highlight w:val="none"/>
        </w:rPr>
        <w:t>磋商小组、采购人和代理机构工作人员、相关监督人员等与评审工作有关的人员，对评审情况以及在评审过程中获悉的国家秘密、商业秘密负有保密责任。</w:t>
      </w:r>
    </w:p>
    <w:p w14:paraId="14FFC43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4"/>
          <w:highlight w:val="none"/>
        </w:rPr>
        <w:t>在评审过程中，供应商不得以任何行为影响磋商评审过程，否则其响应文件将被作为无效响应文件。</w:t>
      </w:r>
    </w:p>
    <w:p w14:paraId="4E1293E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2</w:t>
      </w:r>
      <w:r>
        <w:rPr>
          <w:rFonts w:hint="eastAsia" w:ascii="宋体" w:hAnsi="宋体" w:eastAsia="宋体" w:cs="宋体"/>
          <w:color w:val="auto"/>
          <w:sz w:val="24"/>
          <w:szCs w:val="21"/>
          <w:highlight w:val="none"/>
        </w:rPr>
        <w:t>.3</w:t>
      </w:r>
      <w:r>
        <w:rPr>
          <w:rFonts w:hint="eastAsia" w:ascii="宋体" w:hAnsi="宋体" w:eastAsia="宋体" w:cs="宋体"/>
          <w:color w:val="auto"/>
          <w:sz w:val="24"/>
          <w:szCs w:val="24"/>
          <w:highlight w:val="none"/>
        </w:rPr>
        <w:t>在项目评审期间，</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将设专门人员与供应商联系。</w:t>
      </w:r>
    </w:p>
    <w:p w14:paraId="7CA8BA4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.4 </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和磋商小组不向未成交的供应商解释未成交原因，也不公布评审过程中的相关细节。</w:t>
      </w:r>
    </w:p>
    <w:p w14:paraId="0FCA21BA">
      <w:pPr>
        <w:keepNext/>
        <w:keepLines/>
        <w:spacing w:line="360" w:lineRule="auto"/>
        <w:ind w:firstLine="560"/>
        <w:outlineLvl w:val="3"/>
        <w:rPr>
          <w:rFonts w:hint="eastAsia" w:ascii="宋体" w:hAnsi="宋体" w:eastAsia="宋体" w:cs="宋体"/>
          <w:color w:val="auto"/>
          <w:sz w:val="28"/>
          <w:szCs w:val="28"/>
          <w:highlight w:val="none"/>
        </w:rPr>
      </w:pPr>
      <w:bookmarkStart w:id="147" w:name="_Toc20823304"/>
      <w:bookmarkStart w:id="148" w:name="_Toc16938548"/>
      <w:bookmarkStart w:id="149" w:name="_Toc513029232"/>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、评审过程中的的澄清</w:t>
      </w:r>
      <w:bookmarkEnd w:id="147"/>
      <w:bookmarkEnd w:id="148"/>
      <w:bookmarkEnd w:id="149"/>
    </w:p>
    <w:p w14:paraId="5BC10DB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2E4DBC2">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磋商小组并非对每个供应商都作澄清要求。</w:t>
      </w:r>
    </w:p>
    <w:p w14:paraId="5251D60B">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需要供应商进行澄清、说明和更正的，磋商小组将通过苏采云系统向供应商发布“澄清要求函”，接到“澄清要求函”的供应商应当按照要求在苏采云系统中提交“澄清响应函”并加盖CA电子公章。澄清、说明和更正的内容作为响应文件的补充部分，具体操作方式见《操作手册》。</w:t>
      </w:r>
    </w:p>
    <w:p w14:paraId="11D1619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.3 接到磋商小组澄清、说明和更正要求的供应商如未按规定做出澄清、说明和更正，其风险由供应商自行承担。</w:t>
      </w:r>
    </w:p>
    <w:p w14:paraId="5F958882">
      <w:pPr>
        <w:keepNext/>
        <w:keepLines/>
        <w:spacing w:line="360" w:lineRule="auto"/>
        <w:ind w:firstLine="560"/>
        <w:outlineLvl w:val="3"/>
        <w:rPr>
          <w:rFonts w:hint="eastAsia" w:ascii="宋体" w:hAnsi="宋体" w:eastAsia="宋体" w:cs="宋体"/>
          <w:color w:val="auto"/>
          <w:sz w:val="28"/>
          <w:szCs w:val="28"/>
          <w:highlight w:val="none"/>
        </w:rPr>
      </w:pPr>
      <w:bookmarkStart w:id="150" w:name="_Toc16938549"/>
      <w:bookmarkStart w:id="151" w:name="_Toc20823305"/>
      <w:bookmarkStart w:id="152" w:name="_Toc513029233"/>
      <w:r>
        <w:rPr>
          <w:rFonts w:hint="eastAsia" w:ascii="宋体" w:hAnsi="宋体" w:eastAsia="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、对响应文件的审</w:t>
      </w:r>
      <w:bookmarkEnd w:id="150"/>
      <w:bookmarkEnd w:id="151"/>
      <w:bookmarkEnd w:id="152"/>
      <w:r>
        <w:rPr>
          <w:rFonts w:hint="eastAsia" w:ascii="宋体" w:hAnsi="宋体" w:eastAsia="宋体" w:cs="宋体"/>
          <w:color w:val="auto"/>
          <w:sz w:val="28"/>
          <w:szCs w:val="28"/>
          <w:highlight w:val="none"/>
        </w:rPr>
        <w:t>查</w:t>
      </w:r>
    </w:p>
    <w:p w14:paraId="5D44184A">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.1</w:t>
      </w:r>
      <w:r>
        <w:rPr>
          <w:rFonts w:hint="eastAsia" w:ascii="宋体" w:hAnsi="宋体" w:eastAsia="宋体" w:cs="宋体"/>
          <w:bCs/>
          <w:color w:val="auto"/>
          <w:sz w:val="24"/>
          <w:szCs w:val="21"/>
          <w:highlight w:val="none"/>
        </w:rPr>
        <w:t>响应文件审查分为资格审查和符合性审查。</w:t>
      </w:r>
    </w:p>
    <w:p w14:paraId="21BE2B0D">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.1.1 资格审查：由</w:t>
      </w:r>
      <w:r>
        <w:rPr>
          <w:rFonts w:hint="eastAsia" w:ascii="宋体" w:hAnsi="宋体" w:cs="宋体"/>
          <w:bCs/>
          <w:color w:val="auto"/>
          <w:sz w:val="24"/>
          <w:szCs w:val="21"/>
          <w:highlight w:val="none"/>
          <w:lang w:eastAsia="zh-CN"/>
        </w:rPr>
        <w:t>采购人</w:t>
      </w:r>
      <w:r>
        <w:rPr>
          <w:rFonts w:hint="eastAsia" w:ascii="宋体" w:hAnsi="宋体" w:eastAsia="宋体" w:cs="宋体"/>
          <w:bCs/>
          <w:color w:val="auto"/>
          <w:sz w:val="24"/>
          <w:szCs w:val="21"/>
          <w:highlight w:val="none"/>
        </w:rPr>
        <w:t>依据法律法规和磋商文件的规定，对响应文件中的资格证明文件进行审查，以确定供应商是否具备参加磋商的资格。</w:t>
      </w:r>
    </w:p>
    <w:p w14:paraId="2E8005FC">
      <w:pPr>
        <w:spacing w:line="360" w:lineRule="auto"/>
        <w:ind w:firstLine="480"/>
        <w:rPr>
          <w:rFonts w:hint="eastAsia" w:ascii="宋体" w:hAnsi="宋体" w:eastAsia="宋体" w:cs="宋体"/>
          <w:bCs/>
          <w:color w:val="auto"/>
          <w:sz w:val="24"/>
          <w:szCs w:val="21"/>
          <w:highlight w:val="none"/>
        </w:rPr>
      </w:pPr>
      <w:r>
        <w:rPr>
          <w:rFonts w:hint="eastAsia" w:ascii="宋体" w:hAnsi="宋体" w:cs="宋体"/>
          <w:bCs/>
          <w:color w:val="auto"/>
          <w:sz w:val="24"/>
          <w:szCs w:val="21"/>
          <w:highlight w:val="none"/>
          <w:lang w:eastAsia="zh-CN"/>
        </w:rPr>
        <w:t>采购人</w:t>
      </w:r>
      <w:r>
        <w:rPr>
          <w:rFonts w:hint="eastAsia" w:ascii="宋体" w:hAnsi="宋体" w:eastAsia="宋体" w:cs="宋体"/>
          <w:bCs/>
          <w:color w:val="auto"/>
          <w:sz w:val="24"/>
          <w:szCs w:val="21"/>
          <w:highlight w:val="none"/>
        </w:rPr>
        <w:t>在进行资格审查的同时，将在“信用中国”网站（www.creditchina.gov.cn）查询供应商的信用记录，以确定供应商是否具备磋商资格,查询结果留存并归档。</w:t>
      </w:r>
    </w:p>
    <w:p w14:paraId="7BE41A27">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5C145221">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.1.2 符合性审查：依据磋商文件的规定，由磋商小组从响应文件的有效性、完整性和对磋商文件的响应程度进行审查，以确定是否对磋商文件的实质性要求作出响应。</w:t>
      </w:r>
    </w:p>
    <w:p w14:paraId="4D2CA88E">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.1.3 未通过资格审查或符合性审查的供应商，磋商小组将在</w:t>
      </w:r>
      <w:r>
        <w:rPr>
          <w:rFonts w:hint="eastAsia" w:ascii="宋体" w:hAnsi="宋体" w:eastAsia="宋体" w:cs="宋体"/>
          <w:color w:val="auto"/>
          <w:sz w:val="24"/>
          <w:szCs w:val="24"/>
          <w:highlight w:val="none"/>
        </w:rPr>
        <w:t>苏采云系统</w:t>
      </w:r>
      <w:r>
        <w:rPr>
          <w:rFonts w:hint="eastAsia" w:ascii="宋体" w:hAnsi="宋体" w:eastAsia="宋体" w:cs="宋体"/>
          <w:bCs/>
          <w:color w:val="auto"/>
          <w:sz w:val="24"/>
          <w:szCs w:val="21"/>
          <w:highlight w:val="none"/>
        </w:rPr>
        <w:t>中告知未通过资格审查或符合性审查的原因，评审结束后，磋商小组将不再告知未通过资格审查或符合性审查的原因。</w:t>
      </w:r>
    </w:p>
    <w:p w14:paraId="02429D06">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6494BFA0">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所谓重大偏离或保留是指与磋商文件规定的实质性要求存在负偏离，或者在实质上与磋商文件不一致，而且限制了合同中买方和</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38D6775F">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w:t>
      </w:r>
      <w:r>
        <w:rPr>
          <w:rFonts w:hint="eastAsia" w:ascii="宋体" w:hAnsi="宋体" w:eastAsia="宋体" w:cs="宋体"/>
          <w:b/>
          <w:bCs w:val="0"/>
          <w:color w:val="auto"/>
          <w:sz w:val="24"/>
          <w:szCs w:val="21"/>
          <w:highlight w:val="none"/>
        </w:rPr>
        <w:t>未实质性响应磋商文件的情形</w:t>
      </w:r>
    </w:p>
    <w:p w14:paraId="03720418">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.3.1供应商在</w:t>
      </w:r>
      <w:r>
        <w:rPr>
          <w:rFonts w:hint="eastAsia" w:ascii="宋体" w:hAnsi="宋体" w:eastAsia="宋体" w:cs="宋体"/>
          <w:color w:val="auto"/>
          <w:sz w:val="24"/>
          <w:szCs w:val="24"/>
          <w:highlight w:val="none"/>
        </w:rPr>
        <w:t>苏采云系统</w:t>
      </w:r>
      <w:r>
        <w:rPr>
          <w:rFonts w:hint="eastAsia" w:ascii="宋体" w:hAnsi="宋体" w:eastAsia="宋体" w:cs="宋体"/>
          <w:bCs/>
          <w:color w:val="auto"/>
          <w:sz w:val="24"/>
          <w:szCs w:val="21"/>
          <w:highlight w:val="none"/>
        </w:rPr>
        <w:t>规定的时间内未成功解密电子响应文件的。</w:t>
      </w:r>
    </w:p>
    <w:p w14:paraId="05D9C21E">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.3.2供应商未按照磋商文件要求上传电子响应文件的。</w:t>
      </w:r>
    </w:p>
    <w:p w14:paraId="074482FB">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.3.3同一供应商提交两个（含两个）以上不同的响应文件或者最后报价的。</w:t>
      </w:r>
    </w:p>
    <w:p w14:paraId="25EACD00">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.3.4供应商不具备磋商文件中规定资格要求的。</w:t>
      </w:r>
    </w:p>
    <w:p w14:paraId="15D84EE5">
      <w:pPr>
        <w:spacing w:line="360" w:lineRule="auto"/>
        <w:ind w:firstLine="480"/>
        <w:rPr>
          <w:rFonts w:hint="eastAsia" w:ascii="宋体" w:hAnsi="宋体" w:eastAsia="宋体" w:cs="宋体"/>
          <w:b/>
          <w:bCs w:val="0"/>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.3.5</w:t>
      </w:r>
      <w:r>
        <w:rPr>
          <w:rFonts w:hint="eastAsia" w:ascii="宋体" w:hAnsi="宋体" w:eastAsia="宋体" w:cs="宋体"/>
          <w:b/>
          <w:bCs w:val="0"/>
          <w:color w:val="auto"/>
          <w:sz w:val="24"/>
          <w:szCs w:val="21"/>
          <w:highlight w:val="none"/>
        </w:rPr>
        <w:t>供应商的最后报价超过了最高限价的。</w:t>
      </w:r>
    </w:p>
    <w:p w14:paraId="6771A900">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.3.6</w:t>
      </w:r>
      <w:r>
        <w:rPr>
          <w:rFonts w:hint="eastAsia" w:ascii="宋体" w:hAnsi="宋体" w:cs="宋体"/>
          <w:bCs/>
          <w:color w:val="auto"/>
          <w:sz w:val="24"/>
          <w:szCs w:val="24"/>
          <w:highlight w:val="none"/>
        </w:rPr>
        <w:t>未通过符合性审查的。</w:t>
      </w:r>
    </w:p>
    <w:p w14:paraId="1E6A8571">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.3.7不符合磋商文件中规定的实质性要求和条件的</w:t>
      </w:r>
      <w:r>
        <w:rPr>
          <w:rFonts w:hint="eastAsia" w:ascii="宋体" w:hAnsi="宋体" w:eastAsia="宋体" w:cs="宋体"/>
          <w:bCs/>
          <w:i/>
          <w:color w:val="auto"/>
          <w:sz w:val="24"/>
          <w:szCs w:val="21"/>
          <w:highlight w:val="none"/>
        </w:rPr>
        <w:t>。</w:t>
      </w:r>
    </w:p>
    <w:p w14:paraId="5E2D2064">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w:t>
      </w:r>
      <w:r>
        <w:rPr>
          <w:rFonts w:hint="eastAsia" w:ascii="宋体" w:hAnsi="宋体" w:cs="宋体"/>
          <w:bCs/>
          <w:color w:val="auto"/>
          <w:sz w:val="24"/>
          <w:szCs w:val="21"/>
          <w:highlight w:val="none"/>
          <w:lang w:val="en-US" w:eastAsia="zh-CN"/>
        </w:rPr>
        <w:t>8</w:t>
      </w:r>
      <w:r>
        <w:rPr>
          <w:rFonts w:hint="eastAsia" w:ascii="宋体" w:hAnsi="宋体" w:eastAsia="宋体" w:cs="宋体"/>
          <w:bCs/>
          <w:color w:val="auto"/>
          <w:sz w:val="24"/>
          <w:szCs w:val="21"/>
          <w:highlight w:val="none"/>
        </w:rPr>
        <w:t>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66406F19">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w:t>
      </w:r>
      <w:r>
        <w:rPr>
          <w:rFonts w:hint="eastAsia" w:ascii="宋体" w:hAnsi="宋体" w:cs="宋体"/>
          <w:bCs/>
          <w:color w:val="auto"/>
          <w:sz w:val="24"/>
          <w:szCs w:val="21"/>
          <w:highlight w:val="none"/>
          <w:lang w:val="en-US" w:eastAsia="zh-CN"/>
        </w:rPr>
        <w:t>9</w:t>
      </w:r>
      <w:r>
        <w:rPr>
          <w:rFonts w:hint="eastAsia" w:ascii="宋体" w:hAnsi="宋体" w:eastAsia="宋体" w:cs="宋体"/>
          <w:bCs/>
          <w:color w:val="auto"/>
          <w:sz w:val="24"/>
          <w:szCs w:val="21"/>
          <w:highlight w:val="none"/>
        </w:rPr>
        <w:t xml:space="preserve">  响应文件含有采购人不能接受的附加条件的。</w:t>
      </w:r>
    </w:p>
    <w:p w14:paraId="5D3E7B16">
      <w:pPr>
        <w:spacing w:line="360" w:lineRule="auto"/>
        <w:ind w:firstLine="480"/>
        <w:rPr>
          <w:rFonts w:hint="eastAsia" w:ascii="宋体" w:hAnsi="宋体" w:eastAsia="宋体" w:cs="宋体"/>
          <w:b/>
          <w:bCs w:val="0"/>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w:t>
      </w:r>
      <w:r>
        <w:rPr>
          <w:rFonts w:hint="eastAsia" w:ascii="宋体" w:hAnsi="宋体" w:cs="宋体"/>
          <w:bCs/>
          <w:color w:val="auto"/>
          <w:sz w:val="24"/>
          <w:szCs w:val="21"/>
          <w:highlight w:val="none"/>
          <w:lang w:val="en-US" w:eastAsia="zh-CN"/>
        </w:rPr>
        <w:t>10</w:t>
      </w:r>
      <w:r>
        <w:rPr>
          <w:rFonts w:hint="eastAsia" w:ascii="宋体" w:hAnsi="宋体" w:eastAsia="宋体" w:cs="宋体"/>
          <w:bCs/>
          <w:color w:val="auto"/>
          <w:sz w:val="24"/>
          <w:szCs w:val="21"/>
          <w:highlight w:val="none"/>
        </w:rPr>
        <w:t xml:space="preserve"> </w:t>
      </w:r>
      <w:r>
        <w:rPr>
          <w:rFonts w:hint="eastAsia" w:ascii="宋体" w:hAnsi="宋体" w:cs="宋体"/>
          <w:bCs/>
          <w:color w:val="auto"/>
          <w:sz w:val="24"/>
          <w:szCs w:val="21"/>
          <w:highlight w:val="none"/>
          <w:lang w:val="en-US" w:eastAsia="zh-CN"/>
        </w:rPr>
        <w:t>磋商小组</w:t>
      </w:r>
      <w:r>
        <w:rPr>
          <w:rFonts w:hint="eastAsia" w:ascii="宋体" w:hAnsi="宋体" w:eastAsia="宋体" w:cs="宋体"/>
          <w:bCs/>
          <w:color w:val="auto"/>
          <w:sz w:val="24"/>
          <w:szCs w:val="21"/>
          <w:highlight w:val="none"/>
        </w:rPr>
        <w:t>认为</w:t>
      </w:r>
      <w:r>
        <w:rPr>
          <w:rFonts w:hint="eastAsia" w:ascii="宋体" w:hAnsi="宋体" w:cs="宋体"/>
          <w:bCs/>
          <w:color w:val="auto"/>
          <w:sz w:val="24"/>
          <w:szCs w:val="21"/>
          <w:highlight w:val="none"/>
          <w:lang w:val="en-US" w:eastAsia="zh-CN"/>
        </w:rPr>
        <w:t>供应商</w:t>
      </w:r>
      <w:r>
        <w:rPr>
          <w:rFonts w:hint="eastAsia" w:ascii="宋体" w:hAnsi="宋体" w:eastAsia="宋体" w:cs="宋体"/>
          <w:bCs/>
          <w:color w:val="auto"/>
          <w:sz w:val="24"/>
          <w:szCs w:val="21"/>
          <w:highlight w:val="none"/>
        </w:rPr>
        <w:t>的报价明显低于其他通过符合性审查</w:t>
      </w:r>
      <w:r>
        <w:rPr>
          <w:rFonts w:hint="eastAsia" w:ascii="宋体" w:hAnsi="宋体" w:cs="宋体"/>
          <w:bCs/>
          <w:color w:val="auto"/>
          <w:sz w:val="24"/>
          <w:szCs w:val="21"/>
          <w:highlight w:val="none"/>
          <w:lang w:val="en-US" w:eastAsia="zh-CN"/>
        </w:rPr>
        <w:t>供应商</w:t>
      </w:r>
      <w:r>
        <w:rPr>
          <w:rFonts w:hint="eastAsia" w:ascii="宋体" w:hAnsi="宋体" w:eastAsia="宋体" w:cs="宋体"/>
          <w:bCs/>
          <w:color w:val="auto"/>
          <w:sz w:val="24"/>
          <w:szCs w:val="21"/>
          <w:highlight w:val="none"/>
        </w:rPr>
        <w:t>的报价，有可能影响产品质量或者不能诚信履约的，将通过苏采云系统要求其在合理的时间内提供说明，必要时提交相关证明材料；</w:t>
      </w:r>
      <w:r>
        <w:rPr>
          <w:rFonts w:hint="eastAsia" w:ascii="宋体" w:hAnsi="宋体" w:cs="宋体"/>
          <w:bCs/>
          <w:color w:val="auto"/>
          <w:sz w:val="24"/>
          <w:szCs w:val="21"/>
          <w:highlight w:val="none"/>
          <w:lang w:val="en-US" w:eastAsia="zh-CN"/>
        </w:rPr>
        <w:t>供应商</w:t>
      </w:r>
      <w:r>
        <w:rPr>
          <w:rFonts w:hint="eastAsia" w:ascii="宋体" w:hAnsi="宋体" w:eastAsia="宋体" w:cs="宋体"/>
          <w:bCs/>
          <w:color w:val="auto"/>
          <w:sz w:val="24"/>
          <w:szCs w:val="21"/>
          <w:highlight w:val="none"/>
        </w:rPr>
        <w:t>不能证明其报价合理性的，</w:t>
      </w:r>
      <w:r>
        <w:rPr>
          <w:rFonts w:hint="eastAsia" w:ascii="宋体" w:hAnsi="宋体" w:cs="宋体"/>
          <w:bCs/>
          <w:color w:val="auto"/>
          <w:sz w:val="24"/>
          <w:szCs w:val="21"/>
          <w:highlight w:val="none"/>
          <w:lang w:val="en-US" w:eastAsia="zh-CN"/>
        </w:rPr>
        <w:t>磋商小组</w:t>
      </w:r>
      <w:r>
        <w:rPr>
          <w:rFonts w:hint="eastAsia" w:ascii="宋体" w:hAnsi="宋体" w:eastAsia="宋体" w:cs="宋体"/>
          <w:bCs/>
          <w:color w:val="auto"/>
          <w:sz w:val="24"/>
          <w:szCs w:val="21"/>
          <w:highlight w:val="none"/>
        </w:rPr>
        <w:t>应当将其作为无效</w:t>
      </w:r>
      <w:r>
        <w:rPr>
          <w:rFonts w:hint="eastAsia" w:ascii="宋体" w:hAnsi="宋体" w:cs="宋体"/>
          <w:bCs/>
          <w:color w:val="auto"/>
          <w:sz w:val="24"/>
          <w:szCs w:val="21"/>
          <w:highlight w:val="none"/>
          <w:lang w:val="en-US" w:eastAsia="zh-CN"/>
        </w:rPr>
        <w:t>响应</w:t>
      </w:r>
      <w:r>
        <w:rPr>
          <w:rFonts w:hint="eastAsia" w:ascii="宋体" w:hAnsi="宋体" w:eastAsia="宋体" w:cs="宋体"/>
          <w:bCs/>
          <w:color w:val="auto"/>
          <w:sz w:val="24"/>
          <w:szCs w:val="21"/>
          <w:highlight w:val="none"/>
        </w:rPr>
        <w:t>处理。</w:t>
      </w:r>
      <w:r>
        <w:rPr>
          <w:rFonts w:hint="eastAsia" w:ascii="宋体" w:hAnsi="宋体" w:eastAsia="宋体" w:cs="宋体"/>
          <w:b/>
          <w:bCs w:val="0"/>
          <w:color w:val="auto"/>
          <w:sz w:val="24"/>
          <w:szCs w:val="21"/>
          <w:highlight w:val="none"/>
          <w:lang w:eastAsia="zh-CN"/>
        </w:rPr>
        <w:t>（</w:t>
      </w:r>
      <w:r>
        <w:rPr>
          <w:rFonts w:hint="eastAsia" w:ascii="宋体" w:hAnsi="宋体" w:eastAsia="宋体" w:cs="宋体"/>
          <w:b/>
          <w:bCs w:val="0"/>
          <w:color w:val="auto"/>
          <w:sz w:val="24"/>
          <w:szCs w:val="21"/>
          <w:highlight w:val="none"/>
          <w:lang w:val="en-US" w:eastAsia="zh-CN"/>
        </w:rPr>
        <w:t>本项目若</w:t>
      </w:r>
      <w:r>
        <w:rPr>
          <w:rFonts w:hint="eastAsia" w:ascii="宋体" w:hAnsi="宋体" w:cs="宋体"/>
          <w:b/>
          <w:bCs w:val="0"/>
          <w:color w:val="auto"/>
          <w:sz w:val="24"/>
          <w:szCs w:val="21"/>
          <w:highlight w:val="none"/>
          <w:lang w:val="en-US" w:eastAsia="zh-CN"/>
        </w:rPr>
        <w:t>供应商</w:t>
      </w:r>
      <w:r>
        <w:rPr>
          <w:rFonts w:hint="eastAsia" w:ascii="宋体" w:hAnsi="宋体" w:eastAsia="宋体" w:cs="宋体"/>
          <w:b/>
          <w:bCs w:val="0"/>
          <w:color w:val="auto"/>
          <w:sz w:val="24"/>
          <w:szCs w:val="21"/>
          <w:highlight w:val="none"/>
          <w:lang w:val="en-US" w:eastAsia="zh-CN"/>
        </w:rPr>
        <w:t>的报价低于</w:t>
      </w:r>
      <w:r>
        <w:rPr>
          <w:rFonts w:hint="eastAsia" w:ascii="宋体" w:hAnsi="宋体" w:eastAsia="宋体" w:cs="宋体"/>
          <w:b/>
          <w:bCs w:val="0"/>
          <w:color w:val="auto"/>
          <w:sz w:val="24"/>
          <w:szCs w:val="21"/>
          <w:highlight w:val="none"/>
        </w:rPr>
        <w:t>通过符合性审查</w:t>
      </w:r>
      <w:r>
        <w:rPr>
          <w:rFonts w:hint="eastAsia" w:ascii="宋体" w:hAnsi="宋体" w:eastAsia="宋体" w:cs="宋体"/>
          <w:b/>
          <w:bCs w:val="0"/>
          <w:color w:val="auto"/>
          <w:sz w:val="24"/>
          <w:szCs w:val="21"/>
          <w:highlight w:val="none"/>
          <w:lang w:val="en-US" w:eastAsia="zh-CN"/>
        </w:rPr>
        <w:t>的</w:t>
      </w:r>
      <w:r>
        <w:rPr>
          <w:rFonts w:hint="eastAsia" w:ascii="宋体" w:hAnsi="宋体" w:cs="宋体"/>
          <w:b/>
          <w:bCs w:val="0"/>
          <w:color w:val="auto"/>
          <w:sz w:val="24"/>
          <w:szCs w:val="21"/>
          <w:highlight w:val="none"/>
          <w:lang w:val="en-US" w:eastAsia="zh-CN"/>
        </w:rPr>
        <w:t>供应商</w:t>
      </w:r>
      <w:r>
        <w:rPr>
          <w:rFonts w:hint="eastAsia" w:ascii="宋体" w:hAnsi="宋体" w:eastAsia="宋体" w:cs="宋体"/>
          <w:b/>
          <w:bCs w:val="0"/>
          <w:color w:val="auto"/>
          <w:sz w:val="24"/>
          <w:szCs w:val="21"/>
          <w:highlight w:val="none"/>
        </w:rPr>
        <w:t>的报价</w:t>
      </w:r>
      <w:r>
        <w:rPr>
          <w:rFonts w:hint="eastAsia" w:ascii="宋体" w:hAnsi="宋体" w:eastAsia="宋体" w:cs="宋体"/>
          <w:b/>
          <w:bCs w:val="0"/>
          <w:color w:val="auto"/>
          <w:sz w:val="24"/>
          <w:szCs w:val="21"/>
          <w:highlight w:val="none"/>
          <w:lang w:val="en-US" w:eastAsia="zh-CN"/>
        </w:rPr>
        <w:t>平均值的70%，视为“明显低于”。</w:t>
      </w:r>
      <w:r>
        <w:rPr>
          <w:rFonts w:hint="eastAsia" w:ascii="宋体" w:hAnsi="宋体" w:eastAsia="宋体" w:cs="宋体"/>
          <w:b/>
          <w:bCs w:val="0"/>
          <w:color w:val="auto"/>
          <w:sz w:val="24"/>
          <w:szCs w:val="21"/>
          <w:highlight w:val="none"/>
          <w:lang w:eastAsia="zh-CN"/>
        </w:rPr>
        <w:t>）</w:t>
      </w:r>
    </w:p>
    <w:p w14:paraId="381D3D9D">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.3.1</w:t>
      </w:r>
      <w:r>
        <w:rPr>
          <w:rFonts w:hint="eastAsia" w:ascii="宋体" w:hAnsi="宋体" w:cs="宋体"/>
          <w:bCs/>
          <w:color w:val="auto"/>
          <w:sz w:val="24"/>
          <w:szCs w:val="21"/>
          <w:highlight w:val="none"/>
          <w:lang w:val="en-US" w:eastAsia="zh-CN"/>
        </w:rPr>
        <w:t>1</w:t>
      </w:r>
      <w:r>
        <w:rPr>
          <w:rFonts w:hint="eastAsia" w:ascii="宋体" w:hAnsi="宋体" w:eastAsia="宋体" w:cs="宋体"/>
          <w:bCs/>
          <w:color w:val="auto"/>
          <w:sz w:val="24"/>
          <w:szCs w:val="21"/>
          <w:highlight w:val="none"/>
        </w:rPr>
        <w:t>响应文件未按照磋商文件要求加盖CA电子公章的。</w:t>
      </w:r>
    </w:p>
    <w:p w14:paraId="0A03638E">
      <w:pPr>
        <w:spacing w:line="360" w:lineRule="auto"/>
        <w:ind w:firstLine="480"/>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lang w:val="en-US" w:eastAsia="zh-CN"/>
        </w:rPr>
        <w:t>.3.1</w:t>
      </w:r>
      <w:r>
        <w:rPr>
          <w:rFonts w:hint="eastAsia" w:ascii="宋体" w:hAnsi="宋体" w:cs="宋体"/>
          <w:bCs/>
          <w:color w:val="auto"/>
          <w:sz w:val="24"/>
          <w:szCs w:val="21"/>
          <w:highlight w:val="none"/>
          <w:lang w:val="en-US" w:eastAsia="zh-CN"/>
        </w:rPr>
        <w:t>2</w:t>
      </w:r>
      <w:r>
        <w:rPr>
          <w:rFonts w:hint="eastAsia" w:ascii="宋体" w:hAnsi="宋体" w:cs="宋体"/>
          <w:color w:val="auto"/>
          <w:kern w:val="0"/>
          <w:sz w:val="24"/>
          <w:szCs w:val="24"/>
          <w:highlight w:val="none"/>
          <w:lang w:val="en-US" w:eastAsia="zh-CN"/>
        </w:rPr>
        <w:t>供应商</w:t>
      </w:r>
      <w:r>
        <w:rPr>
          <w:rFonts w:hint="eastAsia" w:ascii="宋体" w:hAnsi="宋体" w:eastAsia="宋体" w:cs="宋体"/>
          <w:bCs/>
          <w:color w:val="auto"/>
          <w:sz w:val="24"/>
          <w:szCs w:val="21"/>
          <w:highlight w:val="none"/>
          <w:lang w:val="en-US" w:eastAsia="zh-CN"/>
        </w:rPr>
        <w:t>的商务技术部分得分相差异常悬殊，评标委员会一致认为得分畸低者有可能影响产品质量或者不能诚信履约的。</w:t>
      </w:r>
    </w:p>
    <w:p w14:paraId="25F35170">
      <w:pPr>
        <w:spacing w:line="360" w:lineRule="auto"/>
        <w:ind w:firstLine="480"/>
        <w:rPr>
          <w:rFonts w:hint="eastAsia" w:ascii="宋体" w:hAnsi="宋体" w:eastAsia="宋体" w:cs="宋体"/>
          <w:bCs/>
          <w:color w:val="auto"/>
          <w:sz w:val="24"/>
          <w:szCs w:val="21"/>
          <w:highlight w:val="none"/>
          <w:lang w:val="en-US" w:eastAsia="zh-CN"/>
        </w:rPr>
      </w:pPr>
      <w:r>
        <w:rPr>
          <w:rFonts w:hint="eastAsia" w:ascii="宋体" w:hAnsi="宋体" w:eastAsia="宋体" w:cs="宋体"/>
          <w:bCs/>
          <w:color w:val="auto"/>
          <w:sz w:val="24"/>
          <w:szCs w:val="21"/>
          <w:highlight w:val="none"/>
          <w:lang w:val="en-US" w:eastAsia="zh-CN"/>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lang w:val="en-US" w:eastAsia="zh-CN"/>
        </w:rPr>
        <w:t>.</w:t>
      </w:r>
      <w:r>
        <w:rPr>
          <w:rFonts w:hint="eastAsia" w:ascii="宋体" w:hAnsi="宋体" w:cs="宋体"/>
          <w:bCs/>
          <w:color w:val="auto"/>
          <w:sz w:val="24"/>
          <w:szCs w:val="21"/>
          <w:highlight w:val="none"/>
          <w:lang w:val="en-US" w:eastAsia="zh-CN"/>
        </w:rPr>
        <w:t>3</w:t>
      </w:r>
      <w:r>
        <w:rPr>
          <w:rFonts w:hint="eastAsia" w:ascii="宋体" w:hAnsi="宋体" w:eastAsia="宋体" w:cs="宋体"/>
          <w:bCs/>
          <w:color w:val="auto"/>
          <w:sz w:val="24"/>
          <w:szCs w:val="21"/>
          <w:highlight w:val="none"/>
          <w:lang w:val="en-US" w:eastAsia="zh-CN"/>
        </w:rPr>
        <w:t>.</w:t>
      </w:r>
      <w:r>
        <w:rPr>
          <w:rFonts w:hint="eastAsia" w:ascii="宋体" w:hAnsi="宋体" w:cs="宋体"/>
          <w:bCs/>
          <w:color w:val="auto"/>
          <w:sz w:val="24"/>
          <w:szCs w:val="21"/>
          <w:highlight w:val="none"/>
          <w:lang w:val="en-US" w:eastAsia="zh-CN"/>
        </w:rPr>
        <w:t>13</w:t>
      </w:r>
      <w:r>
        <w:rPr>
          <w:rFonts w:hint="eastAsia" w:ascii="宋体" w:hAnsi="宋体" w:eastAsia="宋体" w:cs="宋体"/>
          <w:bCs/>
          <w:color w:val="auto"/>
          <w:sz w:val="24"/>
          <w:szCs w:val="21"/>
          <w:highlight w:val="none"/>
          <w:lang w:val="en-US" w:eastAsia="zh-CN"/>
        </w:rPr>
        <w:t>其他法律、法规及本</w:t>
      </w:r>
      <w:r>
        <w:rPr>
          <w:rFonts w:hint="eastAsia" w:ascii="宋体" w:hAnsi="宋体" w:cs="宋体"/>
          <w:bCs/>
          <w:color w:val="auto"/>
          <w:sz w:val="24"/>
          <w:szCs w:val="21"/>
          <w:highlight w:val="none"/>
          <w:lang w:val="en-US" w:eastAsia="zh-CN"/>
        </w:rPr>
        <w:t>采购</w:t>
      </w:r>
      <w:r>
        <w:rPr>
          <w:rFonts w:hint="eastAsia" w:ascii="宋体" w:hAnsi="宋体" w:eastAsia="宋体" w:cs="宋体"/>
          <w:bCs/>
          <w:color w:val="auto"/>
          <w:sz w:val="24"/>
          <w:szCs w:val="21"/>
          <w:highlight w:val="none"/>
          <w:lang w:val="en-US" w:eastAsia="zh-CN"/>
        </w:rPr>
        <w:t>文件规定的属未实质性响应磋商文件的情形。</w:t>
      </w:r>
    </w:p>
    <w:p w14:paraId="6256EF7F">
      <w:pPr>
        <w:spacing w:line="360" w:lineRule="auto"/>
        <w:ind w:firstLine="480"/>
        <w:rPr>
          <w:rFonts w:hint="eastAsia" w:ascii="宋体" w:hAnsi="宋体" w:eastAsia="宋体" w:cs="宋体"/>
          <w:bCs/>
          <w:color w:val="auto"/>
          <w:sz w:val="24"/>
          <w:szCs w:val="21"/>
          <w:highlight w:val="none"/>
          <w:lang w:val="en-US" w:eastAsia="zh-CN"/>
        </w:rPr>
      </w:pPr>
    </w:p>
    <w:p w14:paraId="1D3D80EF">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cs="宋体"/>
          <w:bCs/>
          <w:color w:val="auto"/>
          <w:sz w:val="24"/>
          <w:szCs w:val="21"/>
          <w:highlight w:val="none"/>
          <w:lang w:val="en-US" w:eastAsia="zh-CN"/>
        </w:rPr>
        <w:t>4</w:t>
      </w:r>
      <w:r>
        <w:rPr>
          <w:rFonts w:hint="eastAsia" w:ascii="宋体" w:hAnsi="宋体" w:eastAsia="宋体" w:cs="宋体"/>
          <w:bCs/>
          <w:color w:val="auto"/>
          <w:sz w:val="24"/>
          <w:szCs w:val="21"/>
          <w:highlight w:val="none"/>
        </w:rPr>
        <w:t>.4未实质性响应磋商文件的响应文件按无效响应处理。</w:t>
      </w:r>
    </w:p>
    <w:p w14:paraId="74F8D314">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.5</w:t>
      </w:r>
      <w:r>
        <w:rPr>
          <w:rFonts w:hint="eastAsia" w:ascii="宋体" w:hAnsi="宋体" w:eastAsia="宋体" w:cs="宋体"/>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31778820">
      <w:pPr>
        <w:spacing w:line="360" w:lineRule="auto"/>
        <w:ind w:firstLine="480"/>
        <w:rPr>
          <w:rFonts w:hint="eastAsia" w:ascii="宋体" w:hAnsi="宋体" w:eastAsia="宋体" w:cs="宋体"/>
          <w:color w:val="auto"/>
          <w:sz w:val="24"/>
          <w:szCs w:val="21"/>
          <w:highlight w:val="none"/>
        </w:rPr>
      </w:pPr>
      <w:bookmarkStart w:id="153" w:name="_Toc16938550"/>
      <w:bookmarkStart w:id="154" w:name="_Toc513029234"/>
      <w:bookmarkStart w:id="155" w:name="_Toc20823306"/>
      <w:r>
        <w:rPr>
          <w:rFonts w:hint="eastAsia" w:ascii="宋体" w:hAnsi="宋体" w:eastAsia="宋体" w:cs="宋体"/>
          <w:color w:val="auto"/>
          <w:sz w:val="24"/>
          <w:szCs w:val="21"/>
          <w:highlight w:val="none"/>
        </w:rPr>
        <w:t>2</w:t>
      </w:r>
      <w:r>
        <w:rPr>
          <w:rFonts w:hint="eastAsia" w:ascii="宋体" w:hAnsi="宋体" w:cs="宋体"/>
          <w:color w:val="auto"/>
          <w:sz w:val="24"/>
          <w:szCs w:val="21"/>
          <w:highlight w:val="none"/>
          <w:lang w:val="en-US" w:eastAsia="zh-CN"/>
        </w:rPr>
        <w:t>4</w:t>
      </w:r>
      <w:r>
        <w:rPr>
          <w:rFonts w:hint="eastAsia" w:ascii="宋体" w:hAnsi="宋体" w:eastAsia="宋体" w:cs="宋体"/>
          <w:color w:val="auto"/>
          <w:sz w:val="24"/>
          <w:szCs w:val="21"/>
          <w:highlight w:val="none"/>
        </w:rPr>
        <w:t>.6供应商在项目评审全过程中应保持通讯畅通，并安排专人与</w:t>
      </w:r>
      <w:r>
        <w:rPr>
          <w:rFonts w:hint="eastAsia" w:ascii="宋体" w:hAnsi="宋体" w:eastAsia="宋体" w:cs="宋体"/>
          <w:bCs/>
          <w:color w:val="auto"/>
          <w:sz w:val="24"/>
          <w:szCs w:val="21"/>
          <w:highlight w:val="none"/>
        </w:rPr>
        <w:t>代理机构人员</w:t>
      </w:r>
      <w:r>
        <w:rPr>
          <w:rFonts w:hint="eastAsia" w:ascii="宋体" w:hAnsi="宋体" w:eastAsia="宋体" w:cs="宋体"/>
          <w:color w:val="auto"/>
          <w:sz w:val="24"/>
          <w:szCs w:val="21"/>
          <w:highlight w:val="none"/>
        </w:rPr>
        <w:t>及磋商小组联系。</w:t>
      </w:r>
    </w:p>
    <w:p w14:paraId="12F21FB5">
      <w:pPr>
        <w:keepNext/>
        <w:keepLines/>
        <w:spacing w:line="360" w:lineRule="auto"/>
        <w:ind w:firstLine="560"/>
        <w:outlineLvl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w:t>
      </w:r>
      <w:bookmarkEnd w:id="153"/>
      <w:bookmarkEnd w:id="154"/>
      <w:bookmarkEnd w:id="155"/>
      <w:r>
        <w:rPr>
          <w:rFonts w:hint="eastAsia" w:ascii="宋体" w:hAnsi="宋体" w:eastAsia="宋体" w:cs="宋体"/>
          <w:color w:val="auto"/>
          <w:sz w:val="28"/>
          <w:szCs w:val="28"/>
          <w:highlight w:val="none"/>
        </w:rPr>
        <w:t>磋商程序及评审方法和评审标准</w:t>
      </w:r>
    </w:p>
    <w:p w14:paraId="1BE4296A">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.1磋商程序</w:t>
      </w:r>
    </w:p>
    <w:p w14:paraId="2217ADA3">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110D8AA1">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1A06A7A5">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1.2磋商文件能够详细列明采购标的的技术、服务要求的，磋商结束后，磋商小组将在苏采云系统向所有实质性响应的供应商发布“最后报价要求函”及最后报价格式表，要求所有实质性响应的供应商在规定时间内（20分钟）提交最后报价。</w:t>
      </w:r>
    </w:p>
    <w:p w14:paraId="7A2DF919">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9CBD38F">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7C47EB88">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加盖CA电子公章。</w:t>
      </w:r>
    </w:p>
    <w:p w14:paraId="44B29118">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.2 评审方法和评审标准</w:t>
      </w:r>
    </w:p>
    <w:p w14:paraId="164E6ED0">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.2.1评审方法。经磋商确定最终采购需求和提交最后报价的供应商后，由磋商小组采用综合评分法对提交最后报价的供应商的响应文件和最后报价进行综合评分。</w:t>
      </w:r>
    </w:p>
    <w:p w14:paraId="21414E87">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1224CDD">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.2.2评审标准</w:t>
      </w:r>
    </w:p>
    <w:p w14:paraId="274A6350">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见本磋商文件第五章规定。</w:t>
      </w:r>
    </w:p>
    <w:p w14:paraId="260D5FEE">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lang w:val="en-US" w:eastAsia="zh-CN"/>
        </w:rPr>
        <w:t>25</w:t>
      </w:r>
      <w:r>
        <w:rPr>
          <w:rFonts w:hint="eastAsia" w:ascii="宋体" w:hAnsi="宋体" w:eastAsia="宋体" w:cs="宋体"/>
          <w:bCs/>
          <w:color w:val="auto"/>
          <w:sz w:val="24"/>
          <w:szCs w:val="21"/>
          <w:highlight w:val="none"/>
        </w:rPr>
        <w:t>.3采购活动终止的情况</w:t>
      </w:r>
    </w:p>
    <w:p w14:paraId="6318A139">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出现下列情形之一的，本次竞争性磋商采购活动将被终止：</w:t>
      </w:r>
    </w:p>
    <w:p w14:paraId="74554F59">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.3.1因情况变化，不再符合规定的竞争性磋商采购方式适用情形的。</w:t>
      </w:r>
    </w:p>
    <w:p w14:paraId="22B7537A">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.3.2出现影响采购公正的违法、违规行为的。</w:t>
      </w:r>
    </w:p>
    <w:p w14:paraId="126B3967">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.3.3除本磋商文件第二章第</w:t>
      </w:r>
      <w:r>
        <w:rPr>
          <w:rFonts w:hint="eastAsia" w:ascii="宋体" w:hAnsi="宋体" w:eastAsia="宋体" w:cs="宋体"/>
          <w:bCs/>
          <w:color w:val="auto"/>
          <w:sz w:val="24"/>
          <w:szCs w:val="21"/>
          <w:highlight w:val="none"/>
          <w:lang w:val="en-US" w:eastAsia="zh-CN"/>
        </w:rPr>
        <w:t>25</w:t>
      </w:r>
      <w:r>
        <w:rPr>
          <w:rFonts w:hint="eastAsia" w:ascii="宋体" w:hAnsi="宋体" w:eastAsia="宋体" w:cs="宋体"/>
          <w:bCs/>
          <w:color w:val="auto"/>
          <w:sz w:val="24"/>
          <w:szCs w:val="21"/>
          <w:highlight w:val="none"/>
        </w:rPr>
        <w:t>.1.2条第三款规定的情形外，在采购过程中符合要求的供应商或者最后报价未超过采购预算的供应商不足3家的。</w:t>
      </w:r>
    </w:p>
    <w:p w14:paraId="1C6337B4">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.3.4在苏采云系统规定时间内成功解密电子响应文件的供应商不足3家的。</w:t>
      </w:r>
    </w:p>
    <w:p w14:paraId="07750418">
      <w:pPr>
        <w:spacing w:line="360" w:lineRule="auto"/>
        <w:ind w:firstLine="480"/>
        <w:rPr>
          <w:rFonts w:hint="eastAsia" w:ascii="宋体" w:hAnsi="宋体" w:eastAsia="宋体" w:cs="宋体"/>
          <w:bCs/>
          <w:color w:val="auto"/>
          <w:sz w:val="24"/>
          <w:szCs w:val="21"/>
          <w:highlight w:val="none"/>
        </w:rPr>
      </w:pPr>
      <w:bookmarkStart w:id="156" w:name="_Toc16938551"/>
      <w:bookmarkStart w:id="157" w:name="_Toc513029235"/>
      <w:bookmarkStart w:id="158" w:name="_Toc20823307"/>
      <w:bookmarkStart w:id="159" w:name="_Toc120614219"/>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.3.5因重大变故，采购任务取消的。</w:t>
      </w:r>
    </w:p>
    <w:p w14:paraId="08E00513">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.3.6磋商小组认定磋商文件存在歧义、重大缺陷导致评审工作无法进行。</w:t>
      </w:r>
    </w:p>
    <w:p w14:paraId="77DB3E56">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.3.7因系统故障原因造成磋商无法继续进行的。</w:t>
      </w:r>
    </w:p>
    <w:p w14:paraId="231E3EA9">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.4响应文件提交截止时间结束后参加磋商的供应商不足三家的处理：</w:t>
      </w:r>
    </w:p>
    <w:p w14:paraId="42902766">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.4.1如出现响应文件提交截止时间结束后参加磋商的供应商或者在评审期间对磋商文件做出实质响应的供应商不足三家情况，按政府采购相关规定执行。</w:t>
      </w:r>
    </w:p>
    <w:p w14:paraId="0D187A14">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w:t>
      </w:r>
      <w:bookmarkEnd w:id="156"/>
      <w:bookmarkEnd w:id="157"/>
      <w:bookmarkEnd w:id="158"/>
      <w:bookmarkEnd w:id="159"/>
      <w:r>
        <w:rPr>
          <w:rFonts w:hint="eastAsia" w:ascii="宋体" w:hAnsi="宋体" w:eastAsia="宋体" w:cs="宋体"/>
          <w:b/>
          <w:bCs/>
          <w:color w:val="auto"/>
          <w:sz w:val="32"/>
          <w:szCs w:val="32"/>
          <w:highlight w:val="none"/>
        </w:rPr>
        <w:t>成交</w:t>
      </w:r>
    </w:p>
    <w:p w14:paraId="1CA66F60">
      <w:pPr>
        <w:keepNext/>
        <w:keepLines/>
        <w:spacing w:line="360" w:lineRule="auto"/>
        <w:ind w:firstLine="560"/>
        <w:outlineLvl w:val="3"/>
        <w:rPr>
          <w:rFonts w:hint="eastAsia" w:ascii="宋体" w:hAnsi="宋体" w:eastAsia="宋体" w:cs="宋体"/>
          <w:color w:val="auto"/>
          <w:sz w:val="28"/>
          <w:szCs w:val="28"/>
          <w:highlight w:val="none"/>
          <w:lang w:val="en-US" w:eastAsia="zh-CN"/>
        </w:rPr>
      </w:pPr>
      <w:bookmarkStart w:id="160" w:name="_Toc513029238"/>
      <w:bookmarkStart w:id="161" w:name="_Toc20823310"/>
      <w:bookmarkStart w:id="162" w:name="_Toc16938554"/>
      <w:r>
        <w:rPr>
          <w:rFonts w:hint="eastAsia" w:ascii="宋体" w:hAnsi="宋体" w:eastAsia="宋体" w:cs="宋体"/>
          <w:color w:val="auto"/>
          <w:sz w:val="28"/>
          <w:szCs w:val="28"/>
          <w:highlight w:val="none"/>
          <w:lang w:val="en-US" w:eastAsia="zh-CN"/>
        </w:rPr>
        <w:t>26、</w:t>
      </w:r>
      <w:bookmarkEnd w:id="160"/>
      <w:r>
        <w:rPr>
          <w:rFonts w:hint="eastAsia" w:ascii="宋体" w:hAnsi="宋体" w:eastAsia="宋体" w:cs="宋体"/>
          <w:color w:val="auto"/>
          <w:sz w:val="28"/>
          <w:szCs w:val="28"/>
          <w:highlight w:val="none"/>
          <w:lang w:val="en-US" w:eastAsia="zh-CN"/>
        </w:rPr>
        <w:t>确定</w:t>
      </w:r>
      <w:bookmarkEnd w:id="161"/>
      <w:bookmarkEnd w:id="162"/>
      <w:r>
        <w:rPr>
          <w:rFonts w:hint="eastAsia" w:ascii="宋体" w:hAnsi="宋体" w:eastAsia="宋体" w:cs="宋体"/>
          <w:color w:val="auto"/>
          <w:sz w:val="28"/>
          <w:szCs w:val="28"/>
          <w:highlight w:val="none"/>
          <w:lang w:val="en-US" w:eastAsia="zh-CN"/>
        </w:rPr>
        <w:t>成交单位</w:t>
      </w:r>
    </w:p>
    <w:p w14:paraId="630DE30B">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.1磋商小组根据综合评分情况，按照评审得分由高到低顺序推荐3名成交候选供应商，并编写评审报告。符合本磋商文件第二章第2</w:t>
      </w:r>
      <w:r>
        <w:rPr>
          <w:rFonts w:hint="eastAsia" w:ascii="宋体" w:hAnsi="宋体" w:eastAsia="宋体" w:cs="宋体"/>
          <w:bCs/>
          <w:color w:val="auto"/>
          <w:sz w:val="24"/>
          <w:szCs w:val="21"/>
          <w:highlight w:val="none"/>
          <w:lang w:val="en-US" w:eastAsia="zh-CN"/>
        </w:rPr>
        <w:t>5</w:t>
      </w:r>
      <w:r>
        <w:rPr>
          <w:rFonts w:hint="eastAsia" w:ascii="宋体" w:hAnsi="宋体" w:eastAsia="宋体" w:cs="宋体"/>
          <w:bCs/>
          <w:color w:val="auto"/>
          <w:sz w:val="24"/>
          <w:szCs w:val="21"/>
          <w:highlight w:val="none"/>
        </w:rPr>
        <w:t>.1.2条情形的，可以推荐2名成交候选供应商。评审得分相同的，按照最后报价由低到高的顺序推荐。评审得分且最后报价相同的，按照技术指标优劣顺序推荐。</w:t>
      </w:r>
    </w:p>
    <w:p w14:paraId="1B65F0F2">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评审后得分最高的供应商获得成交供应商推荐资格；评审得分相同的，由采购人或者采购人委托磋商小组按照磋商文件规定的方式确定一个供应商获得成交供应商推荐资格，磋商文件未规定的采取随机抽取方式确定，其他供应商不作为成交候选人。</w:t>
      </w:r>
    </w:p>
    <w:p w14:paraId="37B658DA">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非单一产品采购项目，磋商文件中将载明其中的核心产品。多家供应商提供的核心产品品牌型号相同的，按前款规定处理。</w:t>
      </w:r>
    </w:p>
    <w:p w14:paraId="1DAA2A8A">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.2采购人授权磋商小组直接确定排名第一的成交候选供应商为成交供应商。确定成交供应商之日起2个工作日内，采购人或代理机构将在“江苏政府采购网”发布成交结果公告，公告期限为1个工作日。</w:t>
      </w:r>
    </w:p>
    <w:p w14:paraId="70D0C456">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.3若有充分证据证明，成交供应商出现下列情况之一的，一经查实，将被取消成交资格：</w:t>
      </w:r>
    </w:p>
    <w:p w14:paraId="5DAC3007">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.3.1提供虚假材料谋取成交的。</w:t>
      </w:r>
    </w:p>
    <w:p w14:paraId="3B0E2293">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.3.2与评审专家、采购人、其他供应商或者代理机构工作人员恶意串通的。</w:t>
      </w:r>
    </w:p>
    <w:p w14:paraId="005F37E0">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.3.3向评审专家、采购人或代理机构工作人员行贿或者提供其他不正当利益的。</w:t>
      </w:r>
    </w:p>
    <w:p w14:paraId="5960BCB1">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.3.4恶意竞争，最后报价明显低于其自身合理成本且又无法提供证明的。</w:t>
      </w:r>
    </w:p>
    <w:p w14:paraId="4CDCAF6F">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.3.5不满足本磋商文件规定的实质性要求，但在评审过程中又未被磋商小组发现的。</w:t>
      </w:r>
    </w:p>
    <w:p w14:paraId="798CE2F8">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.3.6成交后无正当理由拒不与采购人签订政府采购合同或者未按照磋商文件确定的事项签订政府采购合同的。</w:t>
      </w:r>
    </w:p>
    <w:p w14:paraId="7DCAFB9B">
      <w:pPr>
        <w:spacing w:line="360" w:lineRule="auto"/>
        <w:ind w:firstLine="480"/>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2</w:t>
      </w:r>
      <w:r>
        <w:rPr>
          <w:rFonts w:hint="eastAsia" w:ascii="宋体" w:hAnsi="宋体" w:eastAsia="宋体" w:cs="宋体"/>
          <w:bCs/>
          <w:color w:val="auto"/>
          <w:sz w:val="24"/>
          <w:szCs w:val="21"/>
          <w:highlight w:val="none"/>
          <w:lang w:val="en-US" w:eastAsia="zh-CN"/>
        </w:rPr>
        <w:t>6</w:t>
      </w:r>
      <w:r>
        <w:rPr>
          <w:rFonts w:hint="eastAsia" w:ascii="宋体" w:hAnsi="宋体" w:eastAsia="宋体" w:cs="宋体"/>
          <w:bCs/>
          <w:color w:val="auto"/>
          <w:sz w:val="24"/>
          <w:szCs w:val="21"/>
          <w:highlight w:val="none"/>
        </w:rPr>
        <w:t>.3.7将政府采购合同转包的。</w:t>
      </w:r>
    </w:p>
    <w:p w14:paraId="164C1807">
      <w:pPr>
        <w:keepNext/>
        <w:keepLines/>
        <w:spacing w:line="360" w:lineRule="auto"/>
        <w:ind w:firstLine="560"/>
        <w:outlineLvl w:val="3"/>
        <w:rPr>
          <w:rFonts w:hint="eastAsia" w:ascii="宋体" w:hAnsi="宋体" w:eastAsia="宋体" w:cs="宋体"/>
          <w:color w:val="auto"/>
          <w:sz w:val="28"/>
          <w:szCs w:val="28"/>
          <w:highlight w:val="none"/>
          <w:lang w:val="en-US" w:eastAsia="zh-CN"/>
        </w:rPr>
      </w:pPr>
      <w:bookmarkStart w:id="163" w:name="_Toc200451960"/>
      <w:r>
        <w:rPr>
          <w:rFonts w:hint="eastAsia" w:ascii="宋体" w:hAnsi="宋体" w:eastAsia="宋体" w:cs="宋体"/>
          <w:color w:val="auto"/>
          <w:sz w:val="28"/>
          <w:szCs w:val="28"/>
          <w:highlight w:val="none"/>
          <w:lang w:val="en-US" w:eastAsia="zh-CN"/>
        </w:rPr>
        <w:t>27、质疑处理</w:t>
      </w:r>
      <w:bookmarkEnd w:id="163"/>
    </w:p>
    <w:p w14:paraId="6868932E">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.1 提出质疑的供应商应当是参与所质疑项目采购活动的供应商。潜在供应商依法获取其可质疑的采购文件的，可以对采购文件提出质疑。</w:t>
      </w:r>
    </w:p>
    <w:p w14:paraId="1133859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.2供应商认为采购文件、采购过程和采购结果使自己的权益受到损害的，可以在知道或应知其权益受到损害之日起七个工作日内，以书面形式根据下述2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.4条款的规定向代理机构或采购人提出质疑。上述应知其权益受到损害之日，是指：</w:t>
      </w:r>
    </w:p>
    <w:p w14:paraId="5F0B5DA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.2.1对可以质疑的采购文件提出质疑的，为收到采购文件之日或者采购文件公告期限届满之日。</w:t>
      </w:r>
    </w:p>
    <w:p w14:paraId="6A5E1F0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.2.2对采购过程提出质疑的，为各采购程序环节结束之日。</w:t>
      </w:r>
    </w:p>
    <w:p w14:paraId="55D5B08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.2.3对成交结果提出质疑的，为成交结果公告期限届满之日。</w:t>
      </w:r>
    </w:p>
    <w:p w14:paraId="6355CFF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cs="宋体"/>
          <w:color w:val="auto"/>
          <w:sz w:val="24"/>
          <w:szCs w:val="24"/>
          <w:highlight w:val="none"/>
          <w:lang w:val="en-US" w:eastAsia="zh-CN"/>
        </w:rPr>
        <w:t>采购</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、采购人将只对供应商第一次质疑作出答复。</w:t>
      </w:r>
    </w:p>
    <w:p w14:paraId="6E7C6DE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.3质疑函必须按照本磋商文件中《质疑函范本》要求的格式和内容进行填写。供应商如组成联合体参加磋商，则《质疑函范本》中要求签字、盖章、加盖公章之处，联合体各方均须按要求签字、盖章、加盖公章。</w:t>
      </w:r>
    </w:p>
    <w:p w14:paraId="46B192B9">
      <w:pPr>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.4 供应商（含潜在供应商）对采购方式、采购需求、供应商资格条件、评</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方法与评</w:t>
      </w:r>
      <w:r>
        <w:rPr>
          <w:rFonts w:hint="eastAsia" w:ascii="宋体" w:hAnsi="宋体" w:cs="宋体"/>
          <w:color w:val="auto"/>
          <w:sz w:val="24"/>
          <w:szCs w:val="24"/>
          <w:highlight w:val="none"/>
          <w:lang w:val="en-US" w:eastAsia="zh-CN"/>
        </w:rPr>
        <w:t>标</w:t>
      </w:r>
      <w:r>
        <w:rPr>
          <w:rFonts w:hint="eastAsia" w:ascii="宋体" w:hAnsi="宋体" w:eastAsia="宋体" w:cs="宋体"/>
          <w:color w:val="auto"/>
          <w:sz w:val="24"/>
          <w:szCs w:val="24"/>
          <w:highlight w:val="none"/>
        </w:rPr>
        <w:t>标准、合同文本的询问、质疑请向采购人提出，由采购人负责答复。供应商对其他事项的询问、质疑请向</w:t>
      </w:r>
      <w:r>
        <w:rPr>
          <w:rFonts w:hint="eastAsia" w:ascii="宋体" w:hAnsi="宋体" w:cs="宋体"/>
          <w:color w:val="auto"/>
          <w:sz w:val="24"/>
          <w:szCs w:val="24"/>
          <w:highlight w:val="none"/>
          <w:lang w:val="en-US" w:eastAsia="zh-CN"/>
        </w:rPr>
        <w:t>采购</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提出，由</w:t>
      </w:r>
      <w:r>
        <w:rPr>
          <w:rFonts w:hint="eastAsia" w:ascii="宋体" w:hAnsi="宋体" w:cs="宋体"/>
          <w:color w:val="auto"/>
          <w:sz w:val="24"/>
          <w:szCs w:val="24"/>
          <w:highlight w:val="none"/>
          <w:lang w:val="en-US" w:eastAsia="zh-CN"/>
        </w:rPr>
        <w:t>采购</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负责答复。</w:t>
      </w:r>
    </w:p>
    <w:p w14:paraId="7C30D343">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采购人及</w:t>
      </w:r>
      <w:r>
        <w:rPr>
          <w:rFonts w:hint="eastAsia" w:ascii="宋体" w:hAnsi="宋体" w:cs="宋体"/>
          <w:color w:val="auto"/>
          <w:sz w:val="24"/>
          <w:szCs w:val="24"/>
          <w:highlight w:val="none"/>
          <w:lang w:val="en-US" w:eastAsia="zh-CN"/>
        </w:rPr>
        <w:t>采购</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只接收以纸质原件形式送达的质疑,建议供应商尽量通过邮寄方式提交质疑</w:t>
      </w:r>
      <w:r>
        <w:rPr>
          <w:rFonts w:hint="eastAsia" w:ascii="宋体" w:hAnsi="宋体" w:cs="宋体"/>
          <w:color w:val="auto"/>
          <w:sz w:val="24"/>
          <w:szCs w:val="24"/>
          <w:highlight w:val="none"/>
          <w:lang w:eastAsia="zh-CN"/>
        </w:rPr>
        <w:t>。</w:t>
      </w:r>
    </w:p>
    <w:p w14:paraId="345C1783">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采购人或代理机构质疑接收人及联系方式见本磋商文件第一章。</w:t>
      </w:r>
    </w:p>
    <w:p w14:paraId="5402ACA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.5 以下情形的质疑不予受理</w:t>
      </w:r>
    </w:p>
    <w:p w14:paraId="4D22A311">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.5.1 内容不符合《政府采购质疑和投诉办法》第十二条规定的质疑。</w:t>
      </w:r>
    </w:p>
    <w:p w14:paraId="31340C24">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.5.2 超出政府采购法定期限的质疑。</w:t>
      </w:r>
    </w:p>
    <w:p w14:paraId="59B0BF6D">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.5.3 以传真、电子邮件等方式递交的非原件形式的质疑。</w:t>
      </w:r>
    </w:p>
    <w:p w14:paraId="214ED4C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.5.4 未参加磋商活动的供应商或在磋商活动中自身权益未受到损害的供应商所提出的质疑。</w:t>
      </w:r>
    </w:p>
    <w:p w14:paraId="5555B5C9">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.5.5供应商组成联合体参加磋商，联合体中任何一方或多方未按要求签字、盖章、加盖公章的质疑。</w:t>
      </w:r>
    </w:p>
    <w:p w14:paraId="61F464FA">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.6 供应商提出书面质疑必须有理、有据，不得捏造事实、提供虚假材料进行恶意质疑。否则，一经查实，代理机构人员有权依据政府采购的有关规定，报请政府采购监管部门对该供应商进行相应的行政处罚和记录该供应商的失信信息。</w:t>
      </w:r>
    </w:p>
    <w:p w14:paraId="401F18D2">
      <w:pPr>
        <w:keepNext/>
        <w:keepLines/>
        <w:spacing w:line="360" w:lineRule="auto"/>
        <w:ind w:firstLine="560"/>
        <w:outlineLvl w:val="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28、成交通知书</w:t>
      </w:r>
    </w:p>
    <w:p w14:paraId="13D2E17C">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.1成交结果确定后，</w:t>
      </w:r>
      <w:r>
        <w:rPr>
          <w:rFonts w:hint="eastAsia" w:ascii="宋体" w:hAnsi="宋体" w:cs="宋体"/>
          <w:color w:val="auto"/>
          <w:sz w:val="24"/>
          <w:szCs w:val="24"/>
          <w:highlight w:val="none"/>
          <w:lang w:val="en-US" w:eastAsia="zh-CN"/>
        </w:rPr>
        <w:t>采购</w:t>
      </w:r>
      <w:r>
        <w:rPr>
          <w:rFonts w:hint="eastAsia" w:ascii="宋体" w:hAnsi="宋体" w:eastAsia="宋体" w:cs="宋体"/>
          <w:bCs/>
          <w:color w:val="auto"/>
          <w:sz w:val="24"/>
          <w:szCs w:val="21"/>
          <w:highlight w:val="none"/>
        </w:rPr>
        <w:t>代理机构</w:t>
      </w:r>
      <w:r>
        <w:rPr>
          <w:rFonts w:hint="eastAsia" w:ascii="宋体" w:hAnsi="宋体" w:eastAsia="宋体" w:cs="宋体"/>
          <w:color w:val="auto"/>
          <w:sz w:val="24"/>
          <w:szCs w:val="24"/>
          <w:highlight w:val="none"/>
        </w:rPr>
        <w:t>将向成交供应商发出成交通知书。请成交供应商在成交结果公告届满之日起30日内,使用CA数字证书登录苏采云系统及时下载成交通知书。因系统存储空间有限，自成交结果公告届满之日起30日后，苏采云系统不再保证提供下载成交通知书服务,因未及时下载而造成的不利后果由成交供应商自行承担。</w:t>
      </w:r>
    </w:p>
    <w:p w14:paraId="020C5ED4">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6E5EEA5E">
      <w:pPr>
        <w:keepNext/>
        <w:keepLines/>
        <w:pageBreakBefore w:val="0"/>
        <w:widowControl w:val="0"/>
        <w:kinsoku/>
        <w:wordWrap/>
        <w:overflowPunct/>
        <w:topLinePunct w:val="0"/>
        <w:autoSpaceDE/>
        <w:autoSpaceDN/>
        <w:bidi w:val="0"/>
        <w:adjustRightInd/>
        <w:snapToGrid/>
        <w:spacing w:before="120" w:line="360" w:lineRule="auto"/>
        <w:ind w:firstLine="641"/>
        <w:textAlignment w:val="auto"/>
        <w:outlineLvl w:val="2"/>
        <w:rPr>
          <w:rFonts w:hint="eastAsia" w:ascii="宋体" w:hAnsi="宋体" w:eastAsia="宋体" w:cs="宋体"/>
          <w:b/>
          <w:bCs/>
          <w:color w:val="auto"/>
          <w:sz w:val="32"/>
          <w:szCs w:val="32"/>
          <w:highlight w:val="none"/>
        </w:rPr>
      </w:pPr>
      <w:bookmarkStart w:id="164" w:name="_Toc120614220"/>
      <w:bookmarkStart w:id="165" w:name="_Toc16938552"/>
      <w:bookmarkStart w:id="166" w:name="_Toc20823308"/>
      <w:bookmarkStart w:id="167" w:name="_Toc513029236"/>
      <w:r>
        <w:rPr>
          <w:rFonts w:hint="eastAsia" w:ascii="宋体" w:hAnsi="宋体" w:eastAsia="宋体" w:cs="宋体"/>
          <w:b/>
          <w:bCs/>
          <w:color w:val="auto"/>
          <w:sz w:val="32"/>
          <w:szCs w:val="32"/>
          <w:highlight w:val="none"/>
        </w:rPr>
        <w:t>七、授予合同</w:t>
      </w:r>
      <w:bookmarkEnd w:id="164"/>
      <w:bookmarkEnd w:id="165"/>
      <w:bookmarkEnd w:id="166"/>
      <w:bookmarkEnd w:id="167"/>
    </w:p>
    <w:p w14:paraId="3E88B36A">
      <w:pPr>
        <w:keepNext/>
        <w:keepLines/>
        <w:spacing w:line="360" w:lineRule="auto"/>
        <w:ind w:firstLine="560"/>
        <w:outlineLvl w:val="3"/>
        <w:rPr>
          <w:rFonts w:hint="eastAsia" w:ascii="宋体" w:hAnsi="宋体" w:eastAsia="宋体" w:cs="宋体"/>
          <w:color w:val="auto"/>
          <w:sz w:val="28"/>
          <w:szCs w:val="28"/>
          <w:highlight w:val="none"/>
          <w:lang w:val="en-US" w:eastAsia="zh-CN"/>
        </w:rPr>
      </w:pPr>
      <w:bookmarkStart w:id="168" w:name="_Toc513029237"/>
      <w:bookmarkStart w:id="169" w:name="_Toc20823309"/>
      <w:bookmarkStart w:id="170" w:name="_Toc16938553"/>
      <w:r>
        <w:rPr>
          <w:rFonts w:hint="eastAsia" w:ascii="宋体" w:hAnsi="宋体" w:eastAsia="宋体" w:cs="宋体"/>
          <w:color w:val="auto"/>
          <w:sz w:val="28"/>
          <w:szCs w:val="28"/>
          <w:highlight w:val="none"/>
          <w:lang w:val="en-US" w:eastAsia="zh-CN"/>
        </w:rPr>
        <w:t>29、签订合同</w:t>
      </w:r>
    </w:p>
    <w:p w14:paraId="466314D5">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.l成交供应商应当在成交通知书发出之日起三十日内，按照磋商文件确定的事项与采购人签订政府采购合同。</w:t>
      </w:r>
    </w:p>
    <w:p w14:paraId="6217C463">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.2磋商文件、成交供应商的响应文件及磋商过程中有关澄清、承诺文件均应作为合同附件。</w:t>
      </w:r>
    </w:p>
    <w:p w14:paraId="4495FC1A">
      <w:pPr>
        <w:spacing w:line="360" w:lineRule="auto"/>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.3 签订合同后，成交供应商不得将合同标的进行转包。未经采购人同意，成交供应商也不得采用分包形式履行合同,否则采购人有权终止合同。转包或分包造成采购人损失的，成交供应商应承担相应赔偿责任。</w:t>
      </w:r>
    </w:p>
    <w:p w14:paraId="6737E90A">
      <w:pPr>
        <w:keepNext/>
        <w:keepLines/>
        <w:spacing w:line="360" w:lineRule="auto"/>
        <w:ind w:firstLine="560"/>
        <w:outlineLvl w:val="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30、标的物的追加</w:t>
      </w:r>
      <w:bookmarkEnd w:id="168"/>
      <w:bookmarkEnd w:id="169"/>
      <w:bookmarkEnd w:id="170"/>
    </w:p>
    <w:p w14:paraId="04441D1D">
      <w:pPr>
        <w:spacing w:line="360" w:lineRule="auto"/>
        <w:ind w:firstLine="600"/>
        <w:rPr>
          <w:rFonts w:hint="eastAsia" w:ascii="宋体" w:hAnsi="宋体" w:eastAsia="宋体" w:cs="宋体"/>
          <w:color w:val="auto"/>
          <w:sz w:val="24"/>
          <w:szCs w:val="24"/>
          <w:highlight w:val="none"/>
        </w:rPr>
      </w:pPr>
      <w:bookmarkStart w:id="171" w:name="_Toc513029242"/>
      <w:bookmarkStart w:id="172" w:name="_Toc479757207"/>
      <w:bookmarkStart w:id="173" w:name="_Toc20823314"/>
      <w:bookmarkStart w:id="174" w:name="_Toc120614221"/>
      <w:bookmarkStart w:id="175" w:name="_Toc16938558"/>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.1政府采购合同履行中，采购人需追加与合同标的相同的货物和服务的，在不改变合同其他条款的前提下，可以与成交供应商协商签订补充合同，但所有补充合同的采购金额不超过原合同金额10%。</w:t>
      </w:r>
    </w:p>
    <w:p w14:paraId="593194B1">
      <w:pPr>
        <w:spacing w:line="360" w:lineRule="auto"/>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.2采购结束后，采购人若由于各种客观原因，必须对采购项目所牵涉的货物和服务进行适当的减少时，在双方协商一致的前提下，可以按照采购时的价格水平做相应的调减，并据此签订补充合同。</w:t>
      </w:r>
    </w:p>
    <w:p w14:paraId="24914C81">
      <w:pPr>
        <w:keepNext/>
        <w:keepLines/>
        <w:spacing w:line="360" w:lineRule="auto"/>
        <w:ind w:firstLine="560"/>
        <w:outlineLvl w:val="3"/>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31、政府采购履约资金扶持政策</w:t>
      </w:r>
    </w:p>
    <w:p w14:paraId="072C5D3C">
      <w:pPr>
        <w:snapToGrid w:val="0"/>
        <w:spacing w:line="460" w:lineRule="exact"/>
        <w:ind w:firstLine="468" w:firstLineChars="195"/>
        <w:rPr>
          <w:rFonts w:ascii="宋体" w:hAnsi="宋体" w:cs="宋体"/>
          <w:color w:val="auto"/>
          <w:sz w:val="24"/>
          <w:szCs w:val="24"/>
          <w:highlight w:val="none"/>
        </w:rPr>
      </w:pPr>
      <w:r>
        <w:rPr>
          <w:rFonts w:hint="eastAsia" w:ascii="宋体" w:hAnsi="宋体" w:cs="宋体"/>
          <w:color w:val="auto"/>
          <w:sz w:val="24"/>
          <w:szCs w:val="24"/>
          <w:highlight w:val="none"/>
        </w:rPr>
        <w:t>根据《关于深入开展南通市政府采购线上合同信用融资工作的通知》（通财购〔2022〕68号），对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中标供应商如需获得合同信用融资支持，可凭政府采购合同办理“政采贷”融资贷款，详情请见江苏省政府采购网-政采贷专栏。</w:t>
      </w:r>
    </w:p>
    <w:p w14:paraId="339D5425">
      <w:pPr>
        <w:rPr>
          <w:b/>
          <w:bCs/>
          <w:color w:val="auto"/>
          <w:sz w:val="36"/>
          <w:szCs w:val="36"/>
          <w:highlight w:val="none"/>
        </w:rPr>
      </w:pPr>
      <w:r>
        <w:rPr>
          <w:b/>
          <w:bCs/>
          <w:color w:val="auto"/>
          <w:sz w:val="36"/>
          <w:szCs w:val="36"/>
          <w:highlight w:val="none"/>
        </w:rPr>
        <w:br w:type="page"/>
      </w:r>
    </w:p>
    <w:p w14:paraId="35ECC600">
      <w:pPr>
        <w:spacing w:line="360" w:lineRule="auto"/>
        <w:jc w:val="center"/>
        <w:outlineLvl w:val="0"/>
        <w:rPr>
          <w:b/>
          <w:bCs/>
          <w:color w:val="auto"/>
          <w:sz w:val="36"/>
          <w:szCs w:val="36"/>
          <w:highlight w:val="none"/>
        </w:rPr>
      </w:pPr>
      <w:bookmarkStart w:id="176" w:name="_Toc8033"/>
      <w:r>
        <w:rPr>
          <w:b/>
          <w:bCs/>
          <w:color w:val="auto"/>
          <w:sz w:val="36"/>
          <w:szCs w:val="36"/>
          <w:highlight w:val="none"/>
        </w:rPr>
        <w:t>第三章</w:t>
      </w:r>
      <w:r>
        <w:rPr>
          <w:rFonts w:hint="eastAsia"/>
          <w:b/>
          <w:bCs/>
          <w:color w:val="auto"/>
          <w:sz w:val="36"/>
          <w:szCs w:val="36"/>
          <w:highlight w:val="none"/>
          <w:lang w:val="en-US" w:eastAsia="zh-CN"/>
        </w:rPr>
        <w:t xml:space="preserve"> </w:t>
      </w:r>
      <w:r>
        <w:rPr>
          <w:b/>
          <w:bCs/>
          <w:color w:val="auto"/>
          <w:sz w:val="36"/>
          <w:szCs w:val="36"/>
          <w:highlight w:val="none"/>
        </w:rPr>
        <w:t>合同</w:t>
      </w:r>
      <w:bookmarkEnd w:id="171"/>
      <w:bookmarkEnd w:id="172"/>
      <w:bookmarkEnd w:id="173"/>
      <w:bookmarkEnd w:id="174"/>
      <w:bookmarkEnd w:id="175"/>
      <w:r>
        <w:rPr>
          <w:b/>
          <w:bCs/>
          <w:color w:val="auto"/>
          <w:sz w:val="36"/>
          <w:szCs w:val="36"/>
          <w:highlight w:val="none"/>
        </w:rPr>
        <w:t>文本</w:t>
      </w:r>
      <w:bookmarkEnd w:id="176"/>
    </w:p>
    <w:p w14:paraId="4E550176">
      <w:pPr>
        <w:widowControl/>
        <w:spacing w:line="460" w:lineRule="exact"/>
        <w:jc w:val="center"/>
        <w:outlineLvl w:val="1"/>
        <w:rPr>
          <w:rFonts w:ascii="宋体" w:hAnsi="宋体" w:cs="宋体"/>
          <w:b/>
          <w:color w:val="auto"/>
          <w:kern w:val="0"/>
          <w:sz w:val="32"/>
          <w:szCs w:val="32"/>
          <w:highlight w:val="none"/>
        </w:rPr>
      </w:pPr>
      <w:bookmarkStart w:id="177" w:name="_Toc513029243"/>
      <w:bookmarkEnd w:id="177"/>
      <w:bookmarkStart w:id="178" w:name="_Toc20823315"/>
      <w:bookmarkEnd w:id="178"/>
      <w:bookmarkStart w:id="179" w:name="_Toc16938559"/>
      <w:bookmarkEnd w:id="179"/>
      <w:r>
        <w:rPr>
          <w:rFonts w:hint="eastAsia" w:ascii="宋体" w:hAnsi="宋体" w:cs="宋体"/>
          <w:b/>
          <w:color w:val="auto"/>
          <w:kern w:val="0"/>
          <w:sz w:val="32"/>
          <w:szCs w:val="32"/>
          <w:highlight w:val="none"/>
        </w:rPr>
        <w:t>第一部分</w:t>
      </w:r>
      <w:r>
        <w:rPr>
          <w:rFonts w:hint="eastAsia" w:ascii="宋体" w:hAnsi="宋体" w:cs="宋体"/>
          <w:b/>
          <w:bCs/>
          <w:color w:val="auto"/>
          <w:kern w:val="0"/>
          <w:sz w:val="32"/>
          <w:szCs w:val="32"/>
          <w:highlight w:val="none"/>
        </w:rPr>
        <w:t>　</w:t>
      </w:r>
      <w:r>
        <w:rPr>
          <w:rFonts w:hint="eastAsia" w:ascii="宋体" w:hAnsi="宋体" w:cs="宋体"/>
          <w:b/>
          <w:color w:val="auto"/>
          <w:kern w:val="0"/>
          <w:sz w:val="32"/>
          <w:szCs w:val="32"/>
          <w:highlight w:val="none"/>
        </w:rPr>
        <w:t>合同协议书</w:t>
      </w:r>
    </w:p>
    <w:p w14:paraId="1F32A558">
      <w:pPr>
        <w:spacing w:line="460" w:lineRule="exact"/>
        <w:contextualSpacing/>
        <w:rPr>
          <w:rFonts w:ascii="宋体" w:hAnsi="宋体" w:cs="宋体"/>
          <w:b/>
          <w:color w:val="auto"/>
          <w:kern w:val="0"/>
          <w:sz w:val="24"/>
          <w:szCs w:val="24"/>
          <w:highlight w:val="none"/>
        </w:rPr>
      </w:pPr>
    </w:p>
    <w:p w14:paraId="1F08864F">
      <w:pPr>
        <w:spacing w:line="460" w:lineRule="exact"/>
        <w:contextualSpacing/>
        <w:rPr>
          <w:rFonts w:hint="default" w:ascii="宋体" w:hAnsi="宋体" w:eastAsia="宋体" w:cs="宋体"/>
          <w:b/>
          <w:color w:val="auto"/>
          <w:kern w:val="0"/>
          <w:sz w:val="24"/>
          <w:szCs w:val="24"/>
          <w:highlight w:val="none"/>
          <w:u w:val="single"/>
          <w:lang w:val="en-US" w:eastAsia="zh-CN"/>
        </w:rPr>
      </w:pPr>
      <w:r>
        <w:rPr>
          <w:rFonts w:hint="eastAsia" w:ascii="宋体" w:hAnsi="宋体" w:cs="宋体"/>
          <w:b/>
          <w:color w:val="auto"/>
          <w:kern w:val="0"/>
          <w:sz w:val="24"/>
          <w:szCs w:val="24"/>
          <w:highlight w:val="none"/>
        </w:rPr>
        <w:t>发包人（全称）：</w:t>
      </w:r>
      <w:r>
        <w:rPr>
          <w:rFonts w:hint="eastAsia" w:ascii="宋体" w:hAnsi="宋体" w:cs="宋体"/>
          <w:b/>
          <w:color w:val="auto"/>
          <w:kern w:val="0"/>
          <w:sz w:val="24"/>
          <w:szCs w:val="24"/>
          <w:highlight w:val="none"/>
          <w:u w:val="single"/>
          <w:lang w:val="en-US" w:eastAsia="zh-CN"/>
        </w:rPr>
        <w:t xml:space="preserve">                    </w:t>
      </w:r>
    </w:p>
    <w:p w14:paraId="7299BE40">
      <w:pPr>
        <w:spacing w:line="460" w:lineRule="exact"/>
        <w:contextualSpacing/>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rPr>
        <w:t>承包人（全称）：</w:t>
      </w:r>
      <w:r>
        <w:rPr>
          <w:rFonts w:hint="eastAsia" w:ascii="宋体" w:hAnsi="宋体" w:cs="宋体"/>
          <w:b/>
          <w:color w:val="auto"/>
          <w:kern w:val="0"/>
          <w:sz w:val="24"/>
          <w:szCs w:val="24"/>
          <w:highlight w:val="none"/>
          <w:u w:val="single"/>
          <w:lang w:val="en-US" w:eastAsia="zh-CN"/>
        </w:rPr>
        <w:t xml:space="preserve">                    </w:t>
      </w:r>
    </w:p>
    <w:p w14:paraId="20CC740D">
      <w:pPr>
        <w:spacing w:line="460" w:lineRule="exact"/>
        <w:ind w:firstLine="480"/>
        <w:contextualSpacing/>
        <w:rPr>
          <w:rFonts w:ascii="宋体" w:hAnsi="宋体" w:cs="宋体"/>
          <w:color w:val="auto"/>
          <w:kern w:val="0"/>
          <w:sz w:val="24"/>
          <w:szCs w:val="24"/>
          <w:highlight w:val="none"/>
        </w:rPr>
      </w:pPr>
    </w:p>
    <w:p w14:paraId="0D456370">
      <w:pPr>
        <w:spacing w:line="460" w:lineRule="exact"/>
        <w:ind w:firstLine="48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根据《中华人民共和国民法典》、《中华人民共和国建筑法》及有关法律规定，遵循平等、自愿、公平和诚实信用的原则，双方就</w:t>
      </w:r>
      <w:r>
        <w:rPr>
          <w:rFonts w:hint="eastAsia" w:ascii="宋体" w:hAnsi="宋体" w:cs="宋体"/>
          <w:color w:val="auto"/>
          <w:kern w:val="0"/>
          <w:sz w:val="24"/>
          <w:szCs w:val="24"/>
          <w:highlight w:val="none"/>
          <w:u w:val="single"/>
        </w:rPr>
        <w:t>（项目名称）</w:t>
      </w:r>
      <w:r>
        <w:rPr>
          <w:rFonts w:hint="eastAsia" w:ascii="宋体" w:hAnsi="宋体" w:cs="宋体"/>
          <w:color w:val="auto"/>
          <w:kern w:val="0"/>
          <w:sz w:val="24"/>
          <w:szCs w:val="24"/>
          <w:highlight w:val="none"/>
        </w:rPr>
        <w:t>施工及有关事项协商一致，共同达成如下协议：</w:t>
      </w:r>
    </w:p>
    <w:p w14:paraId="367EAEC8">
      <w:pPr>
        <w:spacing w:line="460" w:lineRule="exact"/>
        <w:contextualSpacing/>
        <w:jc w:val="left"/>
        <w:rPr>
          <w:rFonts w:ascii="宋体" w:hAnsi="宋体" w:cs="宋体"/>
          <w:color w:val="auto"/>
          <w:kern w:val="0"/>
          <w:sz w:val="24"/>
          <w:szCs w:val="24"/>
          <w:highlight w:val="none"/>
        </w:rPr>
      </w:pPr>
      <w:bookmarkStart w:id="180" w:name="_Toc351203481"/>
      <w:r>
        <w:rPr>
          <w:rFonts w:hint="eastAsia" w:ascii="宋体" w:hAnsi="宋体" w:cs="宋体"/>
          <w:color w:val="auto"/>
          <w:kern w:val="0"/>
          <w:sz w:val="24"/>
          <w:szCs w:val="24"/>
          <w:highlight w:val="none"/>
        </w:rPr>
        <w:t>一、工程概况</w:t>
      </w:r>
      <w:bookmarkEnd w:id="180"/>
    </w:p>
    <w:p w14:paraId="795406D7">
      <w:pPr>
        <w:spacing w:line="460" w:lineRule="exact"/>
        <w:ind w:firstLine="470"/>
        <w:contextualSpacing/>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1.工程名称</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45A57DDB">
      <w:pPr>
        <w:spacing w:line="460" w:lineRule="exact"/>
        <w:ind w:firstLine="470"/>
        <w:contextualSpacing/>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2.工程地点：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F9B5D27">
      <w:pPr>
        <w:spacing w:line="460" w:lineRule="exact"/>
        <w:ind w:firstLine="470"/>
        <w:contextualSpacing/>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3.工程立项批准文号：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38B263F9">
      <w:pPr>
        <w:spacing w:line="460" w:lineRule="exact"/>
        <w:ind w:firstLine="470"/>
        <w:contextualSpacing/>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4.资金来源：</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54F4B42">
      <w:pPr>
        <w:spacing w:line="460" w:lineRule="exact"/>
        <w:ind w:firstLine="470"/>
        <w:contextualSpacing/>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5.工程内容：</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2B70B6B">
      <w:pPr>
        <w:spacing w:line="460" w:lineRule="exact"/>
        <w:ind w:firstLine="470"/>
        <w:contextualSpacing/>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群体工程应附《承包人承揽工程项目一览表》（附件1）。</w:t>
      </w:r>
    </w:p>
    <w:p w14:paraId="4EA7A087">
      <w:pPr>
        <w:spacing w:line="460" w:lineRule="exact"/>
        <w:ind w:firstLine="470"/>
        <w:contextualSpacing/>
        <w:rPr>
          <w:rFonts w:ascii="宋体" w:hAnsi="宋体" w:cs="宋体"/>
          <w:color w:val="auto"/>
          <w:kern w:val="0"/>
          <w:sz w:val="24"/>
          <w:szCs w:val="24"/>
          <w:highlight w:val="none"/>
        </w:rPr>
      </w:pPr>
      <w:r>
        <w:rPr>
          <w:rFonts w:hint="eastAsia" w:ascii="宋体" w:hAnsi="宋体" w:cs="宋体"/>
          <w:bCs/>
          <w:color w:val="auto"/>
          <w:kern w:val="0"/>
          <w:sz w:val="24"/>
          <w:szCs w:val="24"/>
          <w:highlight w:val="none"/>
        </w:rPr>
        <w:t>6.工程承包范围：</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D47337B">
      <w:pPr>
        <w:spacing w:line="460" w:lineRule="exact"/>
        <w:contextualSpacing/>
        <w:jc w:val="left"/>
        <w:rPr>
          <w:rFonts w:ascii="宋体" w:hAnsi="宋体" w:cs="宋体"/>
          <w:color w:val="auto"/>
          <w:kern w:val="0"/>
          <w:sz w:val="24"/>
          <w:szCs w:val="24"/>
          <w:highlight w:val="none"/>
        </w:rPr>
      </w:pPr>
      <w:bookmarkStart w:id="181" w:name="_Toc351203482"/>
      <w:r>
        <w:rPr>
          <w:rFonts w:hint="eastAsia" w:ascii="宋体" w:hAnsi="宋体" w:cs="宋体"/>
          <w:color w:val="auto"/>
          <w:kern w:val="0"/>
          <w:sz w:val="24"/>
          <w:szCs w:val="24"/>
          <w:highlight w:val="none"/>
        </w:rPr>
        <w:t>二、合同工期</w:t>
      </w:r>
      <w:bookmarkEnd w:id="181"/>
    </w:p>
    <w:p w14:paraId="2DC31DD0">
      <w:pPr>
        <w:spacing w:line="460" w:lineRule="exact"/>
        <w:ind w:firstLine="480" w:firstLineChars="200"/>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计划开工日期：</w:t>
      </w:r>
      <w:r>
        <w:rPr>
          <w:rFonts w:hint="eastAsia" w:ascii="宋体" w:hAnsi="宋体" w:cs="宋体"/>
          <w:b/>
          <w:color w:val="auto"/>
          <w:kern w:val="0"/>
          <w:sz w:val="24"/>
          <w:szCs w:val="24"/>
          <w:highlight w:val="none"/>
          <w:u w:val="single"/>
        </w:rPr>
        <w:t>202</w:t>
      </w:r>
      <w:r>
        <w:rPr>
          <w:rFonts w:hint="eastAsia" w:ascii="宋体" w:hAnsi="宋体" w:cs="宋体"/>
          <w:b/>
          <w:color w:val="auto"/>
          <w:kern w:val="0"/>
          <w:sz w:val="24"/>
          <w:szCs w:val="24"/>
          <w:highlight w:val="none"/>
          <w:u w:val="single"/>
          <w:lang w:val="en-US" w:eastAsia="zh-CN"/>
        </w:rPr>
        <w:t>5</w:t>
      </w:r>
      <w:r>
        <w:rPr>
          <w:rFonts w:hint="eastAsia" w:ascii="宋体" w:hAnsi="宋体" w:cs="宋体"/>
          <w:color w:val="auto"/>
          <w:kern w:val="0"/>
          <w:sz w:val="24"/>
          <w:szCs w:val="24"/>
          <w:highlight w:val="none"/>
        </w:rPr>
        <w:t>年</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日。计划竣工日期：</w:t>
      </w:r>
      <w:r>
        <w:rPr>
          <w:rFonts w:hint="eastAsia" w:ascii="宋体" w:hAnsi="宋体" w:cs="宋体"/>
          <w:b/>
          <w:color w:val="auto"/>
          <w:kern w:val="0"/>
          <w:sz w:val="24"/>
          <w:szCs w:val="24"/>
          <w:highlight w:val="none"/>
          <w:u w:val="single"/>
        </w:rPr>
        <w:t>202</w:t>
      </w:r>
      <w:r>
        <w:rPr>
          <w:rFonts w:hint="eastAsia" w:ascii="宋体" w:hAnsi="宋体" w:cs="宋体"/>
          <w:b/>
          <w:color w:val="auto"/>
          <w:kern w:val="0"/>
          <w:sz w:val="24"/>
          <w:szCs w:val="24"/>
          <w:highlight w:val="none"/>
          <w:u w:val="single"/>
          <w:lang w:val="en-US" w:eastAsia="zh-CN"/>
        </w:rPr>
        <w:t>5</w:t>
      </w:r>
      <w:r>
        <w:rPr>
          <w:rFonts w:hint="eastAsia" w:ascii="宋体" w:hAnsi="宋体" w:cs="宋体"/>
          <w:color w:val="auto"/>
          <w:kern w:val="0"/>
          <w:sz w:val="24"/>
          <w:szCs w:val="24"/>
          <w:highlight w:val="none"/>
        </w:rPr>
        <w:t>年</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日。工期总日历天数：</w:t>
      </w:r>
      <w:r>
        <w:rPr>
          <w:rFonts w:hint="eastAsia" w:ascii="宋体" w:hAnsi="宋体" w:cs="宋体"/>
          <w:b/>
          <w:color w:val="auto"/>
          <w:kern w:val="0"/>
          <w:sz w:val="24"/>
          <w:szCs w:val="24"/>
          <w:highlight w:val="none"/>
          <w:u w:val="single"/>
          <w:lang w:val="en-US" w:eastAsia="zh-CN"/>
        </w:rPr>
        <w:t>100</w:t>
      </w:r>
      <w:r>
        <w:rPr>
          <w:rFonts w:hint="eastAsia" w:ascii="宋体" w:hAnsi="宋体" w:cs="宋体"/>
          <w:b/>
          <w:color w:val="auto"/>
          <w:kern w:val="0"/>
          <w:sz w:val="24"/>
          <w:szCs w:val="24"/>
          <w:highlight w:val="none"/>
          <w:u w:val="single"/>
        </w:rPr>
        <w:t>日历</w:t>
      </w:r>
      <w:r>
        <w:rPr>
          <w:rFonts w:hint="eastAsia" w:ascii="宋体" w:hAnsi="宋体" w:cs="宋体"/>
          <w:b/>
          <w:bCs/>
          <w:color w:val="auto"/>
          <w:kern w:val="0"/>
          <w:sz w:val="24"/>
          <w:szCs w:val="24"/>
          <w:highlight w:val="none"/>
          <w:u w:val="single"/>
        </w:rPr>
        <w:t>天</w:t>
      </w:r>
      <w:r>
        <w:rPr>
          <w:rFonts w:hint="eastAsia" w:ascii="宋体" w:hAnsi="宋体" w:cs="宋体"/>
          <w:color w:val="auto"/>
          <w:kern w:val="0"/>
          <w:sz w:val="24"/>
          <w:szCs w:val="24"/>
          <w:highlight w:val="none"/>
        </w:rPr>
        <w:t>。工期总日历天数与根据前述计划开竣工日期计算的工期天数不一致的，以工期总日历天数为准。</w:t>
      </w:r>
    </w:p>
    <w:p w14:paraId="57CF1441">
      <w:pPr>
        <w:spacing w:line="460" w:lineRule="exact"/>
        <w:contextualSpacing/>
        <w:jc w:val="left"/>
        <w:rPr>
          <w:rFonts w:ascii="宋体" w:hAnsi="宋体" w:cs="宋体"/>
          <w:color w:val="auto"/>
          <w:kern w:val="0"/>
          <w:sz w:val="24"/>
          <w:szCs w:val="24"/>
          <w:highlight w:val="none"/>
        </w:rPr>
      </w:pPr>
      <w:bookmarkStart w:id="182" w:name="_Toc351203483"/>
      <w:r>
        <w:rPr>
          <w:rFonts w:hint="eastAsia" w:ascii="宋体" w:hAnsi="宋体" w:cs="宋体"/>
          <w:color w:val="auto"/>
          <w:kern w:val="0"/>
          <w:sz w:val="24"/>
          <w:szCs w:val="24"/>
          <w:highlight w:val="none"/>
        </w:rPr>
        <w:t>三、质量标准</w:t>
      </w:r>
      <w:bookmarkEnd w:id="182"/>
    </w:p>
    <w:p w14:paraId="0DE97413">
      <w:pPr>
        <w:spacing w:line="460" w:lineRule="exact"/>
        <w:ind w:firstLine="459"/>
        <w:contextualSpacing/>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工程质量符合</w:t>
      </w:r>
      <w:r>
        <w:rPr>
          <w:rFonts w:hint="eastAsia" w:ascii="宋体" w:hAnsi="宋体" w:cs="宋体"/>
          <w:b/>
          <w:bCs/>
          <w:color w:val="auto"/>
          <w:kern w:val="0"/>
          <w:sz w:val="24"/>
          <w:szCs w:val="24"/>
          <w:highlight w:val="none"/>
          <w:u w:val="single"/>
        </w:rPr>
        <w:t>合格</w:t>
      </w:r>
      <w:r>
        <w:rPr>
          <w:rFonts w:hint="eastAsia" w:ascii="宋体" w:hAnsi="宋体" w:cs="宋体"/>
          <w:color w:val="auto"/>
          <w:kern w:val="0"/>
          <w:sz w:val="24"/>
          <w:szCs w:val="24"/>
          <w:highlight w:val="none"/>
        </w:rPr>
        <w:t>标准。</w:t>
      </w:r>
    </w:p>
    <w:p w14:paraId="7467A79F">
      <w:pPr>
        <w:spacing w:line="460" w:lineRule="exact"/>
        <w:contextualSpacing/>
        <w:jc w:val="left"/>
        <w:rPr>
          <w:rFonts w:ascii="宋体" w:hAnsi="宋体" w:cs="宋体"/>
          <w:color w:val="auto"/>
          <w:kern w:val="0"/>
          <w:sz w:val="24"/>
          <w:szCs w:val="24"/>
          <w:highlight w:val="none"/>
        </w:rPr>
      </w:pPr>
      <w:bookmarkStart w:id="183" w:name="_Toc351203484"/>
      <w:r>
        <w:rPr>
          <w:rFonts w:hint="eastAsia" w:ascii="宋体" w:hAnsi="宋体" w:cs="宋体"/>
          <w:color w:val="auto"/>
          <w:kern w:val="0"/>
          <w:sz w:val="24"/>
          <w:szCs w:val="24"/>
          <w:highlight w:val="none"/>
        </w:rPr>
        <w:t>四、签约合同价与合同价格形式</w:t>
      </w:r>
      <w:bookmarkEnd w:id="183"/>
      <w:r>
        <w:rPr>
          <w:rFonts w:hint="eastAsia" w:ascii="宋体" w:hAnsi="宋体" w:cs="宋体"/>
          <w:color w:val="auto"/>
          <w:kern w:val="0"/>
          <w:sz w:val="24"/>
          <w:szCs w:val="24"/>
          <w:highlight w:val="none"/>
        </w:rPr>
        <w:tab/>
      </w:r>
    </w:p>
    <w:p w14:paraId="5D7FD6F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1.签约合同价为：</w:t>
      </w:r>
    </w:p>
    <w:p w14:paraId="3C3D56D0">
      <w:pPr>
        <w:spacing w:line="46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人民币（大写）(¥</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元)；</w:t>
      </w:r>
    </w:p>
    <w:p w14:paraId="27B67B6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其中：</w:t>
      </w:r>
    </w:p>
    <w:p w14:paraId="7503AF5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（1）安全文明施工费：</w:t>
      </w:r>
    </w:p>
    <w:p w14:paraId="7E1A65A6">
      <w:pPr>
        <w:spacing w:line="460" w:lineRule="exact"/>
        <w:ind w:firstLine="10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人民币（大写）(¥元)；</w:t>
      </w:r>
    </w:p>
    <w:p w14:paraId="310FCF1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（2）材料和工程设备暂估价金额：</w:t>
      </w:r>
    </w:p>
    <w:p w14:paraId="183DD155">
      <w:pPr>
        <w:spacing w:line="460" w:lineRule="exact"/>
        <w:ind w:firstLine="10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人民币（大写）(¥元)；</w:t>
      </w:r>
    </w:p>
    <w:p w14:paraId="56686E3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（3）专业工程暂估价金额：</w:t>
      </w:r>
    </w:p>
    <w:p w14:paraId="3F99DE2D">
      <w:pPr>
        <w:spacing w:line="460" w:lineRule="exact"/>
        <w:ind w:firstLine="10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人民币（大写）(¥元)；</w:t>
      </w:r>
    </w:p>
    <w:p w14:paraId="70CCB5F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（4）暂列金额：</w:t>
      </w:r>
    </w:p>
    <w:p w14:paraId="200C2263">
      <w:pPr>
        <w:keepNext/>
        <w:keepLines/>
        <w:spacing w:line="460" w:lineRule="exact"/>
        <w:ind w:firstLine="960"/>
        <w:outlineLvl w:val="9"/>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人民币（大写）(¥元)。</w:t>
      </w:r>
    </w:p>
    <w:p w14:paraId="688B82E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2.合同价格形式：</w:t>
      </w:r>
      <w:r>
        <w:rPr>
          <w:rFonts w:hint="eastAsia" w:ascii="宋体" w:hAnsi="宋体" w:cs="宋体"/>
          <w:b/>
          <w:color w:val="auto"/>
          <w:kern w:val="0"/>
          <w:sz w:val="24"/>
          <w:szCs w:val="24"/>
          <w:highlight w:val="none"/>
          <w:u w:val="single"/>
        </w:rPr>
        <w:t>固定单价合同</w:t>
      </w:r>
      <w:r>
        <w:rPr>
          <w:rFonts w:hint="eastAsia" w:ascii="宋体" w:hAnsi="宋体" w:cs="宋体"/>
          <w:color w:val="auto"/>
          <w:kern w:val="0"/>
          <w:sz w:val="24"/>
          <w:szCs w:val="24"/>
          <w:highlight w:val="none"/>
        </w:rPr>
        <w:t>。</w:t>
      </w:r>
    </w:p>
    <w:p w14:paraId="6BBE1D17">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五、项目经理</w:t>
      </w:r>
    </w:p>
    <w:p w14:paraId="7AEBF1F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承包人项目经理：</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35036738">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六、合同文件构成</w:t>
      </w:r>
    </w:p>
    <w:p w14:paraId="3ADEAFE3">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本协议书与下列文件一起构成合同文件：</w:t>
      </w:r>
    </w:p>
    <w:p w14:paraId="06B1DF1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（1）成交通知书；</w:t>
      </w:r>
    </w:p>
    <w:p w14:paraId="426564F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响应</w:t>
      </w:r>
      <w:r>
        <w:rPr>
          <w:rFonts w:hint="eastAsia" w:ascii="宋体" w:hAnsi="宋体" w:cs="宋体"/>
          <w:color w:val="auto"/>
          <w:kern w:val="0"/>
          <w:sz w:val="24"/>
          <w:szCs w:val="24"/>
          <w:highlight w:val="none"/>
        </w:rPr>
        <w:t xml:space="preserve">函及其附录； </w:t>
      </w:r>
    </w:p>
    <w:p w14:paraId="15AE1AA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（3）专用合同条款及其附件；</w:t>
      </w:r>
    </w:p>
    <w:p w14:paraId="35C44E2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（4）通用合同条款；</w:t>
      </w:r>
    </w:p>
    <w:p w14:paraId="0DCFC10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（5）技术标准和要求；</w:t>
      </w:r>
    </w:p>
    <w:p w14:paraId="4054A0A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（6）图纸；</w:t>
      </w:r>
    </w:p>
    <w:p w14:paraId="0C4A854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（7）已标价工程量清单或预算书；</w:t>
      </w:r>
    </w:p>
    <w:p w14:paraId="7CC4F84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（8）其他合同文件。</w:t>
      </w:r>
    </w:p>
    <w:p w14:paraId="777D3EA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在合同订立及履行过程中形成的与合同有关的文件均构成合同文件组成部分。</w:t>
      </w:r>
    </w:p>
    <w:p w14:paraId="59AFA6F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6AC4557">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七、承诺</w:t>
      </w:r>
    </w:p>
    <w:p w14:paraId="7BE580D1">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1.发包人承诺按照法律规定履行项目审批手续、筹集工程建设资金并按照合同约定的期限和方式支付合同价款。</w:t>
      </w:r>
    </w:p>
    <w:p w14:paraId="7DA9ADBA">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2.承包人承诺按照法律规定及合同约定组织完成工程施工，确保工程质量和安全，不进行违法分包，并在缺陷责任期及保修期内承担相应的工程维修责任。</w:t>
      </w:r>
    </w:p>
    <w:p w14:paraId="2EC39FB5">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3.发包人和承包人通过招投标形式签订合同的，双方理解并承诺不再就同一工程另行签订与合同实质性内容相背离的协议。</w:t>
      </w:r>
    </w:p>
    <w:p w14:paraId="748B68C0">
      <w:pPr>
        <w:spacing w:line="460" w:lineRule="exact"/>
        <w:ind w:firstLine="482"/>
        <w:rPr>
          <w:rFonts w:ascii="宋体" w:hAnsi="宋体" w:cs="宋体"/>
          <w:bCs/>
          <w:color w:val="auto"/>
          <w:kern w:val="0"/>
          <w:sz w:val="24"/>
          <w:szCs w:val="24"/>
          <w:highlight w:val="none"/>
        </w:rPr>
      </w:pPr>
      <w:r>
        <w:rPr>
          <w:rFonts w:hint="eastAsia" w:ascii="宋体" w:hAnsi="宋体" w:cs="宋体"/>
          <w:b/>
          <w:color w:val="auto"/>
          <w:kern w:val="0"/>
          <w:sz w:val="24"/>
          <w:szCs w:val="24"/>
          <w:highlight w:val="none"/>
        </w:rPr>
        <w:t>八、词语含义</w:t>
      </w:r>
    </w:p>
    <w:p w14:paraId="2F6E0212">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本协议书中词语含义与第二部分通用合同条款中赋予的含义相同。</w:t>
      </w:r>
    </w:p>
    <w:p w14:paraId="1FB25063">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九、签订时间</w:t>
      </w:r>
    </w:p>
    <w:p w14:paraId="29344107">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本合同于</w:t>
      </w:r>
      <w:r>
        <w:rPr>
          <w:rFonts w:hint="eastAsia" w:ascii="宋体" w:hAnsi="宋体" w:cs="宋体"/>
          <w:b/>
          <w:color w:val="auto"/>
          <w:kern w:val="0"/>
          <w:sz w:val="24"/>
          <w:szCs w:val="24"/>
          <w:highlight w:val="none"/>
          <w:u w:val="single"/>
        </w:rPr>
        <w:t>202</w:t>
      </w:r>
      <w:r>
        <w:rPr>
          <w:rFonts w:hint="eastAsia" w:ascii="宋体" w:hAnsi="宋体" w:cs="宋体"/>
          <w:b/>
          <w:color w:val="auto"/>
          <w:kern w:val="0"/>
          <w:sz w:val="24"/>
          <w:szCs w:val="24"/>
          <w:highlight w:val="none"/>
          <w:u w:val="single"/>
          <w:lang w:val="en-US" w:eastAsia="zh-CN"/>
        </w:rPr>
        <w:t>5</w:t>
      </w:r>
      <w:r>
        <w:rPr>
          <w:rFonts w:hint="eastAsia" w:ascii="宋体" w:hAnsi="宋体" w:cs="宋体"/>
          <w:color w:val="auto"/>
          <w:kern w:val="0"/>
          <w:sz w:val="24"/>
          <w:szCs w:val="24"/>
          <w:highlight w:val="none"/>
        </w:rPr>
        <w:t>年</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w:t>
      </w:r>
      <w:r>
        <w:rPr>
          <w:rFonts w:hint="eastAsia" w:ascii="宋体" w:hAnsi="宋体" w:cs="宋体"/>
          <w:bCs/>
          <w:color w:val="auto"/>
          <w:kern w:val="0"/>
          <w:sz w:val="24"/>
          <w:szCs w:val="24"/>
          <w:highlight w:val="none"/>
        </w:rPr>
        <w:t>签订。</w:t>
      </w:r>
    </w:p>
    <w:p w14:paraId="27A54F2B">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十、签订地点</w:t>
      </w:r>
    </w:p>
    <w:p w14:paraId="10BB763D">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本合同在</w:t>
      </w:r>
      <w:r>
        <w:rPr>
          <w:rFonts w:hint="eastAsia" w:ascii="宋体" w:hAnsi="宋体" w:cs="宋体"/>
          <w:b/>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rPr>
        <w:t>签订。</w:t>
      </w:r>
    </w:p>
    <w:p w14:paraId="18989C67">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十一、补充协议</w:t>
      </w:r>
    </w:p>
    <w:p w14:paraId="05F18712">
      <w:pPr>
        <w:spacing w:line="460" w:lineRule="exact"/>
        <w:ind w:firstLine="480"/>
        <w:rPr>
          <w:rFonts w:ascii="宋体" w:hAnsi="宋体" w:cs="宋体"/>
          <w:b/>
          <w:bCs/>
          <w:color w:val="auto"/>
          <w:kern w:val="0"/>
          <w:sz w:val="24"/>
          <w:szCs w:val="24"/>
          <w:highlight w:val="none"/>
        </w:rPr>
      </w:pPr>
      <w:r>
        <w:rPr>
          <w:rFonts w:hint="eastAsia" w:ascii="宋体" w:hAnsi="宋体" w:cs="宋体"/>
          <w:bCs/>
          <w:color w:val="auto"/>
          <w:kern w:val="0"/>
          <w:sz w:val="24"/>
          <w:szCs w:val="24"/>
          <w:highlight w:val="none"/>
        </w:rPr>
        <w:t>合同未尽事宜，合同当事人另行签订补充协议，补充协议是合同的组成部分。</w:t>
      </w:r>
    </w:p>
    <w:p w14:paraId="6727A329">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十二、合同生效</w:t>
      </w:r>
    </w:p>
    <w:p w14:paraId="527CE9C9">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本合同自</w:t>
      </w:r>
      <w:r>
        <w:rPr>
          <w:rFonts w:hint="eastAsia" w:ascii="宋体" w:hAnsi="宋体" w:cs="宋体"/>
          <w:b/>
          <w:bCs/>
          <w:color w:val="auto"/>
          <w:kern w:val="0"/>
          <w:sz w:val="24"/>
          <w:szCs w:val="24"/>
          <w:highlight w:val="none"/>
          <w:u w:val="single"/>
        </w:rPr>
        <w:t xml:space="preserve"> 乙方交纳履约保证金，且双方签字盖章后</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rPr>
        <w:t>生效。</w:t>
      </w:r>
    </w:p>
    <w:p w14:paraId="753C83C2">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十三、合同份数</w:t>
      </w:r>
    </w:p>
    <w:p w14:paraId="533AB4FC">
      <w:pPr>
        <w:spacing w:line="460" w:lineRule="exact"/>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本合同壹式</w:t>
      </w:r>
      <w:r>
        <w:rPr>
          <w:rFonts w:hint="eastAsia" w:ascii="宋体" w:hAnsi="宋体" w:cs="宋体"/>
          <w:bCs/>
          <w:color w:val="auto"/>
          <w:kern w:val="0"/>
          <w:sz w:val="24"/>
          <w:szCs w:val="24"/>
          <w:highlight w:val="none"/>
          <w:u w:val="single"/>
        </w:rPr>
        <w:t xml:space="preserve"> 陆 </w:t>
      </w:r>
      <w:r>
        <w:rPr>
          <w:rFonts w:hint="eastAsia" w:ascii="宋体" w:hAnsi="宋体" w:cs="宋体"/>
          <w:bCs/>
          <w:color w:val="auto"/>
          <w:kern w:val="0"/>
          <w:sz w:val="24"/>
          <w:szCs w:val="24"/>
          <w:highlight w:val="none"/>
        </w:rPr>
        <w:t>份，均具有同等法律效力，发包人执</w:t>
      </w:r>
      <w:r>
        <w:rPr>
          <w:rFonts w:hint="eastAsia" w:ascii="宋体" w:hAnsi="宋体" w:cs="宋体"/>
          <w:bCs/>
          <w:color w:val="auto"/>
          <w:kern w:val="0"/>
          <w:sz w:val="24"/>
          <w:szCs w:val="24"/>
          <w:highlight w:val="none"/>
          <w:u w:val="single"/>
        </w:rPr>
        <w:t xml:space="preserve"> 叁 </w:t>
      </w:r>
      <w:r>
        <w:rPr>
          <w:rFonts w:hint="eastAsia" w:ascii="宋体" w:hAnsi="宋体" w:cs="宋体"/>
          <w:bCs/>
          <w:color w:val="auto"/>
          <w:kern w:val="0"/>
          <w:sz w:val="24"/>
          <w:szCs w:val="24"/>
          <w:highlight w:val="none"/>
        </w:rPr>
        <w:t>份，承包人执</w:t>
      </w:r>
      <w:r>
        <w:rPr>
          <w:rFonts w:hint="eastAsia" w:ascii="宋体" w:hAnsi="宋体" w:cs="宋体"/>
          <w:bCs/>
          <w:color w:val="auto"/>
          <w:kern w:val="0"/>
          <w:sz w:val="24"/>
          <w:szCs w:val="24"/>
          <w:highlight w:val="none"/>
          <w:u w:val="single"/>
        </w:rPr>
        <w:t xml:space="preserve"> 叁 </w:t>
      </w:r>
      <w:r>
        <w:rPr>
          <w:rFonts w:hint="eastAsia" w:ascii="宋体" w:hAnsi="宋体" w:cs="宋体"/>
          <w:bCs/>
          <w:color w:val="auto"/>
          <w:kern w:val="0"/>
          <w:sz w:val="24"/>
          <w:szCs w:val="24"/>
          <w:highlight w:val="none"/>
        </w:rPr>
        <w:t>份。</w:t>
      </w:r>
    </w:p>
    <w:p w14:paraId="31516EF5">
      <w:pPr>
        <w:spacing w:line="460" w:lineRule="exact"/>
        <w:rPr>
          <w:rFonts w:ascii="宋体" w:hAnsi="宋体" w:cs="宋体"/>
          <w:color w:val="auto"/>
          <w:kern w:val="0"/>
          <w:sz w:val="24"/>
          <w:szCs w:val="24"/>
          <w:highlight w:val="none"/>
        </w:rPr>
      </w:pPr>
    </w:p>
    <w:p w14:paraId="6CA95A1A">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发包人：(公章)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承包人：(公章)</w:t>
      </w:r>
    </w:p>
    <w:p w14:paraId="2F9A2F1E">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法定代表人或其委托代理人：       法定代表人或其委托代理人：</w:t>
      </w:r>
    </w:p>
    <w:p w14:paraId="5C099142">
      <w:pPr>
        <w:spacing w:line="460" w:lineRule="exact"/>
        <w:ind w:firstLine="96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（签字）                        （签字）</w:t>
      </w:r>
    </w:p>
    <w:p w14:paraId="3F13AE28">
      <w:pPr>
        <w:tabs>
          <w:tab w:val="left" w:pos="4410"/>
        </w:tabs>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组织机构代码：</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组织机构代码：</w:t>
      </w:r>
    </w:p>
    <w:p w14:paraId="7113F0E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地  址：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地  址：</w:t>
      </w:r>
    </w:p>
    <w:p w14:paraId="48573B98">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邮政编码：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邮政编码：</w:t>
      </w:r>
    </w:p>
    <w:p w14:paraId="3097C5ED">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法定代表人：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法定代表人：</w:t>
      </w:r>
    </w:p>
    <w:p w14:paraId="36EA6F0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委托代理人：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委托代理人：</w:t>
      </w:r>
    </w:p>
    <w:p w14:paraId="50B08378">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电  话：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电  话：</w:t>
      </w:r>
    </w:p>
    <w:p w14:paraId="433AB3C1">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传  真：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传  真：</w:t>
      </w:r>
    </w:p>
    <w:p w14:paraId="65AEE587">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电子信箱：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电子信箱：</w:t>
      </w:r>
    </w:p>
    <w:p w14:paraId="7F57A7E6">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开户银行：</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开户银行：</w:t>
      </w:r>
    </w:p>
    <w:p w14:paraId="1590A75D">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账  号：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账  号：</w:t>
      </w:r>
    </w:p>
    <w:p w14:paraId="0F7B8741">
      <w:pPr>
        <w:spacing w:line="500" w:lineRule="exact"/>
        <w:contextualSpacing/>
        <w:jc w:val="center"/>
        <w:outlineLvl w:val="1"/>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br w:type="page" w:clear="all"/>
      </w:r>
      <w:r>
        <w:rPr>
          <w:rFonts w:hint="eastAsia" w:ascii="宋体" w:hAnsi="宋体" w:cs="宋体"/>
          <w:b/>
          <w:bCs/>
          <w:color w:val="auto"/>
          <w:kern w:val="0"/>
          <w:sz w:val="32"/>
          <w:szCs w:val="32"/>
          <w:highlight w:val="none"/>
        </w:rPr>
        <w:t>第二部分　通用条款(略)</w:t>
      </w:r>
    </w:p>
    <w:p w14:paraId="4ED36A4C">
      <w:pPr>
        <w:spacing w:line="500" w:lineRule="exact"/>
        <w:contextualSpacing/>
        <w:jc w:val="center"/>
        <w:rPr>
          <w:rFonts w:ascii="宋体" w:hAnsi="宋体" w:cs="宋体"/>
          <w:b/>
          <w:bCs/>
          <w:color w:val="auto"/>
          <w:kern w:val="0"/>
          <w:sz w:val="28"/>
          <w:szCs w:val="28"/>
          <w:highlight w:val="none"/>
        </w:rPr>
      </w:pPr>
      <w:r>
        <w:rPr>
          <w:rFonts w:hint="eastAsia" w:ascii="宋体" w:hAnsi="宋体"/>
          <w:color w:val="auto"/>
          <w:kern w:val="0"/>
          <w:sz w:val="24"/>
          <w:szCs w:val="24"/>
          <w:highlight w:val="none"/>
        </w:rPr>
        <w:t>此部分采用《建设工程施工合同》范本（</w:t>
      </w:r>
      <w:r>
        <w:rPr>
          <w:rFonts w:ascii="宋体" w:hAnsi="宋体"/>
          <w:color w:val="auto"/>
          <w:kern w:val="0"/>
          <w:sz w:val="24"/>
          <w:szCs w:val="24"/>
          <w:highlight w:val="none"/>
        </w:rPr>
        <w:t>GF-201</w:t>
      </w:r>
      <w:r>
        <w:rPr>
          <w:rFonts w:hint="eastAsia" w:ascii="宋体" w:hAnsi="宋体"/>
          <w:color w:val="auto"/>
          <w:kern w:val="0"/>
          <w:sz w:val="24"/>
          <w:szCs w:val="24"/>
          <w:highlight w:val="none"/>
        </w:rPr>
        <w:t>7</w:t>
      </w:r>
      <w:r>
        <w:rPr>
          <w:rFonts w:ascii="宋体" w:hAnsi="宋体"/>
          <w:color w:val="auto"/>
          <w:kern w:val="0"/>
          <w:sz w:val="24"/>
          <w:szCs w:val="24"/>
          <w:highlight w:val="none"/>
        </w:rPr>
        <w:t>-0201</w:t>
      </w:r>
      <w:r>
        <w:rPr>
          <w:rFonts w:hint="eastAsia" w:ascii="宋体" w:hAnsi="宋体"/>
          <w:color w:val="auto"/>
          <w:kern w:val="0"/>
          <w:sz w:val="24"/>
          <w:szCs w:val="24"/>
          <w:highlight w:val="none"/>
        </w:rPr>
        <w:t>）中《第二部分通用条款》</w:t>
      </w:r>
    </w:p>
    <w:p w14:paraId="57A7DF7E">
      <w:pPr>
        <w:spacing w:line="500" w:lineRule="exact"/>
        <w:contextualSpacing/>
        <w:jc w:val="center"/>
        <w:rPr>
          <w:rFonts w:ascii="宋体" w:hAnsi="宋体" w:cs="宋体"/>
          <w:b/>
          <w:bCs/>
          <w:color w:val="auto"/>
          <w:kern w:val="0"/>
          <w:sz w:val="32"/>
          <w:szCs w:val="32"/>
          <w:highlight w:val="none"/>
        </w:rPr>
      </w:pPr>
    </w:p>
    <w:p w14:paraId="75AEA48F">
      <w:pPr>
        <w:spacing w:line="500" w:lineRule="exact"/>
        <w:contextualSpacing/>
        <w:jc w:val="center"/>
        <w:rPr>
          <w:rFonts w:ascii="宋体" w:hAnsi="宋体" w:cs="宋体"/>
          <w:b/>
          <w:bCs/>
          <w:color w:val="auto"/>
          <w:kern w:val="0"/>
          <w:sz w:val="32"/>
          <w:szCs w:val="32"/>
          <w:highlight w:val="none"/>
        </w:rPr>
      </w:pPr>
    </w:p>
    <w:p w14:paraId="352D1839">
      <w:pPr>
        <w:spacing w:line="500" w:lineRule="exact"/>
        <w:contextualSpacing/>
        <w:jc w:val="center"/>
        <w:outlineLvl w:val="1"/>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第三部分　专用合同条款</w:t>
      </w:r>
    </w:p>
    <w:p w14:paraId="0E57B527">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 一般约定</w:t>
      </w:r>
    </w:p>
    <w:p w14:paraId="40908FB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 词语定义</w:t>
      </w:r>
    </w:p>
    <w:p w14:paraId="0FE8C62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1.1.1合同</w:t>
      </w:r>
    </w:p>
    <w:p w14:paraId="24F5B1B6">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1.1.1.10其他合同文件包括：</w:t>
      </w:r>
      <w:r>
        <w:rPr>
          <w:rFonts w:hint="eastAsia" w:ascii="宋体" w:hAnsi="宋体" w:cs="宋体"/>
          <w:b/>
          <w:bCs/>
          <w:color w:val="auto"/>
          <w:kern w:val="0"/>
          <w:sz w:val="24"/>
          <w:szCs w:val="24"/>
          <w:highlight w:val="none"/>
          <w:u w:val="single"/>
        </w:rPr>
        <w:t>（1）发包人与承包人协商备忘、合同补充文件；（2）</w:t>
      </w:r>
      <w:r>
        <w:rPr>
          <w:rFonts w:hint="eastAsia" w:ascii="宋体" w:hAnsi="宋体" w:cs="宋体"/>
          <w:b/>
          <w:bCs/>
          <w:color w:val="auto"/>
          <w:kern w:val="0"/>
          <w:sz w:val="24"/>
          <w:szCs w:val="24"/>
          <w:highlight w:val="none"/>
          <w:u w:val="single"/>
          <w:lang w:val="en-US" w:eastAsia="zh-CN"/>
        </w:rPr>
        <w:t>磋商</w:t>
      </w:r>
      <w:r>
        <w:rPr>
          <w:rFonts w:hint="eastAsia" w:ascii="宋体" w:hAnsi="宋体" w:cs="宋体"/>
          <w:b/>
          <w:bCs/>
          <w:color w:val="auto"/>
          <w:kern w:val="0"/>
          <w:sz w:val="24"/>
          <w:szCs w:val="24"/>
          <w:highlight w:val="none"/>
          <w:u w:val="single"/>
        </w:rPr>
        <w:t>文件及其附件（含答疑）；（3）发包人认可的设计变更；（4）经发包人确认有效的工程签证单（发包人签字盖章后方可生效）；（5）承诺书。</w:t>
      </w:r>
    </w:p>
    <w:p w14:paraId="3AC6319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 合同当事人及其他相关方</w:t>
      </w:r>
    </w:p>
    <w:p w14:paraId="27C802C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1.1.2.4监理人：</w:t>
      </w:r>
    </w:p>
    <w:p w14:paraId="53DB183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1B6A4B2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资质类别和等级：</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D5371F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272245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电子信箱：</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07485A1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通信地址：</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0B49EA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1.1.2.5 设计人：</w:t>
      </w:r>
    </w:p>
    <w:p w14:paraId="4E45C97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702063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资质类别和等级：</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DB7045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56A8EE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电子信箱：</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66F9164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通信地址：</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37ACFB1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1.3法律 </w:t>
      </w:r>
    </w:p>
    <w:p w14:paraId="375BBB2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适用于合同的其他规范性文件：</w:t>
      </w:r>
      <w:r>
        <w:rPr>
          <w:rFonts w:hint="eastAsia" w:ascii="宋体" w:hAnsi="宋体" w:cs="宋体"/>
          <w:b/>
          <w:bCs/>
          <w:color w:val="auto"/>
          <w:kern w:val="0"/>
          <w:sz w:val="24"/>
          <w:szCs w:val="24"/>
          <w:highlight w:val="none"/>
          <w:u w:val="single"/>
          <w:lang w:eastAsia="zh-TW"/>
        </w:rPr>
        <w:t>江苏省以及南通市现行的法规、制度、办法等文件</w:t>
      </w:r>
      <w:r>
        <w:rPr>
          <w:rFonts w:hint="eastAsia" w:ascii="宋体" w:hAnsi="宋体" w:cs="宋体"/>
          <w:color w:val="auto"/>
          <w:kern w:val="0"/>
          <w:sz w:val="24"/>
          <w:szCs w:val="24"/>
          <w:highlight w:val="none"/>
        </w:rPr>
        <w:t>。</w:t>
      </w:r>
    </w:p>
    <w:p w14:paraId="3B53320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 标准和规范</w:t>
      </w:r>
    </w:p>
    <w:p w14:paraId="51DEC51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1.4.1适用于工程的标准规范包括：</w:t>
      </w:r>
      <w:r>
        <w:rPr>
          <w:rFonts w:hint="eastAsia" w:ascii="宋体" w:hAnsi="宋体" w:cs="宋体"/>
          <w:b/>
          <w:bCs/>
          <w:color w:val="auto"/>
          <w:kern w:val="0"/>
          <w:sz w:val="24"/>
          <w:szCs w:val="24"/>
          <w:highlight w:val="none"/>
          <w:u w:val="single"/>
        </w:rPr>
        <w:t>中华人民共和国建设部颁发的有关标</w:t>
      </w:r>
      <w:r>
        <w:rPr>
          <w:rFonts w:hint="eastAsia" w:ascii="宋体" w:hAnsi="宋体" w:cs="宋体"/>
          <w:b/>
          <w:bCs/>
          <w:color w:val="auto"/>
          <w:kern w:val="0"/>
          <w:sz w:val="24"/>
          <w:szCs w:val="24"/>
          <w:highlight w:val="none"/>
          <w:u w:val="single"/>
          <w:lang w:eastAsia="zh-TW"/>
        </w:rPr>
        <w:t>准、规范及省、市有关规定</w:t>
      </w:r>
      <w:r>
        <w:rPr>
          <w:rFonts w:hint="eastAsia" w:ascii="宋体" w:hAnsi="宋体" w:cs="宋体"/>
          <w:color w:val="auto"/>
          <w:kern w:val="0"/>
          <w:sz w:val="24"/>
          <w:szCs w:val="24"/>
          <w:highlight w:val="none"/>
        </w:rPr>
        <w:t>。</w:t>
      </w:r>
    </w:p>
    <w:p w14:paraId="1DB592B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1.4.2发包人对工程的技术标准和功能要求的特殊要求：</w:t>
      </w:r>
      <w:r>
        <w:rPr>
          <w:rFonts w:hint="eastAsia" w:ascii="宋体" w:hAnsi="宋体" w:cs="宋体"/>
          <w:b/>
          <w:color w:val="auto"/>
          <w:kern w:val="0"/>
          <w:sz w:val="24"/>
          <w:szCs w:val="24"/>
          <w:highlight w:val="none"/>
          <w:u w:val="single"/>
        </w:rPr>
        <w:t xml:space="preserve">按设计要求执行 </w:t>
      </w:r>
      <w:r>
        <w:rPr>
          <w:rFonts w:hint="eastAsia" w:ascii="宋体" w:hAnsi="宋体" w:cs="宋体"/>
          <w:color w:val="auto"/>
          <w:kern w:val="0"/>
          <w:sz w:val="24"/>
          <w:szCs w:val="24"/>
          <w:highlight w:val="none"/>
        </w:rPr>
        <w:t>。</w:t>
      </w:r>
    </w:p>
    <w:p w14:paraId="3689CBE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 合同文件的优先顺序</w:t>
      </w:r>
    </w:p>
    <w:p w14:paraId="6F4131AD">
      <w:pPr>
        <w:spacing w:line="460" w:lineRule="exact"/>
        <w:ind w:firstLine="48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合同文件组成及优先顺序为：</w:t>
      </w:r>
      <w:r>
        <w:rPr>
          <w:rFonts w:hint="eastAsia" w:ascii="宋体" w:hAnsi="宋体" w:cs="宋体"/>
          <w:b/>
          <w:color w:val="auto"/>
          <w:spacing w:val="-2"/>
          <w:kern w:val="0"/>
          <w:sz w:val="24"/>
          <w:szCs w:val="24"/>
          <w:highlight w:val="none"/>
          <w:u w:val="single"/>
        </w:rPr>
        <w:t>（1）合同协议书及承诺书；（2）成交通知书；（3）</w:t>
      </w:r>
      <w:r>
        <w:rPr>
          <w:rFonts w:hint="eastAsia" w:ascii="宋体" w:hAnsi="宋体" w:cs="宋体"/>
          <w:b/>
          <w:color w:val="auto"/>
          <w:spacing w:val="-2"/>
          <w:kern w:val="0"/>
          <w:sz w:val="24"/>
          <w:szCs w:val="24"/>
          <w:highlight w:val="none"/>
          <w:u w:val="single"/>
          <w:lang w:val="en-US" w:eastAsia="zh-CN"/>
        </w:rPr>
        <w:t>响应</w:t>
      </w:r>
      <w:r>
        <w:rPr>
          <w:rFonts w:hint="eastAsia" w:ascii="宋体" w:hAnsi="宋体" w:cs="宋体"/>
          <w:b/>
          <w:color w:val="auto"/>
          <w:spacing w:val="-2"/>
          <w:kern w:val="0"/>
          <w:sz w:val="24"/>
          <w:szCs w:val="24"/>
          <w:highlight w:val="none"/>
          <w:u w:val="single"/>
        </w:rPr>
        <w:t>函及其附录；（4）专用合同条款及其附件；（5）通用合同条款；（6）技术标准和要求；（7）图纸；（8）已标价工程量清单或预算书；（9）响应文件；（10）其他合同文件。</w:t>
      </w:r>
    </w:p>
    <w:p w14:paraId="244EEE6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 图纸和承包人文件</w:t>
      </w:r>
      <w:r>
        <w:rPr>
          <w:rFonts w:hint="eastAsia" w:ascii="宋体" w:hAnsi="宋体" w:cs="宋体"/>
          <w:color w:val="auto"/>
          <w:kern w:val="0"/>
          <w:sz w:val="24"/>
          <w:szCs w:val="24"/>
          <w:highlight w:val="none"/>
        </w:rPr>
        <w:tab/>
      </w:r>
    </w:p>
    <w:p w14:paraId="5E1AB0E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 图纸的提供</w:t>
      </w:r>
    </w:p>
    <w:p w14:paraId="167644E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发包人向承包人提供图纸的期限： </w:t>
      </w:r>
      <w:r>
        <w:rPr>
          <w:rFonts w:hint="eastAsia" w:ascii="宋体" w:hAnsi="宋体" w:cs="宋体"/>
          <w:b/>
          <w:bCs/>
          <w:color w:val="auto"/>
          <w:kern w:val="0"/>
          <w:sz w:val="24"/>
          <w:szCs w:val="24"/>
          <w:highlight w:val="none"/>
          <w:u w:val="single"/>
        </w:rPr>
        <w:t>发包人工程开工前向承包人提供</w:t>
      </w:r>
      <w:r>
        <w:rPr>
          <w:rFonts w:hint="eastAsia" w:ascii="宋体" w:hAnsi="宋体" w:cs="宋体"/>
          <w:color w:val="auto"/>
          <w:kern w:val="0"/>
          <w:sz w:val="24"/>
          <w:szCs w:val="24"/>
          <w:highlight w:val="none"/>
        </w:rPr>
        <w:t>；</w:t>
      </w:r>
    </w:p>
    <w:p w14:paraId="1B485B0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发包人向承包人提供图纸的数量：</w:t>
      </w:r>
      <w:r>
        <w:rPr>
          <w:rFonts w:hint="eastAsia" w:ascii="宋体" w:hAnsi="宋体" w:cs="宋体"/>
          <w:b/>
          <w:bCs/>
          <w:color w:val="auto"/>
          <w:kern w:val="0"/>
          <w:sz w:val="24"/>
          <w:szCs w:val="24"/>
          <w:highlight w:val="none"/>
          <w:u w:val="single"/>
        </w:rPr>
        <w:t>4套</w:t>
      </w:r>
      <w:r>
        <w:rPr>
          <w:rFonts w:hint="eastAsia" w:ascii="宋体" w:hAnsi="宋体" w:cs="宋体"/>
          <w:color w:val="auto"/>
          <w:kern w:val="0"/>
          <w:sz w:val="24"/>
          <w:szCs w:val="24"/>
          <w:highlight w:val="none"/>
        </w:rPr>
        <w:t>；</w:t>
      </w:r>
    </w:p>
    <w:p w14:paraId="255946E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发包人向承包人提供图纸的内容：</w:t>
      </w:r>
      <w:r>
        <w:rPr>
          <w:rFonts w:hint="eastAsia" w:ascii="宋体" w:hAnsi="宋体" w:cs="宋体"/>
          <w:b/>
          <w:color w:val="auto"/>
          <w:kern w:val="0"/>
          <w:sz w:val="24"/>
          <w:szCs w:val="24"/>
          <w:highlight w:val="none"/>
          <w:u w:val="single"/>
        </w:rPr>
        <w:t>本合同发包内容中的全部图纸</w:t>
      </w:r>
      <w:r>
        <w:rPr>
          <w:rFonts w:hint="eastAsia" w:ascii="宋体" w:hAnsi="宋体" w:cs="宋体"/>
          <w:color w:val="auto"/>
          <w:kern w:val="0"/>
          <w:sz w:val="24"/>
          <w:szCs w:val="24"/>
          <w:highlight w:val="none"/>
        </w:rPr>
        <w:t>。</w:t>
      </w:r>
    </w:p>
    <w:p w14:paraId="58D93DC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1.6.4 承包人文件</w:t>
      </w:r>
    </w:p>
    <w:p w14:paraId="0511339C">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需要由承包人提供的文件，包括</w:t>
      </w:r>
      <w:r>
        <w:rPr>
          <w:rFonts w:hint="eastAsia" w:ascii="宋体" w:hAnsi="宋体" w:cs="宋体"/>
          <w:b/>
          <w:color w:val="auto"/>
          <w:kern w:val="0"/>
          <w:sz w:val="24"/>
          <w:szCs w:val="24"/>
          <w:highlight w:val="none"/>
          <w:u w:val="single"/>
        </w:rPr>
        <w:t>承包人在开工前必须提交详细的施工组织设计，报发包人及总监审批，施工组织设计经发包人及监理认可后方可开工。施工组织设计将作为工程款支付的参考依据之一。每周四向监理和发包人提供下一周详细的施工进度计划及本周施工进度报表；总进度计划在开工后3天提供。具体计划及时间要求根据工程需要补充明确；</w:t>
      </w:r>
    </w:p>
    <w:p w14:paraId="6339F91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承包人提供的文件的数量为：</w:t>
      </w:r>
      <w:r>
        <w:rPr>
          <w:rFonts w:hint="eastAsia" w:ascii="宋体" w:hAnsi="宋体" w:cs="宋体"/>
          <w:b/>
          <w:color w:val="auto"/>
          <w:kern w:val="0"/>
          <w:sz w:val="24"/>
          <w:szCs w:val="24"/>
          <w:highlight w:val="none"/>
          <w:u w:val="single"/>
        </w:rPr>
        <w:t>按发包人要求</w:t>
      </w:r>
      <w:r>
        <w:rPr>
          <w:rFonts w:hint="eastAsia" w:ascii="宋体" w:hAnsi="宋体" w:cs="宋体"/>
          <w:color w:val="auto"/>
          <w:kern w:val="0"/>
          <w:sz w:val="24"/>
          <w:szCs w:val="24"/>
          <w:highlight w:val="none"/>
        </w:rPr>
        <w:t>；</w:t>
      </w:r>
    </w:p>
    <w:p w14:paraId="591AFD9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承包人提供的文件的形式为：</w:t>
      </w:r>
      <w:r>
        <w:rPr>
          <w:rFonts w:hint="eastAsia" w:ascii="宋体" w:hAnsi="宋体" w:cs="宋体"/>
          <w:b/>
          <w:color w:val="auto"/>
          <w:kern w:val="0"/>
          <w:sz w:val="24"/>
          <w:szCs w:val="24"/>
          <w:highlight w:val="none"/>
          <w:u w:val="single"/>
        </w:rPr>
        <w:t>书面形式</w:t>
      </w:r>
      <w:r>
        <w:rPr>
          <w:rFonts w:hint="eastAsia" w:ascii="宋体" w:hAnsi="宋体" w:cs="宋体"/>
          <w:color w:val="auto"/>
          <w:kern w:val="0"/>
          <w:sz w:val="24"/>
          <w:szCs w:val="24"/>
          <w:highlight w:val="none"/>
        </w:rPr>
        <w:t>；</w:t>
      </w:r>
    </w:p>
    <w:p w14:paraId="15FCAAA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发包人审批承包人文件的期限：</w:t>
      </w:r>
      <w:r>
        <w:rPr>
          <w:rFonts w:hint="eastAsia" w:ascii="宋体" w:hAnsi="宋体" w:cs="宋体"/>
          <w:b/>
          <w:color w:val="auto"/>
          <w:kern w:val="0"/>
          <w:sz w:val="24"/>
          <w:szCs w:val="24"/>
          <w:highlight w:val="none"/>
          <w:u w:val="single"/>
        </w:rPr>
        <w:t>收到文件后7天内</w:t>
      </w:r>
      <w:r>
        <w:rPr>
          <w:rFonts w:hint="eastAsia" w:ascii="宋体" w:hAnsi="宋体" w:cs="宋体"/>
          <w:color w:val="auto"/>
          <w:kern w:val="0"/>
          <w:sz w:val="24"/>
          <w:szCs w:val="24"/>
          <w:highlight w:val="none"/>
        </w:rPr>
        <w:t>。</w:t>
      </w:r>
    </w:p>
    <w:p w14:paraId="105E75F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1.6.5 现场图纸准备</w:t>
      </w:r>
    </w:p>
    <w:p w14:paraId="5D97678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关于现场图纸准备的约定：</w:t>
      </w:r>
      <w:r>
        <w:rPr>
          <w:rFonts w:hint="eastAsia" w:ascii="宋体" w:hAnsi="宋体" w:cs="宋体"/>
          <w:b/>
          <w:color w:val="auto"/>
          <w:kern w:val="0"/>
          <w:sz w:val="24"/>
          <w:szCs w:val="24"/>
          <w:highlight w:val="none"/>
          <w:u w:val="single"/>
        </w:rPr>
        <w:t xml:space="preserve">施工现场保留一套完整图纸供发包人、监理人及有关人员使用 </w:t>
      </w:r>
      <w:r>
        <w:rPr>
          <w:rFonts w:hint="eastAsia" w:ascii="宋体" w:hAnsi="宋体" w:cs="宋体"/>
          <w:color w:val="auto"/>
          <w:kern w:val="0"/>
          <w:sz w:val="24"/>
          <w:szCs w:val="24"/>
          <w:highlight w:val="none"/>
        </w:rPr>
        <w:t>。</w:t>
      </w:r>
    </w:p>
    <w:p w14:paraId="6564D86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 联络</w:t>
      </w:r>
    </w:p>
    <w:p w14:paraId="16EC723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1.7.1发包人和承包人应当在</w:t>
      </w:r>
      <w:r>
        <w:rPr>
          <w:rFonts w:hint="eastAsia" w:ascii="宋体" w:hAnsi="宋体" w:cs="宋体"/>
          <w:b/>
          <w:color w:val="auto"/>
          <w:kern w:val="0"/>
          <w:sz w:val="24"/>
          <w:szCs w:val="24"/>
          <w:highlight w:val="none"/>
          <w:u w:val="single"/>
        </w:rPr>
        <w:t>3</w:t>
      </w:r>
      <w:r>
        <w:rPr>
          <w:rFonts w:hint="eastAsia" w:ascii="宋体" w:hAnsi="宋体" w:cs="宋体"/>
          <w:color w:val="auto"/>
          <w:kern w:val="0"/>
          <w:sz w:val="24"/>
          <w:szCs w:val="24"/>
          <w:highlight w:val="none"/>
        </w:rPr>
        <w:t>天内将与合同有关的通知、批准、证明、证书、指示、指令、要求、请求、同意、意见、确定和决定等书面函件送达对方当事人。</w:t>
      </w:r>
    </w:p>
    <w:p w14:paraId="7E8253D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1.7.2 发包人接收文件的地点：</w:t>
      </w:r>
      <w:r>
        <w:rPr>
          <w:rFonts w:hint="eastAsia" w:ascii="宋体" w:hAnsi="宋体" w:cs="宋体"/>
          <w:color w:val="auto"/>
          <w:kern w:val="0"/>
          <w:sz w:val="24"/>
          <w:szCs w:val="24"/>
          <w:highlight w:val="none"/>
          <w:u w:val="single"/>
        </w:rPr>
        <w:t>工地现场</w:t>
      </w:r>
      <w:r>
        <w:rPr>
          <w:rFonts w:hint="eastAsia" w:ascii="宋体" w:hAnsi="宋体" w:cs="宋体"/>
          <w:color w:val="auto"/>
          <w:kern w:val="0"/>
          <w:sz w:val="24"/>
          <w:szCs w:val="24"/>
          <w:highlight w:val="none"/>
        </w:rPr>
        <w:t>；</w:t>
      </w:r>
    </w:p>
    <w:p w14:paraId="06078F5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发包人指定的接收人为：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61960D0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承包人接收文件的地点：</w:t>
      </w:r>
      <w:r>
        <w:rPr>
          <w:rFonts w:hint="eastAsia" w:ascii="宋体" w:hAnsi="宋体" w:cs="宋体"/>
          <w:color w:val="auto"/>
          <w:kern w:val="0"/>
          <w:sz w:val="24"/>
          <w:szCs w:val="24"/>
          <w:highlight w:val="none"/>
          <w:u w:val="single"/>
        </w:rPr>
        <w:t>工地现场</w:t>
      </w:r>
      <w:r>
        <w:rPr>
          <w:rFonts w:hint="eastAsia" w:ascii="宋体" w:hAnsi="宋体" w:cs="宋体"/>
          <w:color w:val="auto"/>
          <w:kern w:val="0"/>
          <w:sz w:val="24"/>
          <w:szCs w:val="24"/>
          <w:highlight w:val="none"/>
        </w:rPr>
        <w:t>；</w:t>
      </w:r>
    </w:p>
    <w:p w14:paraId="3038A2A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承包人指定的接收人为：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053E2A9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监理人接收文件的地点：</w:t>
      </w:r>
      <w:r>
        <w:rPr>
          <w:rFonts w:hint="eastAsia" w:ascii="宋体" w:hAnsi="宋体" w:cs="宋体"/>
          <w:color w:val="auto"/>
          <w:kern w:val="0"/>
          <w:sz w:val="24"/>
          <w:szCs w:val="24"/>
          <w:highlight w:val="none"/>
          <w:u w:val="single"/>
        </w:rPr>
        <w:t>工地现场</w:t>
      </w:r>
      <w:r>
        <w:rPr>
          <w:rFonts w:hint="eastAsia" w:ascii="宋体" w:hAnsi="宋体" w:cs="宋体"/>
          <w:color w:val="auto"/>
          <w:kern w:val="0"/>
          <w:sz w:val="24"/>
          <w:szCs w:val="24"/>
          <w:highlight w:val="none"/>
        </w:rPr>
        <w:t>；</w:t>
      </w:r>
    </w:p>
    <w:p w14:paraId="787189F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监理人指定的接收人为：</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B9A1EB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1.10 交通运输</w:t>
      </w:r>
    </w:p>
    <w:p w14:paraId="67A785A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1.10.3 场内交通  </w:t>
      </w:r>
    </w:p>
    <w:p w14:paraId="5761CC1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关于场外交通和场内交通的边界的约定：</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7D0D303">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关于发包人向承包人免费提供满足工程施工需要的场内道路和交通设施的约定：</w:t>
      </w:r>
      <w:r>
        <w:rPr>
          <w:rFonts w:hint="eastAsia" w:ascii="宋体" w:hAnsi="宋体" w:cs="宋体"/>
          <w:b/>
          <w:color w:val="auto"/>
          <w:kern w:val="0"/>
          <w:sz w:val="24"/>
          <w:szCs w:val="24"/>
          <w:highlight w:val="none"/>
          <w:u w:val="single"/>
        </w:rPr>
        <w:t xml:space="preserve">已具备施工条件。  </w:t>
      </w:r>
    </w:p>
    <w:p w14:paraId="7C5B845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1.10.4超大件和超重件的运输</w:t>
      </w:r>
    </w:p>
    <w:p w14:paraId="2D5AB7C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运输超大件或超重件所需的道路和桥梁临时加固改造费用和其他有关费用由</w:t>
      </w:r>
      <w:r>
        <w:rPr>
          <w:rFonts w:hint="eastAsia" w:ascii="宋体" w:hAnsi="宋体" w:cs="宋体"/>
          <w:b/>
          <w:color w:val="auto"/>
          <w:kern w:val="0"/>
          <w:sz w:val="24"/>
          <w:szCs w:val="24"/>
          <w:highlight w:val="none"/>
          <w:u w:val="single"/>
        </w:rPr>
        <w:t>承包人</w:t>
      </w:r>
      <w:r>
        <w:rPr>
          <w:rFonts w:hint="eastAsia" w:ascii="宋体" w:hAnsi="宋体" w:cs="宋体"/>
          <w:color w:val="auto"/>
          <w:kern w:val="0"/>
          <w:sz w:val="24"/>
          <w:szCs w:val="24"/>
          <w:highlight w:val="none"/>
        </w:rPr>
        <w:t>承担。</w:t>
      </w:r>
    </w:p>
    <w:p w14:paraId="1010E0E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 知识产权</w:t>
      </w:r>
    </w:p>
    <w:p w14:paraId="689EE17E">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b/>
          <w:color w:val="auto"/>
          <w:kern w:val="0"/>
          <w:sz w:val="24"/>
          <w:szCs w:val="24"/>
          <w:highlight w:val="none"/>
          <w:u w:val="single"/>
        </w:rPr>
        <w:t xml:space="preserve">著作权属发包人。承包人未经发包人同意不得将本工程图纸转给第三人，不得进行复制，不得向承包人以外的人泄露有关图纸内容 </w:t>
      </w:r>
      <w:r>
        <w:rPr>
          <w:rFonts w:hint="eastAsia" w:ascii="宋体" w:hAnsi="宋体" w:cs="宋体"/>
          <w:b/>
          <w:color w:val="auto"/>
          <w:kern w:val="0"/>
          <w:sz w:val="24"/>
          <w:szCs w:val="24"/>
          <w:highlight w:val="none"/>
        </w:rPr>
        <w:t>。</w:t>
      </w:r>
    </w:p>
    <w:p w14:paraId="375F61E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关于发包人提供的上述文件的使用限制的要求：</w:t>
      </w:r>
      <w:r>
        <w:rPr>
          <w:rFonts w:hint="eastAsia" w:ascii="宋体" w:hAnsi="宋体" w:cs="宋体"/>
          <w:b/>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1E7A28B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1.11.2 关于承包人为实施工程所编制文件的著作权的归属：</w:t>
      </w:r>
      <w:r>
        <w:rPr>
          <w:rFonts w:hint="eastAsia" w:ascii="宋体" w:hAnsi="宋体" w:cs="宋体"/>
          <w:b/>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59B20C1E">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关于承包人提供的上述文件的使用限制的要求：</w:t>
      </w:r>
      <w:r>
        <w:rPr>
          <w:rFonts w:hint="eastAsia" w:ascii="宋体" w:hAnsi="宋体" w:cs="宋体"/>
          <w:b/>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7CCB2A8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1.11.4 承包人在施工过程中所采用的专利、专有技术、技术秘密的使用费的承担方式：</w:t>
      </w:r>
      <w:r>
        <w:rPr>
          <w:rFonts w:hint="eastAsia" w:ascii="宋体" w:hAnsi="宋体" w:cs="宋体"/>
          <w:b/>
          <w:color w:val="auto"/>
          <w:kern w:val="0"/>
          <w:sz w:val="24"/>
          <w:szCs w:val="24"/>
          <w:highlight w:val="none"/>
          <w:u w:val="single"/>
        </w:rPr>
        <w:t>已包含在本合同价内</w:t>
      </w:r>
      <w:r>
        <w:rPr>
          <w:rFonts w:hint="eastAsia" w:ascii="宋体" w:hAnsi="宋体" w:cs="宋体"/>
          <w:color w:val="auto"/>
          <w:kern w:val="0"/>
          <w:sz w:val="24"/>
          <w:szCs w:val="24"/>
          <w:highlight w:val="none"/>
        </w:rPr>
        <w:t>。</w:t>
      </w:r>
    </w:p>
    <w:p w14:paraId="22C3308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1.13工程量清单错误的修正</w:t>
      </w:r>
    </w:p>
    <w:p w14:paraId="1265457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出现工程量清单错误时，是否调整合同价格：</w:t>
      </w:r>
      <w:r>
        <w:rPr>
          <w:rFonts w:hint="eastAsia" w:ascii="宋体" w:hAnsi="宋体" w:cs="宋体"/>
          <w:color w:val="auto"/>
          <w:kern w:val="0"/>
          <w:sz w:val="24"/>
          <w:szCs w:val="24"/>
          <w:highlight w:val="none"/>
          <w:u w:val="single"/>
        </w:rPr>
        <w:t xml:space="preserve">是 </w:t>
      </w:r>
      <w:r>
        <w:rPr>
          <w:rFonts w:hint="eastAsia" w:ascii="宋体" w:hAnsi="宋体" w:cs="宋体"/>
          <w:color w:val="auto"/>
          <w:kern w:val="0"/>
          <w:sz w:val="24"/>
          <w:szCs w:val="24"/>
          <w:highlight w:val="none"/>
        </w:rPr>
        <w:t>。</w:t>
      </w:r>
    </w:p>
    <w:p w14:paraId="4ADB0C6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允许调整合同价格的工程量偏差范围：</w:t>
      </w:r>
      <w:r>
        <w:rPr>
          <w:rFonts w:hint="eastAsia" w:ascii="宋体" w:hAnsi="宋体" w:cs="宋体"/>
          <w:color w:val="auto"/>
          <w:kern w:val="0"/>
          <w:sz w:val="24"/>
          <w:szCs w:val="24"/>
          <w:highlight w:val="none"/>
          <w:u w:val="single"/>
        </w:rPr>
        <w:t xml:space="preserve">按本合同条款中第12.1款 </w:t>
      </w:r>
      <w:r>
        <w:rPr>
          <w:rFonts w:hint="eastAsia" w:ascii="宋体" w:hAnsi="宋体" w:cs="宋体"/>
          <w:color w:val="auto"/>
          <w:kern w:val="0"/>
          <w:sz w:val="24"/>
          <w:szCs w:val="24"/>
          <w:highlight w:val="none"/>
        </w:rPr>
        <w:t>。</w:t>
      </w:r>
    </w:p>
    <w:p w14:paraId="6A83E3EB">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 发包人</w:t>
      </w:r>
    </w:p>
    <w:p w14:paraId="4519E42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 发包人代表</w:t>
      </w:r>
    </w:p>
    <w:p w14:paraId="2BD1AA8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    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1190FA3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3A83FE1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职    务：</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8DD878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338029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电子信箱：</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A9A561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通信地址：</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1578C41">
      <w:pPr>
        <w:spacing w:line="460" w:lineRule="exact"/>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 xml:space="preserve">    发包人对发包人代表的授权范围如下：</w:t>
      </w:r>
      <w:r>
        <w:rPr>
          <w:rFonts w:hint="eastAsia" w:ascii="宋体" w:hAnsi="宋体" w:cs="宋体"/>
          <w:b/>
          <w:bCs/>
          <w:color w:val="auto"/>
          <w:kern w:val="0"/>
          <w:sz w:val="24"/>
          <w:szCs w:val="24"/>
          <w:highlight w:val="none"/>
          <w:u w:val="single"/>
        </w:rPr>
        <w:t xml:space="preserve">代表发包人行使本合同约定的发包人的权力和监理人需要取得发包人批准的权力 </w:t>
      </w:r>
      <w:r>
        <w:rPr>
          <w:rFonts w:hint="eastAsia" w:ascii="宋体" w:hAnsi="宋体" w:cs="宋体"/>
          <w:b/>
          <w:bCs/>
          <w:color w:val="auto"/>
          <w:kern w:val="0"/>
          <w:sz w:val="24"/>
          <w:szCs w:val="24"/>
          <w:highlight w:val="none"/>
        </w:rPr>
        <w:t>。</w:t>
      </w:r>
    </w:p>
    <w:p w14:paraId="2ED0800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 施工现场、施工条件和基础资料的提供</w:t>
      </w:r>
    </w:p>
    <w:p w14:paraId="61E7EFF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2.4.1 提供施工现场</w:t>
      </w:r>
    </w:p>
    <w:p w14:paraId="20DE8C3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关于发包人移交施工现场的期限要求：</w:t>
      </w:r>
      <w:r>
        <w:rPr>
          <w:rFonts w:hint="eastAsia" w:ascii="宋体" w:hAnsi="宋体" w:cs="宋体"/>
          <w:b/>
          <w:color w:val="auto"/>
          <w:kern w:val="0"/>
          <w:sz w:val="24"/>
          <w:szCs w:val="24"/>
          <w:highlight w:val="none"/>
          <w:u w:val="single"/>
        </w:rPr>
        <w:t>以施工现场的现状为准</w:t>
      </w:r>
      <w:r>
        <w:rPr>
          <w:rFonts w:hint="eastAsia" w:ascii="宋体" w:hAnsi="宋体" w:cs="宋体"/>
          <w:color w:val="auto"/>
          <w:kern w:val="0"/>
          <w:sz w:val="24"/>
          <w:szCs w:val="24"/>
          <w:highlight w:val="none"/>
        </w:rPr>
        <w:t>。</w:t>
      </w:r>
    </w:p>
    <w:p w14:paraId="06D1D1D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2.4.2 提供施工条件</w:t>
      </w:r>
    </w:p>
    <w:p w14:paraId="367790DC">
      <w:pPr>
        <w:spacing w:line="460" w:lineRule="exact"/>
        <w:ind w:firstLine="48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关于发包人应负责提供施工所需要的条件，包括：</w:t>
      </w:r>
      <w:r>
        <w:rPr>
          <w:rFonts w:hint="eastAsia" w:ascii="宋体" w:hAnsi="宋体" w:cs="宋体"/>
          <w:b/>
          <w:color w:val="auto"/>
          <w:kern w:val="0"/>
          <w:sz w:val="24"/>
          <w:szCs w:val="24"/>
          <w:highlight w:val="none"/>
          <w:u w:val="single"/>
        </w:rPr>
        <w:t xml:space="preserve">发包人于开工前办理好施工所需证件、批件（承包人自身资质证件除外）。施工过程中承包人不得因发包人前期手续而出现不进行施工准备、索赔、消极施工等情形，应积极配合，保证工程按计划进行，否则按违约处理 </w:t>
      </w:r>
      <w:r>
        <w:rPr>
          <w:rFonts w:hint="eastAsia" w:ascii="宋体" w:hAnsi="宋体" w:cs="宋体"/>
          <w:b/>
          <w:color w:val="auto"/>
          <w:kern w:val="0"/>
          <w:sz w:val="24"/>
          <w:szCs w:val="24"/>
          <w:highlight w:val="none"/>
        </w:rPr>
        <w:t>。</w:t>
      </w:r>
    </w:p>
    <w:p w14:paraId="31479501">
      <w:pPr>
        <w:spacing w:line="460" w:lineRule="exact"/>
        <w:ind w:firstLine="480"/>
        <w:outlineLvl w:val="9"/>
        <w:rPr>
          <w:rFonts w:ascii="宋体" w:hAnsi="宋体" w:cs="宋体"/>
          <w:color w:val="auto"/>
          <w:kern w:val="0"/>
          <w:sz w:val="24"/>
          <w:szCs w:val="24"/>
          <w:highlight w:val="none"/>
        </w:rPr>
      </w:pPr>
      <w:r>
        <w:rPr>
          <w:rFonts w:hint="eastAsia" w:ascii="宋体" w:hAnsi="宋体" w:cs="宋体"/>
          <w:color w:val="auto"/>
          <w:kern w:val="0"/>
          <w:sz w:val="24"/>
          <w:szCs w:val="24"/>
          <w:highlight w:val="none"/>
        </w:rPr>
        <w:t>2.5 资金来源证明及支付担保</w:t>
      </w:r>
    </w:p>
    <w:p w14:paraId="2733979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发包人提供资金来源证明的期限要求：</w:t>
      </w:r>
      <w:r>
        <w:rPr>
          <w:rFonts w:hint="eastAsia" w:ascii="宋体" w:hAnsi="宋体" w:cs="宋体"/>
          <w:color w:val="auto"/>
          <w:kern w:val="0"/>
          <w:sz w:val="24"/>
          <w:szCs w:val="24"/>
          <w:highlight w:val="none"/>
          <w:u w:val="single"/>
        </w:rPr>
        <w:t>无</w:t>
      </w:r>
      <w:r>
        <w:rPr>
          <w:rFonts w:hint="eastAsia" w:ascii="宋体" w:hAnsi="宋体" w:cs="宋体"/>
          <w:color w:val="auto"/>
          <w:kern w:val="0"/>
          <w:sz w:val="24"/>
          <w:szCs w:val="24"/>
          <w:highlight w:val="none"/>
        </w:rPr>
        <w:t>。</w:t>
      </w:r>
    </w:p>
    <w:p w14:paraId="3FD91B9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发包人是否提供支付担保：</w:t>
      </w:r>
      <w:r>
        <w:rPr>
          <w:rFonts w:hint="eastAsia" w:ascii="宋体" w:hAnsi="宋体" w:cs="宋体"/>
          <w:color w:val="auto"/>
          <w:kern w:val="0"/>
          <w:sz w:val="24"/>
          <w:szCs w:val="24"/>
          <w:highlight w:val="none"/>
          <w:u w:val="single"/>
        </w:rPr>
        <w:t>不提供</w:t>
      </w:r>
      <w:r>
        <w:rPr>
          <w:rFonts w:hint="eastAsia" w:ascii="宋体" w:hAnsi="宋体" w:cs="宋体"/>
          <w:color w:val="auto"/>
          <w:kern w:val="0"/>
          <w:sz w:val="24"/>
          <w:szCs w:val="24"/>
          <w:highlight w:val="none"/>
        </w:rPr>
        <w:t>。</w:t>
      </w:r>
    </w:p>
    <w:p w14:paraId="0BC6454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发包人提供支付担保的形式：</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rPr>
        <w:t>。</w:t>
      </w:r>
    </w:p>
    <w:p w14:paraId="158E7F8B">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 承包人</w:t>
      </w:r>
    </w:p>
    <w:p w14:paraId="73EDF7C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 承包人的一般义务</w:t>
      </w:r>
    </w:p>
    <w:p w14:paraId="4A419D7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（5）承包人提交的竣工资料的内容：</w:t>
      </w:r>
      <w:r>
        <w:rPr>
          <w:rFonts w:hint="eastAsia" w:ascii="宋体" w:hAnsi="宋体" w:cs="宋体"/>
          <w:b/>
          <w:color w:val="auto"/>
          <w:kern w:val="0"/>
          <w:sz w:val="24"/>
          <w:szCs w:val="24"/>
          <w:highlight w:val="none"/>
          <w:u w:val="single"/>
          <w:lang w:val="zh-CN"/>
        </w:rPr>
        <w:t>承包人</w:t>
      </w:r>
      <w:r>
        <w:rPr>
          <w:rFonts w:hint="eastAsia" w:ascii="宋体" w:hAnsi="宋体" w:cs="宋体"/>
          <w:b/>
          <w:color w:val="auto"/>
          <w:kern w:val="0"/>
          <w:sz w:val="24"/>
          <w:szCs w:val="24"/>
          <w:highlight w:val="none"/>
          <w:u w:val="single"/>
        </w:rPr>
        <w:t>向发包人</w:t>
      </w:r>
      <w:r>
        <w:rPr>
          <w:rFonts w:hint="eastAsia" w:ascii="宋体" w:hAnsi="宋体" w:cs="宋体"/>
          <w:b/>
          <w:color w:val="auto"/>
          <w:kern w:val="0"/>
          <w:sz w:val="24"/>
          <w:szCs w:val="24"/>
          <w:highlight w:val="none"/>
          <w:u w:val="single"/>
          <w:lang w:val="zh-CN"/>
        </w:rPr>
        <w:t>提供</w:t>
      </w:r>
      <w:r>
        <w:rPr>
          <w:rFonts w:hint="eastAsia" w:ascii="宋体" w:hAnsi="宋体" w:cs="宋体"/>
          <w:b/>
          <w:bCs/>
          <w:color w:val="auto"/>
          <w:kern w:val="0"/>
          <w:sz w:val="24"/>
          <w:szCs w:val="24"/>
          <w:highlight w:val="none"/>
          <w:u w:val="single"/>
        </w:rPr>
        <w:t>监理工程师审查通过的完整</w:t>
      </w:r>
      <w:r>
        <w:rPr>
          <w:rFonts w:hint="eastAsia" w:ascii="宋体" w:hAnsi="宋体" w:cs="宋体"/>
          <w:b/>
          <w:bCs/>
          <w:color w:val="auto"/>
          <w:kern w:val="0"/>
          <w:sz w:val="24"/>
          <w:szCs w:val="24"/>
          <w:highlight w:val="none"/>
          <w:u w:val="single"/>
          <w:lang w:eastAsia="zh-TW"/>
        </w:rPr>
        <w:t>的竣工图</w:t>
      </w:r>
      <w:r>
        <w:rPr>
          <w:rFonts w:hint="eastAsia" w:ascii="宋体" w:hAnsi="宋体" w:cs="宋体"/>
          <w:b/>
          <w:bCs/>
          <w:color w:val="auto"/>
          <w:kern w:val="0"/>
          <w:sz w:val="24"/>
          <w:szCs w:val="24"/>
          <w:highlight w:val="none"/>
          <w:u w:val="single"/>
        </w:rPr>
        <w:t>（施工中没有设计变更，施工后由承包人在发包人提供的施工图纸上加盖竣工图章，提交发包人；施工中对原设计中变更较多，原施工图难于作为竣工图，应由承包人组织重新绘制竣工图</w:t>
      </w:r>
      <w:r>
        <w:rPr>
          <w:rFonts w:hint="eastAsia" w:ascii="宋体" w:hAnsi="宋体" w:cs="宋体"/>
          <w:b/>
          <w:color w:val="auto"/>
          <w:kern w:val="0"/>
          <w:sz w:val="24"/>
          <w:szCs w:val="24"/>
          <w:highlight w:val="none"/>
          <w:u w:val="single"/>
        </w:rPr>
        <w:t>，并承担相应费用</w:t>
      </w:r>
      <w:r>
        <w:rPr>
          <w:rFonts w:hint="eastAsia" w:ascii="宋体" w:hAnsi="宋体" w:cs="宋体"/>
          <w:b/>
          <w:bCs/>
          <w:color w:val="auto"/>
          <w:kern w:val="0"/>
          <w:sz w:val="24"/>
          <w:szCs w:val="24"/>
          <w:highlight w:val="none"/>
          <w:u w:val="single"/>
        </w:rPr>
        <w:t>）、符合要求的竣工结算资料及其他资料</w:t>
      </w:r>
      <w:r>
        <w:rPr>
          <w:rFonts w:hint="eastAsia" w:ascii="宋体" w:hAnsi="宋体" w:cs="宋体"/>
          <w:b/>
          <w:bCs/>
          <w:color w:val="auto"/>
          <w:kern w:val="0"/>
          <w:sz w:val="24"/>
          <w:szCs w:val="24"/>
          <w:highlight w:val="none"/>
        </w:rPr>
        <w:t>。</w:t>
      </w:r>
    </w:p>
    <w:p w14:paraId="440807D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承包人需要提交的竣工资料套数：</w:t>
      </w:r>
      <w:r>
        <w:rPr>
          <w:rFonts w:hint="eastAsia" w:ascii="宋体" w:hAnsi="宋体" w:cs="宋体"/>
          <w:b/>
          <w:bCs/>
          <w:color w:val="auto"/>
          <w:kern w:val="0"/>
          <w:sz w:val="24"/>
          <w:szCs w:val="24"/>
          <w:highlight w:val="none"/>
          <w:u w:val="single"/>
          <w:lang w:eastAsia="zh-TW"/>
        </w:rPr>
        <w:t>四套</w:t>
      </w:r>
      <w:r>
        <w:rPr>
          <w:rFonts w:hint="eastAsia" w:ascii="宋体" w:hAnsi="宋体" w:cs="宋体"/>
          <w:color w:val="auto"/>
          <w:kern w:val="0"/>
          <w:sz w:val="24"/>
          <w:szCs w:val="24"/>
          <w:highlight w:val="none"/>
        </w:rPr>
        <w:t>。</w:t>
      </w:r>
    </w:p>
    <w:p w14:paraId="564085F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承包人提交的竣工资料的费用承担：</w:t>
      </w:r>
      <w:r>
        <w:rPr>
          <w:rFonts w:hint="eastAsia" w:ascii="宋体" w:hAnsi="宋体" w:cs="宋体"/>
          <w:b/>
          <w:bCs/>
          <w:color w:val="auto"/>
          <w:kern w:val="0"/>
          <w:sz w:val="24"/>
          <w:szCs w:val="24"/>
          <w:highlight w:val="none"/>
          <w:u w:val="single"/>
          <w:lang w:eastAsia="zh-TW"/>
        </w:rPr>
        <w:t>由承包人承担</w:t>
      </w:r>
      <w:r>
        <w:rPr>
          <w:rFonts w:hint="eastAsia" w:ascii="宋体" w:hAnsi="宋体" w:cs="宋体"/>
          <w:color w:val="auto"/>
          <w:kern w:val="0"/>
          <w:sz w:val="24"/>
          <w:szCs w:val="24"/>
          <w:highlight w:val="none"/>
        </w:rPr>
        <w:t>。</w:t>
      </w:r>
    </w:p>
    <w:p w14:paraId="038B1A4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承包人提交的竣工资料移交时间：</w:t>
      </w:r>
      <w:r>
        <w:rPr>
          <w:rFonts w:hint="eastAsia" w:ascii="宋体" w:hAnsi="宋体" w:cs="宋体"/>
          <w:b/>
          <w:bCs/>
          <w:color w:val="auto"/>
          <w:kern w:val="0"/>
          <w:sz w:val="24"/>
          <w:szCs w:val="24"/>
          <w:highlight w:val="none"/>
          <w:u w:val="single"/>
        </w:rPr>
        <w:t>工程竣工验收合格之日算起30天内</w:t>
      </w:r>
      <w:r>
        <w:rPr>
          <w:rFonts w:hint="eastAsia" w:ascii="宋体" w:hAnsi="宋体" w:cs="宋体"/>
          <w:color w:val="auto"/>
          <w:kern w:val="0"/>
          <w:sz w:val="24"/>
          <w:szCs w:val="24"/>
          <w:highlight w:val="none"/>
        </w:rPr>
        <w:t>。</w:t>
      </w:r>
    </w:p>
    <w:p w14:paraId="3B82A951">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承包人提交的竣工资料形式要求：</w:t>
      </w:r>
      <w:r>
        <w:rPr>
          <w:rFonts w:hint="eastAsia" w:ascii="宋体" w:hAnsi="宋体" w:cs="宋体"/>
          <w:b/>
          <w:bCs/>
          <w:color w:val="auto"/>
          <w:kern w:val="0"/>
          <w:sz w:val="24"/>
          <w:szCs w:val="24"/>
          <w:highlight w:val="none"/>
          <w:u w:val="single"/>
          <w:lang w:eastAsia="zh-TW"/>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验收合格。</w:t>
      </w:r>
    </w:p>
    <w:p w14:paraId="38315E84">
      <w:pPr>
        <w:spacing w:line="460" w:lineRule="exact"/>
        <w:ind w:firstLine="480"/>
        <w:rPr>
          <w:rFonts w:ascii="宋体" w:hAnsi="宋体" w:cs="宋体"/>
          <w:b/>
          <w:bCs/>
          <w:color w:val="auto"/>
          <w:kern w:val="0"/>
          <w:sz w:val="24"/>
          <w:szCs w:val="24"/>
          <w:highlight w:val="none"/>
          <w:u w:val="single"/>
          <w:lang w:eastAsia="zh-TW"/>
        </w:rPr>
      </w:pPr>
      <w:r>
        <w:rPr>
          <w:rFonts w:hint="eastAsia" w:ascii="宋体" w:hAnsi="宋体" w:cs="宋体"/>
          <w:color w:val="auto"/>
          <w:kern w:val="0"/>
          <w:sz w:val="24"/>
          <w:szCs w:val="24"/>
          <w:highlight w:val="none"/>
        </w:rPr>
        <w:t>（6）承包人应履行的其他义务：</w:t>
      </w:r>
    </w:p>
    <w:p w14:paraId="6F853851">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rPr>
        <w:t>①</w:t>
      </w:r>
      <w:r>
        <w:rPr>
          <w:rFonts w:hint="eastAsia" w:ascii="宋体" w:hAnsi="宋体" w:cs="宋体"/>
          <w:b/>
          <w:bCs/>
          <w:color w:val="auto"/>
          <w:kern w:val="0"/>
          <w:sz w:val="24"/>
          <w:szCs w:val="24"/>
          <w:highlight w:val="none"/>
          <w:u w:val="single"/>
          <w:lang w:eastAsia="zh-TW"/>
        </w:rPr>
        <w:t>承担施工安全保卫工作及非夜间施工照明的责任和要求：提供和维修非夜间施工使用的照明、围栏设施、安全防护等，并负责安全保卫。所需费用均包含在合同价中。</w:t>
      </w:r>
    </w:p>
    <w:p w14:paraId="75A9BCA0">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rPr>
        <w:t>②</w:t>
      </w:r>
      <w:r>
        <w:rPr>
          <w:rFonts w:hint="eastAsia" w:ascii="宋体" w:hAnsi="宋体" w:cs="宋体"/>
          <w:b/>
          <w:bCs/>
          <w:color w:val="auto"/>
          <w:kern w:val="0"/>
          <w:sz w:val="24"/>
          <w:szCs w:val="24"/>
          <w:highlight w:val="none"/>
          <w:u w:val="single"/>
          <w:lang w:eastAsia="zh-TW"/>
        </w:rPr>
        <w:t>需承包人办理的有关施工场地交通、环卫和施工噪音管理等手续：遵守政府有关主管部门对施工场地交通、施工噪音、环境保护和安全生产等的管理规定，按规定办理有关手续，并以书面形式通知发包人。所需费用均包含在合同价中。</w:t>
      </w:r>
    </w:p>
    <w:p w14:paraId="71B8CE81">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lang w:eastAsia="zh-TW"/>
        </w:rPr>
        <w:t>③施工场地周围地下管线和邻近建筑物及构筑物的保护，由承包人采取保护措施，协调处理。所需费用均包含在合同价中。进场需遵守物业的施工相关规定。</w:t>
      </w:r>
    </w:p>
    <w:p w14:paraId="3B8D4B37">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rPr>
        <w:t>④</w:t>
      </w:r>
      <w:r>
        <w:rPr>
          <w:rFonts w:hint="eastAsia" w:ascii="宋体" w:hAnsi="宋体" w:cs="宋体"/>
          <w:b/>
          <w:bCs/>
          <w:color w:val="auto"/>
          <w:kern w:val="0"/>
          <w:sz w:val="24"/>
          <w:szCs w:val="24"/>
          <w:highlight w:val="none"/>
          <w:u w:val="single"/>
          <w:lang w:eastAsia="zh-TW"/>
        </w:rPr>
        <w:t>已完工程成品保护的特殊要求及费用承担：已完工程未交付给发包人之前，承包人负责已完成工程的保护工作，所需费用包含在合同价内。</w:t>
      </w:r>
    </w:p>
    <w:p w14:paraId="214ADEB7">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rPr>
        <w:t>⑤</w:t>
      </w:r>
      <w:r>
        <w:rPr>
          <w:rFonts w:hint="eastAsia" w:ascii="宋体" w:hAnsi="宋体" w:cs="宋体"/>
          <w:b/>
          <w:bCs/>
          <w:color w:val="auto"/>
          <w:kern w:val="0"/>
          <w:sz w:val="24"/>
          <w:szCs w:val="24"/>
          <w:highlight w:val="none"/>
          <w:u w:val="single"/>
          <w:lang w:eastAsia="zh-TW"/>
        </w:rPr>
        <w:t>施工场地清洁卫生的要求：按市级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w:t>
      </w:r>
      <w:r>
        <w:rPr>
          <w:rFonts w:hint="eastAsia" w:ascii="宋体" w:hAnsi="宋体" w:cs="宋体"/>
          <w:b/>
          <w:bCs/>
          <w:color w:val="auto"/>
          <w:kern w:val="0"/>
          <w:sz w:val="24"/>
          <w:szCs w:val="24"/>
          <w:highlight w:val="none"/>
          <w:u w:val="single"/>
        </w:rPr>
        <w:t>人</w:t>
      </w:r>
      <w:r>
        <w:rPr>
          <w:rFonts w:hint="eastAsia" w:ascii="宋体" w:hAnsi="宋体" w:cs="宋体"/>
          <w:b/>
          <w:bCs/>
          <w:color w:val="auto"/>
          <w:kern w:val="0"/>
          <w:sz w:val="24"/>
          <w:szCs w:val="24"/>
          <w:highlight w:val="none"/>
          <w:u w:val="single"/>
          <w:lang w:eastAsia="zh-TW"/>
        </w:rPr>
        <w:t>20%的履约保证金。若承包人现场施工作业面、办公区、生活区内清洁卫生满足不了文明施工要求，发包人有权安排其它单位或个人打扫，</w:t>
      </w:r>
      <w:r>
        <w:rPr>
          <w:rFonts w:hint="eastAsia" w:ascii="宋体" w:hAnsi="宋体" w:cs="宋体"/>
          <w:b/>
          <w:bCs/>
          <w:color w:val="auto"/>
          <w:kern w:val="0"/>
          <w:sz w:val="24"/>
          <w:szCs w:val="24"/>
          <w:highlight w:val="none"/>
          <w:u w:val="single"/>
        </w:rPr>
        <w:t>按具体发生的费用2倍及以上从进度款中扣除</w:t>
      </w:r>
      <w:r>
        <w:rPr>
          <w:rFonts w:hint="eastAsia" w:ascii="宋体" w:hAnsi="宋体" w:cs="宋体"/>
          <w:b/>
          <w:bCs/>
          <w:color w:val="auto"/>
          <w:kern w:val="0"/>
          <w:sz w:val="24"/>
          <w:szCs w:val="24"/>
          <w:highlight w:val="none"/>
          <w:u w:val="single"/>
          <w:lang w:eastAsia="zh-TW"/>
        </w:rPr>
        <w:t>。</w:t>
      </w:r>
    </w:p>
    <w:p w14:paraId="6629B4FD">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rPr>
        <w:t>⑥</w:t>
      </w:r>
      <w:r>
        <w:rPr>
          <w:rFonts w:hint="eastAsia" w:ascii="宋体" w:hAnsi="宋体" w:cs="宋体"/>
          <w:b/>
          <w:bCs/>
          <w:color w:val="auto"/>
          <w:kern w:val="0"/>
          <w:sz w:val="24"/>
          <w:szCs w:val="24"/>
          <w:highlight w:val="none"/>
          <w:u w:val="single"/>
          <w:lang w:eastAsia="zh-TW"/>
        </w:rPr>
        <w:t>双方约定承包人应做的其他工作：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承包人根据有关指示，负责修理那些已被破坏的公共设施，并恢复原状，费用由责任方承担。D.临时停水、停电、二次搬运、成品保护等所需措施费用和工期承包人在投标报价中已充分考虑，并已考虑了各种可能因素影响施工所增加的费用，因此，发生上述情况，发包人不另行增加费用。E.对于施工过程中承包人不得因发包方前期手续而索赔或消极施工，需积极配合，保证工程按计划进行，否则按违约处理。F.在工程施工过程中，因承包人的原因出现质量问题、安全事故或者因其他原因受到报纸、电视等媒体的曝光或被政府有关主管部门通报批评，给本工程的社会形象带来负面影响，每次由承包人向发包人支付违约金。</w:t>
      </w:r>
    </w:p>
    <w:p w14:paraId="609B3FC1">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rPr>
        <w:t>⑦</w:t>
      </w:r>
      <w:r>
        <w:rPr>
          <w:rFonts w:hint="eastAsia" w:ascii="宋体" w:hAnsi="宋体" w:cs="宋体"/>
          <w:b/>
          <w:bCs/>
          <w:color w:val="auto"/>
          <w:kern w:val="0"/>
          <w:sz w:val="24"/>
          <w:szCs w:val="24"/>
          <w:highlight w:val="none"/>
          <w:u w:val="single"/>
          <w:lang w:eastAsia="zh-TW"/>
        </w:rPr>
        <w:t>承包人有义务根据发包人提供的图纸及有关文件提出合理化建议，以及对于设计中存在的问题在施工之前提出；承包人须无条件接受发包人发出的设计变更，并在合理的时间内完成设计变更。</w:t>
      </w:r>
    </w:p>
    <w:p w14:paraId="25696089">
      <w:pPr>
        <w:spacing w:line="460" w:lineRule="exact"/>
        <w:ind w:firstLine="482"/>
        <w:rPr>
          <w:rFonts w:ascii="宋体" w:hAnsi="宋体" w:cs="宋体"/>
          <w:b/>
          <w:bCs/>
          <w:color w:val="auto"/>
          <w:kern w:val="0"/>
          <w:sz w:val="24"/>
          <w:szCs w:val="24"/>
          <w:highlight w:val="none"/>
          <w:u w:val="single"/>
          <w:lang w:eastAsia="zh-TW"/>
        </w:rPr>
      </w:pPr>
      <w:r>
        <w:rPr>
          <w:rFonts w:hint="eastAsia" w:ascii="宋体" w:hAnsi="宋体" w:cs="宋体"/>
          <w:b/>
          <w:bCs/>
          <w:color w:val="auto"/>
          <w:kern w:val="0"/>
          <w:sz w:val="24"/>
          <w:szCs w:val="24"/>
          <w:highlight w:val="none"/>
          <w:u w:val="single"/>
          <w:lang w:eastAsia="zh-TW"/>
        </w:rPr>
        <w:t>⑧承包人在竣工验收合格后七天内拆除现场所有临时设施，包括所有的机械设备、材料、建筑垃圾全部清运出现场，清理标准应征得发包人认可。否则如发生相关费用由发包人</w:t>
      </w:r>
      <w:r>
        <w:rPr>
          <w:rFonts w:hint="eastAsia" w:ascii="宋体" w:hAnsi="宋体" w:cs="宋体"/>
          <w:b/>
          <w:color w:val="auto"/>
          <w:kern w:val="0"/>
          <w:sz w:val="24"/>
          <w:szCs w:val="24"/>
          <w:highlight w:val="none"/>
          <w:u w:val="single"/>
        </w:rPr>
        <w:t>按实际发生费用的2倍及以上在工程结算价款中扣除</w:t>
      </w:r>
      <w:r>
        <w:rPr>
          <w:rFonts w:hint="eastAsia" w:ascii="宋体" w:hAnsi="宋体" w:cs="宋体"/>
          <w:b/>
          <w:bCs/>
          <w:color w:val="auto"/>
          <w:kern w:val="0"/>
          <w:sz w:val="24"/>
          <w:szCs w:val="24"/>
          <w:highlight w:val="none"/>
          <w:u w:val="single"/>
          <w:lang w:eastAsia="zh-TW"/>
        </w:rPr>
        <w:t>。</w:t>
      </w:r>
    </w:p>
    <w:p w14:paraId="68C5BB2C">
      <w:pPr>
        <w:spacing w:line="460" w:lineRule="exact"/>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u w:val="single"/>
          <w:lang w:eastAsia="zh-TW"/>
        </w:rPr>
        <w:t>⑨承包人有义务在投标前自行勘察现场施工环境，必须充分认识到施工过程中的各种因素制约和环境影响，因</w:t>
      </w:r>
      <w:r>
        <w:rPr>
          <w:rFonts w:hint="eastAsia" w:ascii="宋体" w:hAnsi="宋体" w:cs="宋体"/>
          <w:b/>
          <w:bCs/>
          <w:color w:val="auto"/>
          <w:kern w:val="0"/>
          <w:sz w:val="24"/>
          <w:szCs w:val="24"/>
          <w:highlight w:val="none"/>
          <w:u w:val="single"/>
          <w:lang w:val="en-US" w:eastAsia="zh-CN"/>
        </w:rPr>
        <w:t>市民</w:t>
      </w:r>
      <w:r>
        <w:rPr>
          <w:rFonts w:hint="eastAsia" w:ascii="宋体" w:hAnsi="宋体" w:cs="宋体"/>
          <w:b/>
          <w:bCs/>
          <w:color w:val="auto"/>
          <w:kern w:val="0"/>
          <w:sz w:val="24"/>
          <w:szCs w:val="24"/>
          <w:highlight w:val="none"/>
          <w:u w:val="single"/>
          <w:lang w:eastAsia="zh-TW"/>
        </w:rPr>
        <w:t>投诉、烟尘噪音过大、材料运输困难、工期紧张、损坏</w:t>
      </w:r>
      <w:r>
        <w:rPr>
          <w:rFonts w:hint="eastAsia" w:ascii="宋体" w:hAnsi="宋体" w:cs="宋体"/>
          <w:b/>
          <w:bCs/>
          <w:color w:val="auto"/>
          <w:kern w:val="0"/>
          <w:sz w:val="24"/>
          <w:szCs w:val="24"/>
          <w:highlight w:val="none"/>
          <w:u w:val="single"/>
          <w:lang w:val="en-US" w:eastAsia="zh-CN"/>
        </w:rPr>
        <w:t>公共</w:t>
      </w:r>
      <w:r>
        <w:rPr>
          <w:rFonts w:hint="eastAsia" w:ascii="宋体" w:hAnsi="宋体" w:cs="宋体"/>
          <w:b/>
          <w:bCs/>
          <w:color w:val="auto"/>
          <w:kern w:val="0"/>
          <w:sz w:val="24"/>
          <w:szCs w:val="24"/>
          <w:highlight w:val="none"/>
          <w:u w:val="single"/>
          <w:lang w:eastAsia="zh-TW"/>
        </w:rPr>
        <w:t>财产、造成其他人员损失等产生的一系列问题及后果（包括窝工），均自行承担责任，赔偿损失，发包人不予承担。</w:t>
      </w:r>
    </w:p>
    <w:p w14:paraId="3614B14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 项目经理</w:t>
      </w:r>
    </w:p>
    <w:p w14:paraId="68E4821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3.2.1 项目经理：</w:t>
      </w:r>
    </w:p>
    <w:p w14:paraId="08E8F75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    名：</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049D62A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4FAC15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建造师执业资格等级：</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5A29BFA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建造师注册证书号：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F94C3E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建造师执业印章号：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210E058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安全生产考核合格证书号：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18C41DC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6574C3F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电子信箱：</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68B6AB7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通信地址：</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6E243BAC">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承包人对项目经理的授权范围如下：</w:t>
      </w:r>
      <w:r>
        <w:rPr>
          <w:rFonts w:hint="eastAsia" w:ascii="宋体" w:hAnsi="宋体" w:cs="宋体"/>
          <w:b/>
          <w:bCs/>
          <w:color w:val="auto"/>
          <w:kern w:val="0"/>
          <w:sz w:val="24"/>
          <w:szCs w:val="24"/>
          <w:highlight w:val="none"/>
          <w:u w:val="single"/>
        </w:rPr>
        <w:t>负责现场工程管理、协调关系、听从发包人和监理的指挥。</w:t>
      </w:r>
    </w:p>
    <w:p w14:paraId="41B5F2AE">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关于项目经理每月在施工现场的时间要求：</w:t>
      </w:r>
      <w:r>
        <w:rPr>
          <w:rFonts w:hint="eastAsia" w:ascii="宋体" w:hAnsi="宋体" w:cs="宋体"/>
          <w:b/>
          <w:bCs/>
          <w:color w:val="auto"/>
          <w:kern w:val="0"/>
          <w:sz w:val="24"/>
          <w:szCs w:val="24"/>
          <w:highlight w:val="none"/>
          <w:u w:val="single"/>
        </w:rPr>
        <w:t>项目经理保证出勤每周六天及以上，每月不少于26天，并在每天不少于8小时，每少一天向发包人支付违约金2000元，累计缺勤15天或连续缺勤5天，发包人有权单方面提前终止合同，限令退场，已完成工程量不予结算，并由承包人承担由此发生的全部责任和损失。</w:t>
      </w:r>
    </w:p>
    <w:p w14:paraId="50AFEFD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承包人未提交劳动合同，以及没有为项目经理缴纳养老保险证明的违约责任：</w:t>
      </w:r>
      <w:r>
        <w:rPr>
          <w:rFonts w:hint="eastAsia" w:ascii="宋体" w:hAnsi="宋体" w:cs="宋体"/>
          <w:b/>
          <w:bCs/>
          <w:color w:val="auto"/>
          <w:kern w:val="0"/>
          <w:sz w:val="24"/>
          <w:szCs w:val="24"/>
          <w:highlight w:val="none"/>
          <w:u w:val="single"/>
        </w:rPr>
        <w:t>除须补交资料及补齐手续外，另须支付2万元违约金。</w:t>
      </w:r>
    </w:p>
    <w:p w14:paraId="063F0EFC">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项目经理未经批准，擅自离开施工现场的违约责任：</w:t>
      </w:r>
      <w:r>
        <w:rPr>
          <w:rFonts w:hint="eastAsia" w:ascii="宋体" w:hAnsi="宋体" w:cs="宋体"/>
          <w:b/>
          <w:bCs/>
          <w:color w:val="auto"/>
          <w:kern w:val="0"/>
          <w:sz w:val="24"/>
          <w:szCs w:val="24"/>
          <w:highlight w:val="none"/>
          <w:u w:val="single"/>
        </w:rPr>
        <w:t>发包人将不定期进行考核检查，检查时，发现未经发包人同意，项目经理擅自离开现场，每少一天向发包人支付违约金2000元，累计缺勤15天或连续缺勤5天，发包人有权单方面提前终止合同，限令退场，已完成工程量不予结算，并由承包人承担由此发生的全部责任和损失。</w:t>
      </w:r>
    </w:p>
    <w:p w14:paraId="0361BC80">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3.2.3 承包人擅自更换项目经理的违约责任：</w:t>
      </w:r>
      <w:r>
        <w:rPr>
          <w:rFonts w:hint="eastAsia" w:ascii="宋体" w:hAnsi="宋体" w:cs="宋体"/>
          <w:b/>
          <w:bCs/>
          <w:color w:val="auto"/>
          <w:kern w:val="0"/>
          <w:sz w:val="24"/>
          <w:szCs w:val="24"/>
          <w:highlight w:val="none"/>
          <w:u w:val="single"/>
        </w:rPr>
        <w:t>派驻现场的项目经理应与响应文件一致，必须保证施工全过程在本项目工地工作，更换项目经理必须得到发包人书面认可，未经发包人同意擅自更换项目经理的，按每人次10万元向发包人支付违约金。项目经理必须坚守岗位，不得兼职本工程以外的工作，在本工程施工期内月出勤率必须达26天以上，每天不少于8小时，离开施工现场必须向发包人请假。</w:t>
      </w:r>
    </w:p>
    <w:p w14:paraId="666170F9">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3.2.4 承包人无正当理由拒绝更换项目经理的违约责任：</w:t>
      </w:r>
      <w:r>
        <w:rPr>
          <w:rFonts w:hint="eastAsia" w:ascii="宋体" w:hAnsi="宋体" w:cs="宋体"/>
          <w:b/>
          <w:bCs/>
          <w:color w:val="auto"/>
          <w:kern w:val="0"/>
          <w:sz w:val="24"/>
          <w:szCs w:val="24"/>
          <w:highlight w:val="none"/>
          <w:u w:val="single"/>
        </w:rPr>
        <w:t>投标书中承诺的项目负责人经发包人和监理方考核不合格者，承包人必须在一周内无条件更换，同时须支付</w:t>
      </w:r>
      <w:r>
        <w:rPr>
          <w:rFonts w:hint="eastAsia" w:ascii="宋体" w:hAnsi="宋体" w:cs="宋体"/>
          <w:b/>
          <w:color w:val="auto"/>
          <w:kern w:val="0"/>
          <w:sz w:val="24"/>
          <w:szCs w:val="24"/>
          <w:highlight w:val="none"/>
          <w:u w:val="single"/>
        </w:rPr>
        <w:t>1万元/次的违约金。</w:t>
      </w:r>
    </w:p>
    <w:p w14:paraId="2FD5C02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3.3 承包人人员</w:t>
      </w:r>
    </w:p>
    <w:p w14:paraId="0204492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3.3.1 承包人提交项目管理机构及施工现场管理人员安排报告的期限：</w:t>
      </w:r>
      <w:r>
        <w:rPr>
          <w:rFonts w:hint="eastAsia" w:ascii="宋体" w:hAnsi="宋体" w:cs="宋体"/>
          <w:b/>
          <w:color w:val="auto"/>
          <w:kern w:val="0"/>
          <w:sz w:val="24"/>
          <w:szCs w:val="24"/>
          <w:highlight w:val="none"/>
          <w:u w:val="single"/>
        </w:rPr>
        <w:t>开工前3天</w:t>
      </w:r>
      <w:r>
        <w:rPr>
          <w:rFonts w:hint="eastAsia" w:ascii="宋体" w:hAnsi="宋体" w:cs="宋体"/>
          <w:color w:val="auto"/>
          <w:kern w:val="0"/>
          <w:sz w:val="24"/>
          <w:szCs w:val="24"/>
          <w:highlight w:val="none"/>
        </w:rPr>
        <w:t>。</w:t>
      </w:r>
    </w:p>
    <w:p w14:paraId="5BC0A9F1">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3.3.3 承包人无正当理由拒绝撤换主要施工管理人员的违约责任：</w:t>
      </w:r>
      <w:r>
        <w:rPr>
          <w:rFonts w:hint="eastAsia" w:ascii="宋体" w:hAnsi="宋体" w:cs="宋体"/>
          <w:b/>
          <w:color w:val="auto"/>
          <w:kern w:val="0"/>
          <w:sz w:val="24"/>
          <w:szCs w:val="24"/>
          <w:highlight w:val="none"/>
          <w:u w:val="single"/>
        </w:rPr>
        <w:t>承包人向发包人支付违约金1万元/次/人。实际施工过程中，本项目主要施工管理人员（含</w:t>
      </w:r>
      <w:r>
        <w:rPr>
          <w:rFonts w:hint="eastAsia" w:ascii="宋体" w:hAnsi="宋体" w:cs="宋体"/>
          <w:b/>
          <w:bCs/>
          <w:color w:val="auto"/>
          <w:kern w:val="0"/>
          <w:sz w:val="24"/>
          <w:szCs w:val="24"/>
          <w:highlight w:val="none"/>
          <w:u w:val="single"/>
        </w:rPr>
        <w:t>技术负责人、施工员、安全员、质量员、资料员</w:t>
      </w:r>
      <w:r>
        <w:rPr>
          <w:rFonts w:hint="eastAsia" w:ascii="宋体" w:hAnsi="宋体" w:cs="宋体"/>
          <w:b/>
          <w:color w:val="auto"/>
          <w:kern w:val="0"/>
          <w:sz w:val="24"/>
          <w:szCs w:val="24"/>
          <w:highlight w:val="none"/>
          <w:u w:val="single"/>
        </w:rPr>
        <w:t>）经发包人和监理方考核不合格者，承包人必须在一周内无条件更换，直至发包人认可。如更换3次（含3次）以上，发包人仍不满意，则发包人有权单方面提前终止合同，限令退场，已完成的合格工程量按60%结算，并由承包人承担由此发生的全部责任和损失。</w:t>
      </w:r>
    </w:p>
    <w:p w14:paraId="1A0F8081">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3.3.4 承包人主要施工管理人员离开施工现场的批准要求：</w:t>
      </w:r>
      <w:r>
        <w:rPr>
          <w:rFonts w:hint="eastAsia" w:ascii="宋体" w:hAnsi="宋体" w:cs="宋体"/>
          <w:b/>
          <w:bCs/>
          <w:color w:val="auto"/>
          <w:kern w:val="0"/>
          <w:sz w:val="24"/>
          <w:szCs w:val="24"/>
          <w:highlight w:val="none"/>
          <w:u w:val="single"/>
        </w:rPr>
        <w:t>须经监理及发包人现场代表书面同意。</w:t>
      </w:r>
    </w:p>
    <w:p w14:paraId="44B05207">
      <w:pPr>
        <w:spacing w:line="460" w:lineRule="exact"/>
        <w:ind w:firstLine="480"/>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3.3.5承包人擅自更换主要施工管理人员的违约责任：</w:t>
      </w:r>
      <w:r>
        <w:rPr>
          <w:rFonts w:hint="eastAsia" w:ascii="宋体" w:hAnsi="宋体" w:cs="宋体"/>
          <w:b/>
          <w:bCs/>
          <w:color w:val="auto"/>
          <w:kern w:val="0"/>
          <w:sz w:val="24"/>
          <w:szCs w:val="24"/>
          <w:highlight w:val="none"/>
          <w:u w:val="single"/>
        </w:rPr>
        <w:t>承包人必须指派投标书中承诺的本项目主要施工管理人员（含技术负责人、施工员、安全员、质量员、资料员）到施工现场负责施工管理，且通过发包人的考核；若有变动，除需得到发包人考核认可外，同时需向发包人支付违约金1万元/次/人。</w:t>
      </w:r>
    </w:p>
    <w:p w14:paraId="79190B7C">
      <w:pPr>
        <w:spacing w:line="460" w:lineRule="exact"/>
        <w:ind w:firstLine="72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承包人主要施工管理人员擅自离开施工现场的违约责任：</w:t>
      </w:r>
      <w:r>
        <w:rPr>
          <w:rFonts w:hint="eastAsia" w:ascii="宋体" w:hAnsi="宋体" w:cs="宋体"/>
          <w:b/>
          <w:bCs/>
          <w:color w:val="auto"/>
          <w:kern w:val="0"/>
          <w:sz w:val="24"/>
          <w:szCs w:val="24"/>
          <w:highlight w:val="none"/>
          <w:u w:val="single"/>
        </w:rPr>
        <w:t>主要管理人员保证出勤每周6天及以上，每月不少于26天并且每天在施工现场不少于8小时，每少一天向发包人支付1500元/人违约金，擅自离开施工现场的，视为缺勤处理。</w:t>
      </w:r>
    </w:p>
    <w:p w14:paraId="2DE708B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3.5 分包</w:t>
      </w:r>
    </w:p>
    <w:p w14:paraId="48ECACFD">
      <w:pPr>
        <w:keepNext/>
        <w:keepLines/>
        <w:spacing w:line="460" w:lineRule="exact"/>
        <w:ind w:firstLine="480"/>
        <w:outlineLvl w:val="9"/>
        <w:rPr>
          <w:rFonts w:ascii="宋体" w:hAnsi="宋体" w:cs="宋体"/>
          <w:b/>
          <w:bCs/>
          <w:color w:val="auto"/>
          <w:kern w:val="0"/>
          <w:sz w:val="24"/>
          <w:szCs w:val="24"/>
          <w:highlight w:val="none"/>
          <w:u w:val="single"/>
        </w:rPr>
      </w:pPr>
      <w:r>
        <w:rPr>
          <w:rFonts w:hint="eastAsia" w:ascii="宋体" w:hAnsi="宋体" w:cs="宋体"/>
          <w:bCs/>
          <w:color w:val="auto"/>
          <w:kern w:val="0"/>
          <w:sz w:val="24"/>
          <w:szCs w:val="24"/>
          <w:highlight w:val="none"/>
        </w:rPr>
        <w:t>允许分包的专业工程包括</w:t>
      </w:r>
      <w:r>
        <w:rPr>
          <w:rFonts w:hint="eastAsia" w:ascii="宋体" w:hAnsi="宋体" w:cs="宋体"/>
          <w:b/>
          <w:color w:val="auto"/>
          <w:kern w:val="0"/>
          <w:sz w:val="24"/>
          <w:szCs w:val="24"/>
          <w:highlight w:val="none"/>
        </w:rPr>
        <w:t>：</w:t>
      </w:r>
      <w:r>
        <w:rPr>
          <w:rFonts w:hint="eastAsia" w:ascii="宋体" w:hAnsi="宋体" w:cs="宋体"/>
          <w:b/>
          <w:bCs/>
          <w:color w:val="auto"/>
          <w:kern w:val="0"/>
          <w:sz w:val="24"/>
          <w:szCs w:val="24"/>
          <w:highlight w:val="none"/>
          <w:u w:val="single"/>
        </w:rPr>
        <w:t>禁止分包。</w:t>
      </w:r>
    </w:p>
    <w:p w14:paraId="1473B47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3.6 工程照管与成品、半成品保护</w:t>
      </w:r>
    </w:p>
    <w:p w14:paraId="20E090B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承包人负责照管工程及工程相关的材料、工程设备的起始时间：</w:t>
      </w:r>
      <w:r>
        <w:rPr>
          <w:rFonts w:hint="eastAsia" w:ascii="宋体" w:hAnsi="宋体" w:cs="宋体"/>
          <w:b/>
          <w:color w:val="auto"/>
          <w:kern w:val="0"/>
          <w:sz w:val="24"/>
          <w:szCs w:val="24"/>
          <w:highlight w:val="none"/>
          <w:u w:val="single"/>
        </w:rPr>
        <w:t>设备、人员进场至验收交付使用前由承包人负责保修，无其它特殊要求的，费用由承包人承担</w:t>
      </w:r>
      <w:r>
        <w:rPr>
          <w:rFonts w:hint="eastAsia" w:ascii="宋体" w:hAnsi="宋体" w:cs="宋体"/>
          <w:color w:val="auto"/>
          <w:kern w:val="0"/>
          <w:sz w:val="24"/>
          <w:szCs w:val="24"/>
          <w:highlight w:val="none"/>
        </w:rPr>
        <w:t>。</w:t>
      </w:r>
    </w:p>
    <w:p w14:paraId="236483A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3.7 履约担保</w:t>
      </w:r>
    </w:p>
    <w:p w14:paraId="3312B74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承包人是否提供履约担保：</w:t>
      </w:r>
      <w:r>
        <w:rPr>
          <w:rFonts w:hint="eastAsia" w:ascii="宋体" w:hAnsi="宋体" w:cs="宋体"/>
          <w:b/>
          <w:bCs/>
          <w:color w:val="auto"/>
          <w:kern w:val="0"/>
          <w:sz w:val="24"/>
          <w:szCs w:val="24"/>
          <w:highlight w:val="none"/>
          <w:u w:val="single"/>
        </w:rPr>
        <w:t>提供</w:t>
      </w:r>
      <w:r>
        <w:rPr>
          <w:rFonts w:hint="eastAsia" w:ascii="宋体" w:hAnsi="宋体" w:cs="宋体"/>
          <w:color w:val="auto"/>
          <w:kern w:val="0"/>
          <w:sz w:val="24"/>
          <w:szCs w:val="24"/>
          <w:highlight w:val="none"/>
        </w:rPr>
        <w:t>。</w:t>
      </w:r>
    </w:p>
    <w:p w14:paraId="04FD7A32">
      <w:pPr>
        <w:spacing w:line="460" w:lineRule="exact"/>
        <w:ind w:firstLine="480"/>
        <w:rPr>
          <w:rFonts w:hint="eastAsia"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承包人提供履约担保的形式、金额及期限：</w:t>
      </w:r>
      <w:r>
        <w:rPr>
          <w:rFonts w:hint="eastAsia" w:ascii="宋体" w:hAnsi="宋体" w:cs="宋体"/>
          <w:b/>
          <w:color w:val="auto"/>
          <w:kern w:val="0"/>
          <w:sz w:val="24"/>
          <w:szCs w:val="24"/>
          <w:highlight w:val="none"/>
          <w:u w:val="single"/>
        </w:rPr>
        <w:t>银行转账，中标人须在成交通知书发出后7日内交齐履约保证金后根据</w:t>
      </w:r>
      <w:r>
        <w:rPr>
          <w:rFonts w:hint="eastAsia" w:ascii="宋体" w:hAnsi="宋体" w:cs="宋体"/>
          <w:b/>
          <w:color w:val="auto"/>
          <w:kern w:val="0"/>
          <w:sz w:val="24"/>
          <w:szCs w:val="24"/>
          <w:highlight w:val="none"/>
          <w:u w:val="single"/>
          <w:lang w:val="en-US" w:eastAsia="zh-CN"/>
        </w:rPr>
        <w:t>磋商</w:t>
      </w:r>
      <w:r>
        <w:rPr>
          <w:rFonts w:hint="eastAsia" w:ascii="宋体" w:hAnsi="宋体" w:cs="宋体"/>
          <w:b/>
          <w:color w:val="auto"/>
          <w:kern w:val="0"/>
          <w:sz w:val="24"/>
          <w:szCs w:val="24"/>
          <w:highlight w:val="none"/>
          <w:u w:val="single"/>
        </w:rPr>
        <w:t>文件的要求签订合同，否则视为自动放弃中标资格</w:t>
      </w:r>
      <w:r>
        <w:rPr>
          <w:rFonts w:hint="eastAsia" w:ascii="宋体" w:hAnsi="宋体" w:cs="宋体"/>
          <w:b/>
          <w:color w:val="auto"/>
          <w:kern w:val="0"/>
          <w:sz w:val="24"/>
          <w:szCs w:val="24"/>
          <w:highlight w:val="none"/>
          <w:u w:val="single"/>
          <w:lang w:eastAsia="zh-CN"/>
        </w:rPr>
        <w:t>。</w:t>
      </w:r>
      <w:r>
        <w:rPr>
          <w:rFonts w:hint="eastAsia" w:ascii="宋体" w:hAnsi="宋体" w:cs="宋体"/>
          <w:b/>
          <w:color w:val="auto"/>
          <w:kern w:val="0"/>
          <w:sz w:val="24"/>
          <w:szCs w:val="24"/>
          <w:highlight w:val="none"/>
          <w:u w:val="single"/>
        </w:rPr>
        <w:t>承包人</w:t>
      </w:r>
      <w:r>
        <w:rPr>
          <w:rFonts w:hint="eastAsia" w:ascii="宋体" w:hAnsi="宋体" w:cs="宋体"/>
          <w:b/>
          <w:bCs/>
          <w:color w:val="auto"/>
          <w:kern w:val="0"/>
          <w:sz w:val="24"/>
          <w:szCs w:val="24"/>
          <w:highlight w:val="none"/>
          <w:u w:val="single"/>
        </w:rPr>
        <w:t>提供的履约保证金为合同总价的10%。承包人按要求保质保量的完成该项目且通过最终验收后，一次性无息退还履约保证金。</w:t>
      </w:r>
      <w:r>
        <w:rPr>
          <w:rFonts w:hint="eastAsia" w:ascii="宋体" w:hAnsi="宋体" w:cs="宋体"/>
          <w:b/>
          <w:bCs/>
          <w:color w:val="auto"/>
          <w:kern w:val="0"/>
          <w:sz w:val="24"/>
          <w:szCs w:val="24"/>
          <w:highlight w:val="none"/>
          <w:u w:val="single"/>
          <w:lang w:val="en-US" w:eastAsia="zh-CN"/>
        </w:rPr>
        <w:t>若承包人未能按时完成工程或出现其他本合同约定的违约行为，发包人有权按照违约责任约定直接扣减履约保证金。</w:t>
      </w:r>
    </w:p>
    <w:p w14:paraId="5E1CB985">
      <w:pPr>
        <w:spacing w:line="460" w:lineRule="exact"/>
        <w:ind w:firstLine="480"/>
        <w:rPr>
          <w:rFonts w:ascii="宋体" w:hAnsi="宋体" w:cs="宋体"/>
          <w:b/>
          <w:bCs/>
          <w:color w:val="auto"/>
          <w:kern w:val="0"/>
          <w:sz w:val="24"/>
          <w:szCs w:val="24"/>
          <w:highlight w:val="none"/>
          <w:u w:val="single"/>
        </w:rPr>
      </w:pPr>
    </w:p>
    <w:p w14:paraId="10A038E0">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 监理人</w:t>
      </w:r>
    </w:p>
    <w:p w14:paraId="23354F4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4.1监理人的一般规定</w:t>
      </w:r>
    </w:p>
    <w:p w14:paraId="486AB06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关于监理人的监理内容：</w:t>
      </w:r>
      <w:r>
        <w:rPr>
          <w:rFonts w:hint="eastAsia" w:ascii="宋体" w:hAnsi="宋体" w:cs="宋体"/>
          <w:b/>
          <w:color w:val="auto"/>
          <w:kern w:val="0"/>
          <w:sz w:val="24"/>
          <w:szCs w:val="24"/>
          <w:highlight w:val="none"/>
          <w:u w:val="single"/>
        </w:rPr>
        <w:t>见《建设工程委托监理合同》</w:t>
      </w:r>
      <w:r>
        <w:rPr>
          <w:rFonts w:hint="eastAsia" w:ascii="宋体" w:hAnsi="宋体" w:cs="宋体"/>
          <w:color w:val="auto"/>
          <w:kern w:val="0"/>
          <w:sz w:val="24"/>
          <w:szCs w:val="24"/>
          <w:highlight w:val="none"/>
        </w:rPr>
        <w:t>。</w:t>
      </w:r>
    </w:p>
    <w:p w14:paraId="441A5A7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关于监理人的监理权限：</w:t>
      </w:r>
      <w:r>
        <w:rPr>
          <w:rFonts w:hint="eastAsia" w:ascii="宋体" w:hAnsi="宋体" w:cs="宋体"/>
          <w:b/>
          <w:color w:val="auto"/>
          <w:kern w:val="0"/>
          <w:sz w:val="24"/>
          <w:szCs w:val="24"/>
          <w:highlight w:val="none"/>
          <w:u w:val="single"/>
        </w:rPr>
        <w:t>见《建设工程委托监理合同》</w:t>
      </w:r>
      <w:r>
        <w:rPr>
          <w:rFonts w:hint="eastAsia" w:ascii="宋体" w:hAnsi="宋体" w:cs="宋体"/>
          <w:color w:val="auto"/>
          <w:kern w:val="0"/>
          <w:sz w:val="24"/>
          <w:szCs w:val="24"/>
          <w:highlight w:val="none"/>
        </w:rPr>
        <w:t xml:space="preserve">。 </w:t>
      </w:r>
    </w:p>
    <w:p w14:paraId="742F8D5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关于监理人在施工现场的办公场所、生活场所的提供和费用承担的约定：</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69ED58E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 监理人员</w:t>
      </w:r>
    </w:p>
    <w:p w14:paraId="68AF10B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总监理工程师：</w:t>
      </w:r>
    </w:p>
    <w:p w14:paraId="3CC64AD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姓    名：</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BB0D66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职    务：</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58193F2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监理工程师执业资格证书号：</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CA6A34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联系电话：</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C76A06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电子信箱：</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86548F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通信地址：</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9B3B58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关于监理人的其他约定：</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1B3AD83B">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5. 工程质量</w:t>
      </w:r>
    </w:p>
    <w:p w14:paraId="4DAD19A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5.1 质量要求</w:t>
      </w:r>
    </w:p>
    <w:p w14:paraId="486F41C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5.1.1工程质量必须达到国家施工质量验收规范合格标准。</w:t>
      </w:r>
    </w:p>
    <w:p w14:paraId="6866E86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5.1.2关于工程奖项的约定：</w:t>
      </w:r>
      <w:r>
        <w:rPr>
          <w:rFonts w:hint="eastAsia" w:ascii="宋体" w:hAnsi="宋体" w:cs="宋体"/>
          <w:b/>
          <w:color w:val="auto"/>
          <w:kern w:val="0"/>
          <w:sz w:val="24"/>
          <w:szCs w:val="24"/>
          <w:highlight w:val="none"/>
          <w:u w:val="single"/>
        </w:rPr>
        <w:t>/</w:t>
      </w:r>
      <w:r>
        <w:rPr>
          <w:rFonts w:hint="eastAsia" w:ascii="宋体" w:hAnsi="宋体" w:cs="宋体"/>
          <w:b/>
          <w:color w:val="auto"/>
          <w:kern w:val="0"/>
          <w:sz w:val="24"/>
          <w:szCs w:val="24"/>
          <w:highlight w:val="none"/>
        </w:rPr>
        <w:t>。</w:t>
      </w:r>
    </w:p>
    <w:p w14:paraId="29DA2ED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5.3 隐蔽工程检查</w:t>
      </w:r>
    </w:p>
    <w:p w14:paraId="33265B14">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5.3.2承包人提前通知监理人隐蔽工程检查的期限的约定：</w:t>
      </w:r>
      <w:r>
        <w:rPr>
          <w:rFonts w:hint="eastAsia" w:ascii="宋体" w:hAnsi="宋体" w:cs="宋体"/>
          <w:b/>
          <w:color w:val="auto"/>
          <w:kern w:val="0"/>
          <w:sz w:val="24"/>
          <w:szCs w:val="24"/>
          <w:highlight w:val="none"/>
          <w:u w:val="single"/>
        </w:rPr>
        <w:t>共同检查前48小时书面通知监理人</w:t>
      </w:r>
      <w:r>
        <w:rPr>
          <w:rFonts w:hint="eastAsia" w:ascii="宋体" w:hAnsi="宋体" w:cs="宋体"/>
          <w:color w:val="auto"/>
          <w:kern w:val="0"/>
          <w:sz w:val="24"/>
          <w:szCs w:val="24"/>
          <w:highlight w:val="none"/>
        </w:rPr>
        <w:t>。</w:t>
      </w:r>
    </w:p>
    <w:p w14:paraId="3A03E5D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监理人不能按时进行检查时，应提前</w:t>
      </w:r>
      <w:r>
        <w:rPr>
          <w:rFonts w:hint="eastAsia" w:ascii="宋体" w:hAnsi="宋体" w:cs="宋体"/>
          <w:color w:val="auto"/>
          <w:kern w:val="0"/>
          <w:sz w:val="24"/>
          <w:szCs w:val="24"/>
          <w:highlight w:val="none"/>
          <w:u w:val="single"/>
        </w:rPr>
        <w:t xml:space="preserve"> 24 </w:t>
      </w:r>
      <w:r>
        <w:rPr>
          <w:rFonts w:hint="eastAsia" w:ascii="宋体" w:hAnsi="宋体" w:cs="宋体"/>
          <w:color w:val="auto"/>
          <w:kern w:val="0"/>
          <w:sz w:val="24"/>
          <w:szCs w:val="24"/>
          <w:highlight w:val="none"/>
        </w:rPr>
        <w:t>小时提交书面延期要求。</w:t>
      </w:r>
    </w:p>
    <w:p w14:paraId="3709716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关于延期最长不得超过：</w:t>
      </w:r>
      <w:r>
        <w:rPr>
          <w:rFonts w:hint="eastAsia" w:ascii="宋体" w:hAnsi="宋体" w:cs="宋体"/>
          <w:bCs/>
          <w:color w:val="auto"/>
          <w:kern w:val="0"/>
          <w:sz w:val="24"/>
          <w:szCs w:val="24"/>
          <w:highlight w:val="none"/>
          <w:u w:val="single"/>
        </w:rPr>
        <w:t>48</w:t>
      </w:r>
      <w:r>
        <w:rPr>
          <w:rFonts w:hint="eastAsia" w:ascii="宋体" w:hAnsi="宋体" w:cs="宋体"/>
          <w:color w:val="auto"/>
          <w:kern w:val="0"/>
          <w:sz w:val="24"/>
          <w:szCs w:val="24"/>
          <w:highlight w:val="none"/>
        </w:rPr>
        <w:t>小时。</w:t>
      </w:r>
    </w:p>
    <w:p w14:paraId="408C548C">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 安全文明施工与环境保护</w:t>
      </w:r>
    </w:p>
    <w:p w14:paraId="342A024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6.1安全文明施工</w:t>
      </w:r>
    </w:p>
    <w:p w14:paraId="514090AC">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6.1.1 项目安全生产的达标目标及相应事项的约定：</w:t>
      </w:r>
    </w:p>
    <w:p w14:paraId="650E9A78">
      <w:pPr>
        <w:spacing w:line="460" w:lineRule="exact"/>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1）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没收全部安全文明履约保证金，并视情节严重向承包方收取1万-5万违约金。</w:t>
      </w:r>
    </w:p>
    <w:p w14:paraId="05B44EA9">
      <w:pPr>
        <w:spacing w:line="460" w:lineRule="exact"/>
        <w:ind w:firstLine="361"/>
        <w:rPr>
          <w:rFonts w:ascii="宋体" w:hAnsi="宋体" w:cs="宋体"/>
          <w:color w:val="auto"/>
          <w:kern w:val="0"/>
          <w:sz w:val="24"/>
          <w:szCs w:val="24"/>
          <w:highlight w:val="none"/>
        </w:rPr>
      </w:pPr>
      <w:r>
        <w:rPr>
          <w:rFonts w:hint="eastAsia" w:ascii="宋体" w:hAnsi="宋体" w:cs="宋体"/>
          <w:b/>
          <w:color w:val="auto"/>
          <w:kern w:val="0"/>
          <w:sz w:val="24"/>
          <w:szCs w:val="24"/>
          <w:highlight w:val="none"/>
          <w:u w:val="single"/>
        </w:rPr>
        <w:t>（2）承包人对施工现场安全生产负总责，现场必须按要求配备安全员，安全员及特种作业人员应持证上岗。专职安全人员全程现场跟班作业，每天打卡考勤，每天开工前必须到场进行安全教育，现场停工检查无问题，半小时以后方可离场，所有施工人员进场前必须安全交底，做好防护措施。</w:t>
      </w:r>
    </w:p>
    <w:p w14:paraId="4F7A570A">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3）工程施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14:paraId="3DE328F5">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工程施工前，承包人应根据法律、法规、规范、标准等要求，制定安全施工标准及要求，负责向施工作业班组、作业人员作出详细的说明，并由双方签字确认。</w:t>
      </w:r>
    </w:p>
    <w:p w14:paraId="579F9790">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工程施工前，承包人使用的安全防护用具、机械设备、施工机具及配件，应当具有生产（制造）许可证、产品合格证，并在进入施工现场前进行查验，经监理工程师签字确认后方可使用。</w:t>
      </w:r>
    </w:p>
    <w:p w14:paraId="0138B223">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特种作业人员，必须按照国家有关规定经过专门的安全作业培训，并取得特种作业操作资格证书后，方可上岗作业。</w:t>
      </w:r>
    </w:p>
    <w:p w14:paraId="2B166978">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（4）承包人应严格按《建设工程安全生产管理条例》等法律、法规采取安全措施、组织施工，如发生事故，所造成的一切责任与后果均由承包人承担。</w:t>
      </w:r>
    </w:p>
    <w:p w14:paraId="1EAE39E6">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（5）未能达到上述要求，发包人有权扣除承包人安全文明施工履约保证金的50%。</w:t>
      </w:r>
    </w:p>
    <w:p w14:paraId="70142E3D">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14:paraId="6CD17D39">
      <w:pPr>
        <w:spacing w:line="460" w:lineRule="exact"/>
        <w:ind w:firstLine="361"/>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（7）凡在施工期间，由于承包人原因造成的事故，除根据事故的严重程度或等级扣除20%的履约保证金金额外，还需承担全部责任及由此引起的一切费用，发包人不承担任何责任。</w:t>
      </w:r>
    </w:p>
    <w:p w14:paraId="10B98451">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6.1.2 关于治安保卫的特别约定：</w:t>
      </w:r>
      <w:r>
        <w:rPr>
          <w:rFonts w:hint="eastAsia" w:ascii="宋体" w:hAnsi="宋体" w:cs="宋体"/>
          <w:b/>
          <w:color w:val="auto"/>
          <w:spacing w:val="-7"/>
          <w:kern w:val="0"/>
          <w:sz w:val="24"/>
          <w:szCs w:val="24"/>
          <w:highlight w:val="none"/>
          <w:u w:val="single"/>
        </w:rPr>
        <w:t>提供和维修非夜间施工使用的照明、围栏设施，并负责安全保卫。施工期间承包人按发包人要求做好成品保护工作；未竣工或已竣工工程未交付之前，由承包单位负责已完成工程的保护工作，所需费用含在报价内。对需要保护的产品和材料须保护期内发生损坏由承包人无条件、自费、限期予以修补。竣工合格交付后由发包人负责保护，如发包人有特殊要求的可另行补充协议加以约定</w:t>
      </w:r>
      <w:r>
        <w:rPr>
          <w:rFonts w:hint="eastAsia" w:ascii="宋体" w:hAnsi="宋体" w:cs="宋体"/>
          <w:color w:val="auto"/>
          <w:kern w:val="0"/>
          <w:sz w:val="24"/>
          <w:szCs w:val="24"/>
          <w:highlight w:val="none"/>
        </w:rPr>
        <w:t>。</w:t>
      </w:r>
    </w:p>
    <w:p w14:paraId="6574048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6.1.3 文明施工</w:t>
      </w:r>
    </w:p>
    <w:p w14:paraId="6436B5A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合同当事人对文明施工的要求：</w:t>
      </w:r>
      <w:r>
        <w:rPr>
          <w:rFonts w:hint="eastAsia" w:ascii="宋体" w:hAnsi="宋体" w:cs="宋体"/>
          <w:b/>
          <w:bCs/>
          <w:color w:val="auto"/>
          <w:kern w:val="0"/>
          <w:sz w:val="24"/>
          <w:szCs w:val="24"/>
          <w:highlight w:val="none"/>
          <w:u w:val="single"/>
        </w:rPr>
        <w:t>合同当事人对文明施工的要求：承包人必须做好场地清理及相关工作。施工现场的材料堆放要整齐，机械停放有序，做到工完料清，如发包人检查到承包人落实不到位的，则发包人有权按1000元/次计取违约金；遵守环境卫生管理的有关规定，符合清洁卫生要求，承担因自身原因违反有关规定造成的损失和罚款；施工过程中的垃圾须运至指定地点集中堆放，并定期或接到发包人通知后24小时内将所有建筑垃圾从施工场地清除，并运出场外，如发包人检查到承包人落实不到位的，则发包人有权按1000元/次计取违约金；交工前，将所有剩余的建筑材料运走，将所有施工机械和设备从施工场地运走，上述费用包含在合同价中。未能达到上述要求，发包人要求整改后仍不实施的，除计取每次事件的违约金外，发包人有权在竣工结算时扣除承包人安全文明施工履约保证金的50%。若承包人现场施工作业面、办公区、生活区内清洁卫生满足不了文明施工要求，发包人有权安排其它单位或个人打扫，按具体发生的费用2倍及以上从进度款中扣除。承包人必须服从物业管理、发包人现场的统一管理和协调，做到文明施工。施工现场要设立标语、标牌，做到文明施工，树立企业形象，主动接受社会监督和有关部门的管理。</w:t>
      </w:r>
    </w:p>
    <w:p w14:paraId="18A703E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6.1.6 关于安全文明施工费支付比例和支付期限的约定：</w:t>
      </w:r>
      <w:r>
        <w:rPr>
          <w:rFonts w:hint="eastAsia" w:ascii="宋体" w:hAnsi="宋体" w:cs="宋体"/>
          <w:color w:val="auto"/>
          <w:kern w:val="0"/>
          <w:sz w:val="24"/>
          <w:szCs w:val="24"/>
          <w:highlight w:val="none"/>
          <w:u w:val="single"/>
        </w:rPr>
        <w:t xml:space="preserve">  无 </w:t>
      </w:r>
      <w:r>
        <w:rPr>
          <w:rFonts w:hint="eastAsia" w:ascii="宋体" w:hAnsi="宋体" w:cs="宋体"/>
          <w:color w:val="auto"/>
          <w:kern w:val="0"/>
          <w:sz w:val="24"/>
          <w:szCs w:val="24"/>
          <w:highlight w:val="none"/>
        </w:rPr>
        <w:t>。</w:t>
      </w:r>
    </w:p>
    <w:p w14:paraId="031A20BF">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6.1.9 安全生产责任</w:t>
      </w:r>
    </w:p>
    <w:p w14:paraId="0A46BCBF">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14:paraId="154C3097">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若因承包人原因产生不良后果的，由承包人承担一切责任。</w:t>
      </w:r>
    </w:p>
    <w:p w14:paraId="643F98A7">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14:paraId="175EC44A">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7. 工期和进度</w:t>
      </w:r>
    </w:p>
    <w:p w14:paraId="4D498E5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7.1 施工组织设计</w:t>
      </w:r>
    </w:p>
    <w:p w14:paraId="2D47A5C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7.1.1 合同当事人约定的施工组织设计应包括的其他内容：</w:t>
      </w:r>
      <w:r>
        <w:rPr>
          <w:rFonts w:hint="eastAsia" w:ascii="宋体" w:hAnsi="宋体" w:cs="宋体"/>
          <w:b/>
          <w:color w:val="auto"/>
          <w:spacing w:val="-2"/>
          <w:kern w:val="0"/>
          <w:sz w:val="24"/>
          <w:szCs w:val="24"/>
          <w:highlight w:val="none"/>
          <w:u w:val="single"/>
        </w:rPr>
        <w:t>承包人在开工前必须提交详细的施工组织设计，报发包人及总监审批，施工组织设计经发包人及监理认可后方可开工。施工组织设计将作为工程款支付的参考依据之一</w:t>
      </w:r>
      <w:r>
        <w:rPr>
          <w:rFonts w:hint="eastAsia" w:ascii="宋体" w:hAnsi="宋体" w:cs="宋体"/>
          <w:color w:val="auto"/>
          <w:kern w:val="0"/>
          <w:sz w:val="24"/>
          <w:szCs w:val="24"/>
          <w:highlight w:val="none"/>
        </w:rPr>
        <w:t>。</w:t>
      </w:r>
    </w:p>
    <w:p w14:paraId="3EBFD17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7.1.2 施工组织设计的提交和修改</w:t>
      </w:r>
    </w:p>
    <w:p w14:paraId="2E56396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承包人提交详细施工组织设计的期限的约定：</w:t>
      </w:r>
      <w:r>
        <w:rPr>
          <w:rFonts w:hint="eastAsia" w:ascii="宋体" w:hAnsi="宋体" w:cs="宋体"/>
          <w:b/>
          <w:color w:val="auto"/>
          <w:spacing w:val="-2"/>
          <w:kern w:val="0"/>
          <w:sz w:val="24"/>
          <w:szCs w:val="24"/>
          <w:highlight w:val="none"/>
          <w:u w:val="single"/>
        </w:rPr>
        <w:t xml:space="preserve"> 承包人在开工前三天内必须提交详细的施工组织设计，报发包人及总监审批，施工组织设计经发包人及监理认可后方可开工。施工组织设计将作为工程款支付的参考依据之一。月工程进度应在每月25号前报送监理和发包人。每周四向监理和发包人提供下一周进度计划  </w:t>
      </w:r>
      <w:r>
        <w:rPr>
          <w:rFonts w:hint="eastAsia" w:ascii="宋体" w:hAnsi="宋体" w:cs="宋体"/>
          <w:color w:val="auto"/>
          <w:kern w:val="0"/>
          <w:sz w:val="24"/>
          <w:szCs w:val="24"/>
          <w:highlight w:val="none"/>
        </w:rPr>
        <w:t>。</w:t>
      </w:r>
    </w:p>
    <w:p w14:paraId="3B5656E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发包人和监理人在收到详细的施工组织设计后确认或提出修改意见的期限：</w:t>
      </w:r>
      <w:r>
        <w:rPr>
          <w:rFonts w:hint="eastAsia" w:ascii="宋体" w:hAnsi="宋体" w:cs="宋体"/>
          <w:b/>
          <w:color w:val="auto"/>
          <w:spacing w:val="-2"/>
          <w:kern w:val="0"/>
          <w:sz w:val="24"/>
          <w:szCs w:val="24"/>
          <w:highlight w:val="none"/>
          <w:u w:val="single"/>
        </w:rPr>
        <w:t xml:space="preserve">收到上述完整的、符合要求的文件后3个工作日内予以确认或提出修改意见，逾期视为已确认  </w:t>
      </w:r>
      <w:r>
        <w:rPr>
          <w:rFonts w:hint="eastAsia" w:ascii="宋体" w:hAnsi="宋体" w:cs="宋体"/>
          <w:color w:val="auto"/>
          <w:kern w:val="0"/>
          <w:sz w:val="24"/>
          <w:szCs w:val="24"/>
          <w:highlight w:val="none"/>
        </w:rPr>
        <w:t>。</w:t>
      </w:r>
    </w:p>
    <w:p w14:paraId="3067794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7.2 施工进度计划</w:t>
      </w:r>
    </w:p>
    <w:p w14:paraId="4CBB660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7.2.2 施工进度计划的修订</w:t>
      </w:r>
    </w:p>
    <w:p w14:paraId="16A231C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发包人和监理人在收到修订的施工进度计划后确认或提出修改意见的期限：</w:t>
      </w:r>
      <w:r>
        <w:rPr>
          <w:rFonts w:hint="eastAsia" w:ascii="宋体" w:hAnsi="宋体" w:cs="宋体"/>
          <w:b/>
          <w:color w:val="auto"/>
          <w:spacing w:val="-2"/>
          <w:kern w:val="0"/>
          <w:sz w:val="24"/>
          <w:szCs w:val="24"/>
          <w:highlight w:val="none"/>
          <w:u w:val="single"/>
        </w:rPr>
        <w:t>收到施工组织设计（施工方案）和进度计划后3日内予以确认或提出修改意见，逾期视为已确认</w:t>
      </w:r>
      <w:r>
        <w:rPr>
          <w:rFonts w:hint="eastAsia" w:ascii="宋体" w:hAnsi="宋体" w:cs="宋体"/>
          <w:color w:val="auto"/>
          <w:kern w:val="0"/>
          <w:sz w:val="24"/>
          <w:szCs w:val="24"/>
          <w:highlight w:val="none"/>
        </w:rPr>
        <w:t>。</w:t>
      </w:r>
    </w:p>
    <w:p w14:paraId="1791307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7.3 开工</w:t>
      </w:r>
    </w:p>
    <w:p w14:paraId="7395055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7.3.1 开工准备</w:t>
      </w:r>
    </w:p>
    <w:p w14:paraId="45EADB9C">
      <w:pPr>
        <w:spacing w:line="46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关于承包人提交工程开工报审表的期限：</w:t>
      </w:r>
      <w:r>
        <w:rPr>
          <w:rFonts w:hint="eastAsia" w:ascii="宋体" w:hAnsi="宋体" w:cs="宋体"/>
          <w:b/>
          <w:color w:val="auto"/>
          <w:kern w:val="0"/>
          <w:sz w:val="24"/>
          <w:szCs w:val="24"/>
          <w:highlight w:val="none"/>
          <w:u w:val="single"/>
        </w:rPr>
        <w:t>合同签订后3天内</w:t>
      </w:r>
      <w:r>
        <w:rPr>
          <w:rFonts w:hint="eastAsia" w:ascii="宋体" w:hAnsi="宋体" w:cs="宋体"/>
          <w:color w:val="auto"/>
          <w:kern w:val="0"/>
          <w:sz w:val="24"/>
          <w:szCs w:val="24"/>
          <w:highlight w:val="none"/>
        </w:rPr>
        <w:t>。</w:t>
      </w:r>
    </w:p>
    <w:p w14:paraId="0D3555D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关于承包人应完成的其他开工准备工作及期限：</w:t>
      </w:r>
      <w:r>
        <w:rPr>
          <w:rFonts w:hint="eastAsia" w:ascii="宋体" w:hAnsi="宋体" w:cs="宋体"/>
          <w:b/>
          <w:color w:val="auto"/>
          <w:kern w:val="0"/>
          <w:sz w:val="24"/>
          <w:szCs w:val="24"/>
          <w:highlight w:val="none"/>
          <w:u w:val="single"/>
        </w:rPr>
        <w:t>遵守政府有关主管部门对施工场地交通、施工噪音、环境保护和安全生产等的管理规定，按规定办理有关手续，并以书面形式通知发包人。临时施工用电由发包人组织实施。</w:t>
      </w:r>
    </w:p>
    <w:p w14:paraId="7C1B6A2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7.3.2开工通知</w:t>
      </w:r>
    </w:p>
    <w:p w14:paraId="4C9C059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因发包人原因造成监理人未能在计划开工日期之日起</w:t>
      </w:r>
      <w:r>
        <w:rPr>
          <w:rFonts w:hint="eastAsia" w:ascii="宋体" w:hAnsi="宋体" w:cs="宋体"/>
          <w:color w:val="auto"/>
          <w:kern w:val="0"/>
          <w:sz w:val="24"/>
          <w:szCs w:val="24"/>
          <w:highlight w:val="none"/>
          <w:u w:val="single"/>
        </w:rPr>
        <w:t xml:space="preserve"> 90 </w:t>
      </w:r>
      <w:r>
        <w:rPr>
          <w:rFonts w:hint="eastAsia" w:ascii="宋体" w:hAnsi="宋体" w:cs="宋体"/>
          <w:color w:val="auto"/>
          <w:kern w:val="0"/>
          <w:sz w:val="24"/>
          <w:szCs w:val="24"/>
          <w:highlight w:val="none"/>
        </w:rPr>
        <w:t>天内发出开工通知的，承包人有权提出价格调整要求，或者解除合同。</w:t>
      </w:r>
    </w:p>
    <w:p w14:paraId="04F6F5D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7.4 测量放线</w:t>
      </w:r>
    </w:p>
    <w:p w14:paraId="1696B186">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7.4.1发包人通过监理人向承包人提供测量基准点、基准线和水准点及其书面资料的期限：</w:t>
      </w:r>
      <w:r>
        <w:rPr>
          <w:rFonts w:hint="eastAsia" w:ascii="宋体" w:hAnsi="宋体" w:cs="宋体"/>
          <w:b/>
          <w:color w:val="auto"/>
          <w:kern w:val="0"/>
          <w:sz w:val="24"/>
          <w:szCs w:val="24"/>
          <w:highlight w:val="none"/>
          <w:u w:val="single"/>
        </w:rPr>
        <w:t>以书面形式交给承包人，并在开工前进行现场交验</w:t>
      </w:r>
      <w:r>
        <w:rPr>
          <w:rFonts w:hint="eastAsia" w:ascii="宋体" w:hAnsi="宋体" w:cs="宋体"/>
          <w:color w:val="auto"/>
          <w:kern w:val="0"/>
          <w:sz w:val="24"/>
          <w:szCs w:val="24"/>
          <w:highlight w:val="none"/>
        </w:rPr>
        <w:t>。</w:t>
      </w:r>
    </w:p>
    <w:p w14:paraId="02E3364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7.5 工期延误</w:t>
      </w:r>
    </w:p>
    <w:p w14:paraId="64B66F9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7.5.1 因发包人原因导致工期延误</w:t>
      </w:r>
    </w:p>
    <w:p w14:paraId="0C0C140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以下原因引起的延误，经发包人确认后，工期相应顺延：</w:t>
      </w:r>
    </w:p>
    <w:p w14:paraId="555884FB">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A.因发包人未在开工前提供施工场地，提供图纸；</w:t>
      </w:r>
    </w:p>
    <w:p w14:paraId="563EB613">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B.因发包人原因造成工程延期开工、停建、缓建、暂停施工（不含勒令停工）；</w:t>
      </w:r>
    </w:p>
    <w:p w14:paraId="733B4822">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C.因发包人原因提出的单次设计变更导致工程量增加超过合同总价的8%以上的；</w:t>
      </w:r>
    </w:p>
    <w:p w14:paraId="76B0DB06">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D.由市级以上有关部门正式发布和认定的自然灾害。</w:t>
      </w:r>
    </w:p>
    <w:p w14:paraId="27D24616">
      <w:pPr>
        <w:spacing w:line="460" w:lineRule="exact"/>
        <w:ind w:firstLine="482"/>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上述情况发生后3天内，承包人需就延误的内容对工程进度造成的影响，向发包人提交书面报告，办理延期手续（须得到甲方代表签字的书面认可），经发包人批准后方可顺延工期，否则工期不予顺延。</w:t>
      </w:r>
    </w:p>
    <w:p w14:paraId="1B12E5B3">
      <w:pPr>
        <w:keepNext/>
        <w:keepLines/>
        <w:spacing w:line="460" w:lineRule="exact"/>
        <w:ind w:firstLine="482"/>
        <w:outlineLvl w:val="9"/>
        <w:rPr>
          <w:rFonts w:ascii="宋体" w:hAnsi="宋体" w:cs="宋体"/>
          <w:b/>
          <w:color w:val="auto"/>
          <w:kern w:val="0"/>
          <w:sz w:val="24"/>
          <w:szCs w:val="24"/>
          <w:highlight w:val="none"/>
        </w:rPr>
      </w:pPr>
      <w:r>
        <w:rPr>
          <w:rFonts w:hint="eastAsia" w:ascii="宋体" w:hAnsi="宋体" w:cs="宋体"/>
          <w:b/>
          <w:bCs/>
          <w:color w:val="auto"/>
          <w:kern w:val="0"/>
          <w:sz w:val="24"/>
          <w:szCs w:val="24"/>
          <w:highlight w:val="none"/>
          <w:u w:val="single"/>
        </w:rPr>
        <w:t>因发包人原因导致工期延误，不论工期是否顺延，承包人不得向发包人主张相应的误工、窝工等费用赔偿。</w:t>
      </w:r>
    </w:p>
    <w:p w14:paraId="51EE4E5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bookmarkStart w:id="184" w:name="_Toc312678012"/>
      <w:bookmarkStart w:id="185" w:name="_Toc318581169"/>
      <w:bookmarkStart w:id="186" w:name="_Toc312677486"/>
      <w:bookmarkStart w:id="187" w:name="_Toc297123518"/>
      <w:bookmarkStart w:id="188" w:name="_Toc297216177"/>
      <w:bookmarkStart w:id="189" w:name="_Toc303539127"/>
      <w:bookmarkStart w:id="190" w:name="_Toc300934970"/>
      <w:bookmarkStart w:id="191" w:name="_Toc304295548"/>
      <w:r>
        <w:rPr>
          <w:rFonts w:hint="eastAsia" w:ascii="宋体" w:hAnsi="宋体" w:cs="宋体"/>
          <w:color w:val="auto"/>
          <w:kern w:val="0"/>
          <w:sz w:val="24"/>
          <w:szCs w:val="24"/>
          <w:highlight w:val="none"/>
        </w:rPr>
        <w:t>.5.2 因承包人原因导致工期延误</w:t>
      </w:r>
      <w:bookmarkEnd w:id="184"/>
      <w:bookmarkEnd w:id="185"/>
      <w:bookmarkEnd w:id="186"/>
    </w:p>
    <w:p w14:paraId="75296FCF">
      <w:pPr>
        <w:spacing w:line="460" w:lineRule="exact"/>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因</w:t>
      </w:r>
      <w:bookmarkStart w:id="192" w:name="_Toc312677487"/>
      <w:bookmarkStart w:id="193" w:name="_Toc312678013"/>
      <w:bookmarkStart w:id="194" w:name="_Toc318581170"/>
      <w:r>
        <w:rPr>
          <w:rFonts w:hint="eastAsia" w:ascii="宋体" w:hAnsi="宋体" w:cs="宋体"/>
          <w:color w:val="auto"/>
          <w:kern w:val="0"/>
          <w:sz w:val="24"/>
          <w:szCs w:val="24"/>
          <w:highlight w:val="none"/>
        </w:rPr>
        <w:t>承包人原因造成工期延误，逾期竣工违约金的计算方法为：</w:t>
      </w:r>
      <w:bookmarkEnd w:id="187"/>
      <w:bookmarkEnd w:id="188"/>
      <w:bookmarkEnd w:id="189"/>
      <w:bookmarkEnd w:id="190"/>
      <w:bookmarkEnd w:id="191"/>
      <w:bookmarkEnd w:id="192"/>
      <w:bookmarkEnd w:id="193"/>
      <w:bookmarkEnd w:id="194"/>
      <w:r>
        <w:rPr>
          <w:rFonts w:hint="eastAsia" w:ascii="宋体" w:hAnsi="宋体" w:cs="宋体"/>
          <w:b/>
          <w:bCs/>
          <w:color w:val="auto"/>
          <w:kern w:val="0"/>
          <w:sz w:val="24"/>
          <w:szCs w:val="24"/>
          <w:highlight w:val="none"/>
          <w:u w:val="single"/>
        </w:rPr>
        <w:t>因承包人原因延误工期，在规定的工期或阶段工期前未能完成，按1000元/天的违约金进行收取并在当期工程款支付中扣除。结算时若有人工调整的，延误期人工不予调整。若全部履约保证金被扣除</w:t>
      </w:r>
      <w:r>
        <w:rPr>
          <w:rFonts w:hint="eastAsia" w:ascii="宋体" w:hAnsi="宋体" w:cs="宋体"/>
          <w:b/>
          <w:bCs/>
          <w:color w:val="auto"/>
          <w:kern w:val="0"/>
          <w:sz w:val="24"/>
          <w:szCs w:val="24"/>
          <w:highlight w:val="none"/>
          <w:u w:val="single"/>
          <w:lang w:val="en-US" w:eastAsia="zh-CN"/>
        </w:rPr>
        <w:t>完</w:t>
      </w:r>
      <w:r>
        <w:rPr>
          <w:rFonts w:hint="eastAsia" w:ascii="宋体" w:hAnsi="宋体" w:cs="宋体"/>
          <w:b/>
          <w:bCs/>
          <w:color w:val="auto"/>
          <w:kern w:val="0"/>
          <w:sz w:val="24"/>
          <w:szCs w:val="24"/>
          <w:highlight w:val="none"/>
          <w:u w:val="single"/>
        </w:rPr>
        <w:t>，发包人有权要求承包人清退出场，所完成的合格工程量按60%计算，其他按通用条款中约定内容执行。</w:t>
      </w:r>
    </w:p>
    <w:p w14:paraId="2770DB2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bookmarkStart w:id="195" w:name="_Toc304295549"/>
      <w:bookmarkStart w:id="196" w:name="_Toc297123519"/>
      <w:bookmarkStart w:id="197" w:name="_Toc303539128"/>
      <w:bookmarkStart w:id="198" w:name="_Toc300934971"/>
      <w:bookmarkStart w:id="199" w:name="_Toc297216178"/>
      <w:bookmarkStart w:id="200" w:name="_Toc312678015"/>
      <w:r>
        <w:rPr>
          <w:rFonts w:hint="eastAsia" w:ascii="宋体" w:hAnsi="宋体" w:cs="宋体"/>
          <w:color w:val="auto"/>
          <w:kern w:val="0"/>
          <w:sz w:val="24"/>
          <w:szCs w:val="24"/>
          <w:highlight w:val="none"/>
        </w:rPr>
        <w:t>.6 不</w:t>
      </w:r>
      <w:bookmarkEnd w:id="195"/>
      <w:bookmarkEnd w:id="196"/>
      <w:bookmarkEnd w:id="197"/>
      <w:bookmarkEnd w:id="198"/>
      <w:bookmarkEnd w:id="199"/>
      <w:bookmarkEnd w:id="200"/>
      <w:r>
        <w:rPr>
          <w:rFonts w:hint="eastAsia" w:ascii="宋体" w:hAnsi="宋体" w:cs="宋体"/>
          <w:color w:val="auto"/>
          <w:kern w:val="0"/>
          <w:sz w:val="24"/>
          <w:szCs w:val="24"/>
          <w:highlight w:val="none"/>
        </w:rPr>
        <w:t>利物质条件</w:t>
      </w:r>
    </w:p>
    <w:p w14:paraId="1416646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不利物质条件的其他情形和有关约定：</w:t>
      </w:r>
      <w:r>
        <w:rPr>
          <w:rFonts w:hint="eastAsia" w:ascii="宋体" w:hAnsi="宋体" w:cs="宋体"/>
          <w:b/>
          <w:bCs/>
          <w:color w:val="auto"/>
          <w:kern w:val="0"/>
          <w:sz w:val="24"/>
          <w:szCs w:val="24"/>
          <w:highlight w:val="none"/>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p w14:paraId="0FDBE67B">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8. 材料与设备</w:t>
      </w:r>
    </w:p>
    <w:p w14:paraId="7FCC6182">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 xml:space="preserve"> 8.1发包人供应材料与工程设备：</w:t>
      </w:r>
      <w:r>
        <w:rPr>
          <w:rFonts w:hint="eastAsia" w:ascii="宋体" w:hAnsi="宋体" w:cs="宋体"/>
          <w:color w:val="auto"/>
          <w:kern w:val="0"/>
          <w:sz w:val="24"/>
          <w:szCs w:val="24"/>
          <w:highlight w:val="none"/>
          <w:u w:val="single"/>
        </w:rPr>
        <w:t>无。如有时，承包人应编制材料供应计划。合同生效后一般材料承包人应提前15天向发包人按实提交所需材料品种、数量、型号、规格、质量等级，如有误差造成的损失由承包人承担。</w:t>
      </w:r>
    </w:p>
    <w:p w14:paraId="7C770F79">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发包人供应材料设备的结算方法：</w:t>
      </w:r>
      <w:r>
        <w:rPr>
          <w:rFonts w:hint="eastAsia" w:ascii="宋体" w:hAnsi="宋体" w:cs="宋体"/>
          <w:color w:val="auto"/>
          <w:kern w:val="0"/>
          <w:sz w:val="24"/>
          <w:szCs w:val="24"/>
          <w:highlight w:val="none"/>
          <w:u w:val="single"/>
        </w:rPr>
        <w:t>无。如有时，按结算审计的甲供材料数量乘以招标时规定的暂定价扣除工程款，承包人超领部分，按发包人采购最高价结算，发包人在竣工决算时扣回；承包人领用不足部分，按发包人采购综合平均价结算，发包人在竣工决算时考虑对承包人予以一定增补。</w:t>
      </w:r>
    </w:p>
    <w:p w14:paraId="3BEDAC77">
      <w:pPr>
        <w:spacing w:line="46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8.2承包人供应材料与工程设备</w:t>
      </w:r>
    </w:p>
    <w:p w14:paraId="20249EF7">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14:paraId="3134CD11">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其它为保证工程质量进行的材料检验试验工作和费用（仅限建筑材料、构配件一次复试合格的情形）。</w:t>
      </w:r>
    </w:p>
    <w:p w14:paraId="08A98E59">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（3）本工程所有材料全部由承包人负责采购，主要材料按照施工图纸中的选材表，且厂家、品名、型号、规格、颜色、花纹、材质等必须经发包人及监理书面认可确认后方可进场。材料的选用按国产中</w:t>
      </w:r>
      <w:r>
        <w:rPr>
          <w:rFonts w:hint="eastAsia" w:ascii="宋体" w:hAnsi="宋体" w:cs="宋体"/>
          <w:color w:val="auto"/>
          <w:kern w:val="0"/>
          <w:sz w:val="24"/>
          <w:szCs w:val="24"/>
          <w:highlight w:val="none"/>
          <w:u w:val="single"/>
          <w:lang w:val="en-US" w:eastAsia="zh-CN"/>
        </w:rPr>
        <w:t>高档</w:t>
      </w:r>
      <w:r>
        <w:rPr>
          <w:rFonts w:hint="eastAsia" w:ascii="宋体" w:hAnsi="宋体" w:cs="宋体"/>
          <w:color w:val="auto"/>
          <w:kern w:val="0"/>
          <w:sz w:val="24"/>
          <w:szCs w:val="24"/>
          <w:highlight w:val="none"/>
          <w:u w:val="single"/>
        </w:rPr>
        <w:t>且符合国家标准的合格产品报价。承包人已充分考虑市场价格风险，一旦成交，材料价格不作调整。在实际施工中，承包人必须提供样品报发包人、监理书面认可，否则，发包人可以要求承包人无条件更换不符合要求的产品，购进的材料设备与提供的样品不一致时，由承包人无条件退货，如因使用不符合国家标准及各项指标的材料，由此引起的相关费用由承包人承担，结算时一律不作调整。乙供材料无特殊情况时，应由承包人采购。因承包人原因所采购材料等无法满足发包人要求时，发包人有权在控制价范围内采购并计取管理费，所产生的费用均由承包人承担。</w:t>
      </w:r>
    </w:p>
    <w:p w14:paraId="1FCBCEEF">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4）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14:paraId="60F7DA1E">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5）发包人和监理工程师对材料的决定或认可并不解除承包人应负的质量、工期的责任，也不免除承包人对材料应负的责任。承包人采购的材料与设计或规范要求不符时，承包人应按监理工程师要求的时间内作退场处理。重新采购符合要求的产品，承担由此发生的费用，由此延误的工期不予顺延。</w:t>
      </w:r>
    </w:p>
    <w:p w14:paraId="46F87191">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（6）招标时暂估价和认质认价材料发包人保留甲供或另行发包权利。</w:t>
      </w:r>
    </w:p>
    <w:p w14:paraId="6B5E24D8">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7）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详见16.2.2承包人违约的责任。</w:t>
      </w:r>
    </w:p>
    <w:p w14:paraId="1850E1B7">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8）承包人应对所有进场材料按有关规定进行严格把关，如因材料出现的质量和安全事故由承包人负全责，并赔偿相应损失。设计图纸没有规定的或图纸规定与清单不符的，经发包人和监理方确认对图纸或清单进行确认后方可施工。</w:t>
      </w:r>
    </w:p>
    <w:p w14:paraId="6A916CEF">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（9）材料质量必须严格按照国家规范及江苏省、南通市相应地方规范、招标文件、材料厂家的技术规范的有关要求执行。</w:t>
      </w:r>
    </w:p>
    <w:p w14:paraId="34A99225">
      <w:pPr>
        <w:spacing w:line="460" w:lineRule="exact"/>
        <w:ind w:firstLine="480"/>
        <w:rPr>
          <w:color w:val="auto"/>
          <w:kern w:val="0"/>
          <w:sz w:val="24"/>
          <w:szCs w:val="32"/>
          <w:highlight w:val="none"/>
        </w:rPr>
      </w:pPr>
      <w:r>
        <w:rPr>
          <w:rFonts w:hint="eastAsia" w:ascii="宋体" w:hAnsi="宋体" w:cs="宋体"/>
          <w:color w:val="auto"/>
          <w:kern w:val="0"/>
          <w:sz w:val="24"/>
          <w:szCs w:val="24"/>
          <w:highlight w:val="none"/>
          <w:u w:val="single"/>
        </w:rPr>
        <w:t>（10）由承包人负责采购的材料、设备，由承包人和相关供应商签订供货合同，并承担全部责任。采购的材料（设备）厂家、品名、型号、规格、颜色、花纹、材质等必须经发包人及监理书面认可确认后方可进场。需送检的材料（设备）必须到</w:t>
      </w:r>
      <w:r>
        <w:rPr>
          <w:rFonts w:hint="eastAsia" w:ascii="宋体" w:hAnsi="宋体" w:cs="宋体"/>
          <w:color w:val="auto"/>
          <w:kern w:val="0"/>
          <w:sz w:val="24"/>
          <w:szCs w:val="24"/>
          <w:highlight w:val="none"/>
          <w:u w:val="single"/>
          <w:lang w:val="en-US" w:eastAsia="zh-CN"/>
        </w:rPr>
        <w:t>发包人</w:t>
      </w:r>
      <w:r>
        <w:rPr>
          <w:rFonts w:hint="eastAsia" w:ascii="宋体" w:hAnsi="宋体" w:cs="宋体"/>
          <w:color w:val="auto"/>
          <w:kern w:val="0"/>
          <w:sz w:val="24"/>
          <w:szCs w:val="24"/>
          <w:highlight w:val="none"/>
          <w:u w:val="single"/>
        </w:rPr>
        <w:t>认可的质检部门检验或试验合格后方可使用。检验或试验合格的，检验或试验费用由发包人承担；检验或试验不合格的，检验或试验费用由承包人承担。无论何种原因，承包人在工程中使用不合格材料，除更换合格材料外，另向发包人支付5000元/次的违约金。</w:t>
      </w:r>
    </w:p>
    <w:p w14:paraId="3ECB54C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8.4材料与工程设备的保管与使用</w:t>
      </w:r>
    </w:p>
    <w:p w14:paraId="689B508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w:t>
      </w:r>
      <w:bookmarkStart w:id="201" w:name="_Toc292559878"/>
      <w:bookmarkStart w:id="202" w:name="_Toc292559373"/>
      <w:r>
        <w:rPr>
          <w:rFonts w:hint="eastAsia" w:ascii="宋体" w:hAnsi="宋体" w:cs="宋体"/>
          <w:color w:val="auto"/>
          <w:kern w:val="0"/>
          <w:sz w:val="24"/>
          <w:szCs w:val="24"/>
          <w:highlight w:val="none"/>
        </w:rPr>
        <w:t>.4.1发包人供应的材料设备的保管费用的承担：</w:t>
      </w:r>
      <w:r>
        <w:rPr>
          <w:rFonts w:hint="eastAsia" w:ascii="宋体" w:hAnsi="宋体" w:cs="宋体"/>
          <w:b/>
          <w:color w:val="auto"/>
          <w:kern w:val="0"/>
          <w:sz w:val="24"/>
          <w:szCs w:val="24"/>
          <w:highlight w:val="none"/>
          <w:u w:val="single"/>
        </w:rPr>
        <w:t xml:space="preserve">如有，含在合同价中 </w:t>
      </w:r>
      <w:r>
        <w:rPr>
          <w:rFonts w:hint="eastAsia" w:ascii="宋体" w:hAnsi="宋体" w:cs="宋体"/>
          <w:color w:val="auto"/>
          <w:kern w:val="0"/>
          <w:sz w:val="24"/>
          <w:szCs w:val="24"/>
          <w:highlight w:val="none"/>
        </w:rPr>
        <w:t>。</w:t>
      </w:r>
      <w:bookmarkEnd w:id="201"/>
      <w:bookmarkEnd w:id="202"/>
    </w:p>
    <w:p w14:paraId="4E4D7DD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8.6样品</w:t>
      </w:r>
    </w:p>
    <w:p w14:paraId="5B80DF8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8.6.1样品的报送与封存</w:t>
      </w:r>
    </w:p>
    <w:p w14:paraId="6F13AC7D">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需要承包人报送样品的材料或工程设备，样品的种类、名称、规格、数量要求：</w:t>
      </w:r>
      <w:r>
        <w:rPr>
          <w:rFonts w:hint="eastAsia" w:ascii="宋体" w:hAnsi="宋体" w:cs="宋体"/>
          <w:color w:val="auto"/>
          <w:kern w:val="0"/>
          <w:sz w:val="24"/>
          <w:szCs w:val="24"/>
          <w:highlight w:val="none"/>
          <w:u w:val="single"/>
        </w:rPr>
        <w:t>按管理部门要求和发包人需求确定</w:t>
      </w:r>
      <w:r>
        <w:rPr>
          <w:rFonts w:hint="eastAsia" w:ascii="宋体" w:hAnsi="宋体" w:cs="宋体"/>
          <w:color w:val="auto"/>
          <w:kern w:val="0"/>
          <w:sz w:val="24"/>
          <w:szCs w:val="24"/>
          <w:highlight w:val="none"/>
        </w:rPr>
        <w:t>。</w:t>
      </w:r>
    </w:p>
    <w:p w14:paraId="700CB7A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8.8 施工设备和临时设施</w:t>
      </w:r>
    </w:p>
    <w:p w14:paraId="064460B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8.8.1 承包人提供的施工设备和临时设施</w:t>
      </w:r>
    </w:p>
    <w:p w14:paraId="43F2559D">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关于修建临时设施费用承担的约定：</w:t>
      </w:r>
      <w:r>
        <w:rPr>
          <w:rFonts w:hint="eastAsia" w:ascii="宋体" w:hAnsi="宋体" w:cs="宋体"/>
          <w:b/>
          <w:color w:val="auto"/>
          <w:kern w:val="0"/>
          <w:sz w:val="24"/>
          <w:szCs w:val="24"/>
          <w:highlight w:val="none"/>
          <w:u w:val="single"/>
        </w:rPr>
        <w:t>由承包人承担</w:t>
      </w:r>
      <w:r>
        <w:rPr>
          <w:rFonts w:hint="eastAsia" w:ascii="宋体" w:hAnsi="宋体" w:cs="宋体"/>
          <w:b/>
          <w:color w:val="auto"/>
          <w:kern w:val="0"/>
          <w:sz w:val="24"/>
          <w:szCs w:val="24"/>
          <w:highlight w:val="none"/>
          <w:u w:val="single"/>
          <w:lang w:eastAsia="zh-CN"/>
        </w:rPr>
        <w:t>。</w:t>
      </w:r>
    </w:p>
    <w:p w14:paraId="466FAD5A">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10. 变更</w:t>
      </w:r>
    </w:p>
    <w:p w14:paraId="3F5E355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10.1变更的范围</w:t>
      </w:r>
    </w:p>
    <w:p w14:paraId="2037CAC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关于变更的范围的约定：</w:t>
      </w:r>
      <w:r>
        <w:rPr>
          <w:rFonts w:hint="eastAsia" w:ascii="宋体" w:hAnsi="宋体" w:cs="宋体"/>
          <w:b/>
          <w:color w:val="auto"/>
          <w:kern w:val="0"/>
          <w:sz w:val="24"/>
          <w:szCs w:val="24"/>
          <w:highlight w:val="none"/>
          <w:u w:val="single"/>
        </w:rPr>
        <w:t>按通用条款约定。</w:t>
      </w:r>
    </w:p>
    <w:p w14:paraId="3E4EE95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10.2变更权</w:t>
      </w:r>
    </w:p>
    <w:p w14:paraId="1DDFE631">
      <w:pPr>
        <w:spacing w:line="460" w:lineRule="exact"/>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监理单位、承包人、设计单位根据工程需要提出工程变更，需由发包人组织审核其必要性、技术性、可行性、经济性等。设计单位出具变更通知单或变更图纸应经发包人审核同意签字盖章后，方可按工程变更实施。</w:t>
      </w:r>
    </w:p>
    <w:p w14:paraId="18870001">
      <w:pPr>
        <w:spacing w:line="460" w:lineRule="exact"/>
        <w:ind w:firstLine="482"/>
        <w:rPr>
          <w:rFonts w:ascii="宋体" w:hAnsi="宋体" w:cs="宋体"/>
          <w:color w:val="auto"/>
          <w:kern w:val="0"/>
          <w:sz w:val="24"/>
          <w:szCs w:val="24"/>
          <w:highlight w:val="none"/>
          <w:u w:val="single"/>
        </w:rPr>
      </w:pPr>
      <w:r>
        <w:rPr>
          <w:rFonts w:hint="eastAsia" w:ascii="宋体" w:hAnsi="宋体" w:cs="宋体"/>
          <w:b/>
          <w:color w:val="auto"/>
          <w:kern w:val="0"/>
          <w:sz w:val="24"/>
          <w:szCs w:val="24"/>
          <w:highlight w:val="none"/>
          <w:u w:val="single"/>
        </w:rPr>
        <w:t>承包人不得随意更改设计，如确因现场施工原因需要变更设计，需请设计院出具图纸或自行设计（有相应设计资质或委托有设计资质的单位）交设计院核定，除此之外因承包人自身原因导致的工程变更，承包人无权要求追加合同价款。如承包人擅自变更，发包人有权视情节严重情况，向承包人收取0.5～1万元的违约金。</w:t>
      </w:r>
    </w:p>
    <w:p w14:paraId="60B2183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10.4变更估价</w:t>
      </w:r>
    </w:p>
    <w:p w14:paraId="5B7644D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10.4.1 变更估价原则</w:t>
      </w:r>
    </w:p>
    <w:p w14:paraId="1EABBBD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（1）变更合同价款按下列方式进行：</w:t>
      </w:r>
      <w:r>
        <w:rPr>
          <w:rFonts w:hint="eastAsia" w:ascii="宋体" w:hAnsi="宋体" w:cs="宋体"/>
          <w:b/>
          <w:bCs/>
          <w:color w:val="auto"/>
          <w:spacing w:val="-2"/>
          <w:kern w:val="0"/>
          <w:sz w:val="24"/>
          <w:szCs w:val="24"/>
          <w:highlight w:val="none"/>
          <w:u w:val="single"/>
        </w:rPr>
        <w:t>按本合同条款中第12.1相应条款执行。</w:t>
      </w:r>
    </w:p>
    <w:p w14:paraId="6119AC6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10.7 暂估价：</w:t>
      </w:r>
    </w:p>
    <w:p w14:paraId="6CA5B3F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bookmarkStart w:id="203" w:name="_Toc312678035"/>
      <w:bookmarkStart w:id="204" w:name="_Toc312677509"/>
      <w:bookmarkStart w:id="205" w:name="_Toc318581177"/>
      <w:r>
        <w:rPr>
          <w:rFonts w:hint="eastAsia" w:ascii="宋体" w:hAnsi="宋体" w:cs="宋体"/>
          <w:color w:val="auto"/>
          <w:kern w:val="0"/>
          <w:sz w:val="24"/>
          <w:szCs w:val="24"/>
          <w:highlight w:val="none"/>
        </w:rPr>
        <w:t>0.7.1 依法必须招标的暂估价项目</w:t>
      </w:r>
      <w:bookmarkEnd w:id="203"/>
      <w:bookmarkEnd w:id="204"/>
      <w:bookmarkEnd w:id="205"/>
    </w:p>
    <w:p w14:paraId="0D333D8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对于依法必须招标的暂估价项目的确认和批准采取第</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种方式确定。</w:t>
      </w:r>
    </w:p>
    <w:p w14:paraId="005FEA5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10.7.2 不属于依法必须招标的暂估价项目</w:t>
      </w:r>
    </w:p>
    <w:p w14:paraId="11AF82F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对于不属于依法必须招标的暂估价项目的确认和批准采取第</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种方式确定。</w:t>
      </w:r>
    </w:p>
    <w:p w14:paraId="436E34C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第3种方式：承包人直接实施的暂估价项目</w:t>
      </w:r>
    </w:p>
    <w:p w14:paraId="0D2A1242">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承包人直接实施的暂估价项目的约定：</w:t>
      </w:r>
      <w:r>
        <w:rPr>
          <w:rFonts w:hint="eastAsia" w:ascii="宋体" w:hAnsi="宋体" w:cs="宋体"/>
          <w:color w:val="auto"/>
          <w:kern w:val="0"/>
          <w:sz w:val="24"/>
          <w:szCs w:val="24"/>
          <w:highlight w:val="none"/>
          <w:u w:val="single"/>
        </w:rPr>
        <w:t>/。</w:t>
      </w:r>
    </w:p>
    <w:p w14:paraId="7E13348C">
      <w:pPr>
        <w:tabs>
          <w:tab w:val="left" w:pos="0"/>
          <w:tab w:val="left" w:pos="993"/>
          <w:tab w:val="left" w:pos="1134"/>
        </w:tabs>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zh-CN"/>
        </w:rPr>
        <w:t>工程招标时暂估价材料竣工结算办法：</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u w:val="single"/>
        </w:rPr>
        <w:t>。</w:t>
      </w:r>
    </w:p>
    <w:p w14:paraId="0C4E1362">
      <w:pPr>
        <w:spacing w:line="460" w:lineRule="exact"/>
        <w:ind w:firstLine="480"/>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10.8 暂列金额：</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u w:val="single"/>
          <w:lang w:val="en-US" w:eastAsia="zh-CN"/>
        </w:rPr>
        <w:t xml:space="preserve"> </w:t>
      </w:r>
      <w:r>
        <w:rPr>
          <w:rFonts w:hint="eastAsia" w:ascii="宋体" w:hAnsi="宋体" w:cs="宋体"/>
          <w:b/>
          <w:bCs/>
          <w:color w:val="auto"/>
          <w:kern w:val="0"/>
          <w:sz w:val="24"/>
          <w:szCs w:val="24"/>
          <w:highlight w:val="none"/>
          <w:u w:val="single"/>
        </w:rPr>
        <w:t xml:space="preserve">    </w:t>
      </w:r>
      <w:r>
        <w:rPr>
          <w:rFonts w:hint="eastAsia" w:ascii="宋体" w:hAnsi="宋体" w:cs="宋体"/>
          <w:b/>
          <w:bCs/>
          <w:color w:val="auto"/>
          <w:kern w:val="0"/>
          <w:sz w:val="24"/>
          <w:szCs w:val="24"/>
          <w:highlight w:val="none"/>
        </w:rPr>
        <w:t>元</w:t>
      </w:r>
      <w:r>
        <w:rPr>
          <w:rFonts w:hint="eastAsia" w:ascii="宋体" w:hAnsi="宋体" w:cs="宋体"/>
          <w:color w:val="auto"/>
          <w:kern w:val="0"/>
          <w:sz w:val="24"/>
          <w:szCs w:val="24"/>
          <w:highlight w:val="none"/>
          <w:lang w:val="en-US" w:eastAsia="zh-CN"/>
        </w:rPr>
        <w:t>；</w:t>
      </w:r>
    </w:p>
    <w:p w14:paraId="2E866E66">
      <w:pPr>
        <w:spacing w:line="460" w:lineRule="exact"/>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合同当事人关于暂列金额使用的约定：</w:t>
      </w:r>
      <w:r>
        <w:rPr>
          <w:rFonts w:hint="eastAsia" w:ascii="宋体" w:hAnsi="宋体" w:cs="宋体"/>
          <w:b/>
          <w:color w:val="auto"/>
          <w:kern w:val="0"/>
          <w:sz w:val="24"/>
          <w:szCs w:val="24"/>
          <w:highlight w:val="none"/>
          <w:u w:val="single"/>
        </w:rPr>
        <w:t xml:space="preserve"> 暂列金是</w:t>
      </w:r>
      <w:r>
        <w:rPr>
          <w:rFonts w:hint="eastAsia" w:ascii="宋体" w:hAnsi="宋体" w:cs="宋体"/>
          <w:b/>
          <w:color w:val="auto"/>
          <w:kern w:val="0"/>
          <w:sz w:val="24"/>
          <w:szCs w:val="24"/>
          <w:highlight w:val="none"/>
          <w:u w:val="single"/>
          <w:lang w:val="en-US" w:eastAsia="zh-CN"/>
        </w:rPr>
        <w:t>发包人</w:t>
      </w:r>
      <w:r>
        <w:rPr>
          <w:rFonts w:hint="eastAsia" w:ascii="宋体" w:hAnsi="宋体" w:cs="宋体"/>
          <w:b/>
          <w:color w:val="auto"/>
          <w:kern w:val="0"/>
          <w:sz w:val="24"/>
          <w:szCs w:val="24"/>
          <w:highlight w:val="none"/>
          <w:u w:val="single"/>
        </w:rPr>
        <w:t>自行确定设立的，使用权归发包人，承包人无权使用此笔费用。此费用按实际发生经</w:t>
      </w:r>
      <w:r>
        <w:rPr>
          <w:rFonts w:hint="eastAsia" w:ascii="宋体" w:hAnsi="宋体" w:cs="宋体"/>
          <w:b/>
          <w:color w:val="auto"/>
          <w:kern w:val="0"/>
          <w:sz w:val="24"/>
          <w:szCs w:val="24"/>
          <w:highlight w:val="none"/>
          <w:u w:val="single"/>
          <w:lang w:val="en-US" w:eastAsia="zh-CN"/>
        </w:rPr>
        <w:t>发包人</w:t>
      </w:r>
      <w:r>
        <w:rPr>
          <w:rFonts w:hint="eastAsia" w:ascii="宋体" w:hAnsi="宋体" w:cs="宋体"/>
          <w:b/>
          <w:color w:val="auto"/>
          <w:kern w:val="0"/>
          <w:sz w:val="24"/>
          <w:szCs w:val="24"/>
          <w:highlight w:val="none"/>
          <w:u w:val="single"/>
        </w:rPr>
        <w:t>签证后确定全部使用、部分使用或不使用。暂列金不计入工程款付款的基数。</w:t>
      </w:r>
    </w:p>
    <w:p w14:paraId="20C6750F">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11. 价格调整</w:t>
      </w:r>
    </w:p>
    <w:p w14:paraId="2D84176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11.1 市场价格波动引起的调整</w:t>
      </w:r>
    </w:p>
    <w:p w14:paraId="38CD259E">
      <w:pPr>
        <w:spacing w:line="460" w:lineRule="exact"/>
        <w:ind w:firstLine="436"/>
        <w:rPr>
          <w:rFonts w:ascii="宋体" w:hAnsi="宋体" w:cs="宋体"/>
          <w:color w:val="auto"/>
          <w:kern w:val="0"/>
          <w:sz w:val="24"/>
          <w:szCs w:val="24"/>
          <w:highlight w:val="none"/>
        </w:rPr>
      </w:pPr>
      <w:r>
        <w:rPr>
          <w:rFonts w:hint="eastAsia" w:ascii="宋体" w:hAnsi="宋体" w:cs="宋体"/>
          <w:color w:val="auto"/>
          <w:kern w:val="0"/>
          <w:sz w:val="24"/>
          <w:szCs w:val="24"/>
          <w:highlight w:val="none"/>
        </w:rPr>
        <w:t>市场价格波动是否调整合同价格的约定：</w:t>
      </w:r>
      <w:r>
        <w:rPr>
          <w:rFonts w:hint="eastAsia" w:ascii="宋体" w:hAnsi="宋体" w:cs="宋体"/>
          <w:color w:val="auto"/>
          <w:kern w:val="0"/>
          <w:sz w:val="24"/>
          <w:szCs w:val="24"/>
          <w:highlight w:val="none"/>
          <w:u w:val="single"/>
        </w:rPr>
        <w:t xml:space="preserve">不因市场价格波动而调整 </w:t>
      </w:r>
      <w:r>
        <w:rPr>
          <w:rFonts w:hint="eastAsia" w:ascii="宋体" w:hAnsi="宋体" w:cs="宋体"/>
          <w:color w:val="auto"/>
          <w:kern w:val="0"/>
          <w:sz w:val="24"/>
          <w:szCs w:val="24"/>
          <w:highlight w:val="none"/>
        </w:rPr>
        <w:t>。</w:t>
      </w:r>
    </w:p>
    <w:p w14:paraId="5EB8D005">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12. 合同价格、计量与支付</w:t>
      </w:r>
    </w:p>
    <w:p w14:paraId="3716E97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12.1单价合同。</w:t>
      </w:r>
    </w:p>
    <w:p w14:paraId="53C52C3D">
      <w:pPr>
        <w:spacing w:line="360" w:lineRule="auto"/>
        <w:ind w:firstLine="480"/>
        <w:rPr>
          <w:rFonts w:ascii="宋体" w:hAnsi="宋体" w:cs="宋体"/>
          <w:b/>
          <w:color w:val="auto"/>
          <w:spacing w:val="-2"/>
          <w:kern w:val="0"/>
          <w:sz w:val="24"/>
          <w:szCs w:val="24"/>
          <w:highlight w:val="none"/>
        </w:rPr>
      </w:pPr>
      <w:r>
        <w:rPr>
          <w:rFonts w:hint="eastAsia" w:ascii="宋体" w:hAnsi="宋体" w:cs="宋体"/>
          <w:color w:val="auto"/>
          <w:kern w:val="0"/>
          <w:sz w:val="24"/>
          <w:szCs w:val="24"/>
          <w:highlight w:val="none"/>
        </w:rPr>
        <w:t>综合单价包含的风险范围：</w:t>
      </w:r>
      <w:r>
        <w:rPr>
          <w:rFonts w:hint="eastAsia" w:ascii="宋体" w:hAnsi="宋体" w:cs="宋体"/>
          <w:b/>
          <w:color w:val="auto"/>
          <w:spacing w:val="-2"/>
          <w:kern w:val="0"/>
          <w:sz w:val="24"/>
          <w:szCs w:val="24"/>
          <w:highlight w:val="none"/>
        </w:rPr>
        <w:t>除下述风险范围内容可调整外，其余不可调整。</w:t>
      </w:r>
    </w:p>
    <w:p w14:paraId="2043D09D">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（1）工程量偏差；</w:t>
      </w:r>
    </w:p>
    <w:p w14:paraId="6DD01738">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（2）工程量清单缺、漏项；</w:t>
      </w:r>
    </w:p>
    <w:p w14:paraId="6B40EA0E">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（3）工程变更；</w:t>
      </w:r>
    </w:p>
    <w:p w14:paraId="41E6521B">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（4）现场签证；</w:t>
      </w:r>
    </w:p>
    <w:p w14:paraId="58454FBD">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（5）暂列金额及暂估价；</w:t>
      </w:r>
    </w:p>
    <w:p w14:paraId="1C88F929">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（6）发承包人双方约定的其他调整事项。</w:t>
      </w:r>
    </w:p>
    <w:p w14:paraId="3F3977FF">
      <w:pPr>
        <w:spacing w:line="360" w:lineRule="auto"/>
        <w:ind w:firstLine="480"/>
        <w:rPr>
          <w:rFonts w:ascii="宋体" w:hAnsi="宋体" w:cs="宋体"/>
          <w:b/>
          <w:bCs/>
          <w:color w:val="auto"/>
          <w:kern w:val="0"/>
          <w:sz w:val="24"/>
          <w:szCs w:val="24"/>
          <w:highlight w:val="none"/>
          <w:u w:val="single"/>
        </w:rPr>
      </w:pPr>
      <w:r>
        <w:rPr>
          <w:rFonts w:hint="eastAsia" w:ascii="宋体" w:hAnsi="宋体" w:cs="宋体"/>
          <w:color w:val="auto"/>
          <w:kern w:val="0"/>
          <w:sz w:val="24"/>
          <w:szCs w:val="24"/>
          <w:highlight w:val="none"/>
        </w:rPr>
        <w:t>风险费用的计算方法：</w:t>
      </w:r>
      <w:r>
        <w:rPr>
          <w:rFonts w:hint="eastAsia" w:ascii="宋体" w:hAnsi="宋体" w:cs="宋体"/>
          <w:bCs/>
          <w:color w:val="auto"/>
          <w:kern w:val="0"/>
          <w:sz w:val="24"/>
          <w:szCs w:val="24"/>
          <w:highlight w:val="none"/>
          <w:u w:val="single"/>
        </w:rPr>
        <w:t>承包人在投标报价时已经充分考虑，竣工结算时风险范围以内不作任何调整</w:t>
      </w:r>
      <w:r>
        <w:rPr>
          <w:rFonts w:hint="eastAsia" w:ascii="宋体" w:hAnsi="宋体" w:cs="宋体"/>
          <w:b/>
          <w:bCs/>
          <w:color w:val="auto"/>
          <w:kern w:val="0"/>
          <w:sz w:val="24"/>
          <w:szCs w:val="24"/>
          <w:highlight w:val="none"/>
          <w:u w:val="single"/>
        </w:rPr>
        <w:t>。</w:t>
      </w:r>
    </w:p>
    <w:p w14:paraId="1BC21D80">
      <w:pPr>
        <w:spacing w:line="360" w:lineRule="auto"/>
        <w:ind w:firstLine="48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风险范围以外合同价款调整范围及方法：</w:t>
      </w:r>
    </w:p>
    <w:p w14:paraId="77E4B653">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（1）本工程以投标截止日前28天为基准，其后国家的法律、法规、规章和政策发生变化影响工程造价，按照省级或行业建设主管部门或其授权的工程造价管理机构发布的规定及合同的约定调整合同价格。</w:t>
      </w:r>
    </w:p>
    <w:p w14:paraId="737CA253">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（2）因非承包人原因引起原有工程量清单项目的工程量增减，即</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提供的工程量清单漏项或缺项，或因设计变更及</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要求变动的按照以下的计价办法结算：</w:t>
      </w:r>
    </w:p>
    <w:p w14:paraId="7EEC3E77">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A、工程量清单漏项或缺项、变更（或新增项目）引起新的工程量清单项目，其相应综合单价由承包人按本</w:t>
      </w:r>
      <w:r>
        <w:rPr>
          <w:rFonts w:hint="eastAsia" w:ascii="宋体" w:hAnsi="宋体" w:cs="宋体"/>
          <w:color w:val="auto"/>
          <w:kern w:val="0"/>
          <w:sz w:val="24"/>
          <w:szCs w:val="24"/>
          <w:highlight w:val="none"/>
          <w:lang w:val="en-US" w:eastAsia="zh-CN"/>
        </w:rPr>
        <w:t>磋商</w:t>
      </w:r>
      <w:r>
        <w:rPr>
          <w:rFonts w:hint="eastAsia" w:ascii="宋体" w:hAnsi="宋体" w:cs="宋体"/>
          <w:color w:val="auto"/>
          <w:kern w:val="0"/>
          <w:sz w:val="24"/>
          <w:szCs w:val="24"/>
          <w:highlight w:val="none"/>
        </w:rPr>
        <w:t>文件</w:t>
      </w:r>
      <w:r>
        <w:rPr>
          <w:rFonts w:hint="eastAsia" w:ascii="宋体" w:hAnsi="宋体" w:cs="宋体"/>
          <w:color w:val="auto"/>
          <w:kern w:val="0"/>
          <w:sz w:val="24"/>
          <w:szCs w:val="24"/>
          <w:highlight w:val="none"/>
          <w:lang w:val="en-US" w:eastAsia="zh-CN"/>
        </w:rPr>
        <w:t>最高限价</w:t>
      </w:r>
      <w:r>
        <w:rPr>
          <w:rFonts w:hint="eastAsia" w:ascii="宋体" w:hAnsi="宋体" w:cs="宋体"/>
          <w:color w:val="auto"/>
          <w:kern w:val="0"/>
          <w:sz w:val="24"/>
          <w:szCs w:val="24"/>
          <w:highlight w:val="none"/>
        </w:rPr>
        <w:t>的计价方法提出，并按投标报价相对</w:t>
      </w:r>
      <w:r>
        <w:rPr>
          <w:rFonts w:hint="eastAsia" w:ascii="宋体" w:hAnsi="宋体" w:cs="宋体"/>
          <w:color w:val="auto"/>
          <w:kern w:val="0"/>
          <w:sz w:val="24"/>
          <w:szCs w:val="24"/>
          <w:highlight w:val="none"/>
          <w:lang w:val="en-US" w:eastAsia="zh-CN"/>
        </w:rPr>
        <w:t>最高限价</w:t>
      </w:r>
      <w:r>
        <w:rPr>
          <w:rFonts w:hint="eastAsia" w:ascii="宋体" w:hAnsi="宋体" w:cs="宋体"/>
          <w:color w:val="auto"/>
          <w:kern w:val="0"/>
          <w:sz w:val="24"/>
          <w:szCs w:val="24"/>
          <w:highlight w:val="none"/>
        </w:rPr>
        <w:t>的下浮率下浮（承包人报价浮动率=（1-中标价/</w:t>
      </w:r>
      <w:r>
        <w:rPr>
          <w:rFonts w:hint="eastAsia" w:ascii="宋体" w:hAnsi="宋体" w:cs="宋体"/>
          <w:color w:val="auto"/>
          <w:kern w:val="0"/>
          <w:sz w:val="24"/>
          <w:szCs w:val="24"/>
          <w:highlight w:val="none"/>
          <w:lang w:val="en-US" w:eastAsia="zh-CN"/>
        </w:rPr>
        <w:t>最高限价</w:t>
      </w:r>
      <w:r>
        <w:rPr>
          <w:rFonts w:hint="eastAsia" w:ascii="宋体" w:hAnsi="宋体" w:cs="宋体"/>
          <w:color w:val="auto"/>
          <w:kern w:val="0"/>
          <w:sz w:val="24"/>
          <w:szCs w:val="24"/>
          <w:highlight w:val="none"/>
        </w:rPr>
        <w:t>）×100%，中标价、</w:t>
      </w:r>
      <w:r>
        <w:rPr>
          <w:rFonts w:hint="eastAsia" w:ascii="宋体" w:hAnsi="宋体" w:cs="宋体"/>
          <w:color w:val="auto"/>
          <w:kern w:val="0"/>
          <w:sz w:val="24"/>
          <w:szCs w:val="24"/>
          <w:highlight w:val="none"/>
          <w:lang w:val="en-US" w:eastAsia="zh-CN"/>
        </w:rPr>
        <w:t>最高限价</w:t>
      </w:r>
      <w:r>
        <w:rPr>
          <w:rFonts w:hint="eastAsia" w:ascii="宋体" w:hAnsi="宋体" w:cs="宋体"/>
          <w:color w:val="auto"/>
          <w:kern w:val="0"/>
          <w:sz w:val="24"/>
          <w:szCs w:val="24"/>
          <w:highlight w:val="none"/>
        </w:rPr>
        <w:t>须扣除暂估价、暂列金额及相应的规费税金），经监理方、发包人确认后作为结算依据。</w:t>
      </w:r>
    </w:p>
    <w:p w14:paraId="7C54D2F7">
      <w:pPr>
        <w:spacing w:line="360" w:lineRule="auto"/>
        <w:ind w:firstLine="720"/>
        <w:rPr>
          <w:rFonts w:ascii="宋体" w:hAnsi="宋体" w:cs="宋体"/>
          <w:color w:val="auto"/>
          <w:kern w:val="0"/>
          <w:sz w:val="24"/>
          <w:szCs w:val="24"/>
          <w:highlight w:val="none"/>
        </w:rPr>
      </w:pPr>
      <w:r>
        <w:rPr>
          <w:rFonts w:hint="eastAsia" w:ascii="宋体" w:hAnsi="宋体" w:cs="宋体"/>
          <w:color w:val="auto"/>
          <w:kern w:val="0"/>
          <w:sz w:val="24"/>
          <w:szCs w:val="24"/>
          <w:highlight w:val="none"/>
        </w:rPr>
        <w:t>B、变更引起工程量增减</w:t>
      </w:r>
    </w:p>
    <w:p w14:paraId="6385E5CF">
      <w:pPr>
        <w:spacing w:line="360" w:lineRule="auto"/>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（1）当变更引起工程量增减在15%以内（含15%），</w:t>
      </w:r>
      <w:r>
        <w:rPr>
          <w:rFonts w:hint="eastAsia" w:ascii="宋体" w:hAnsi="宋体" w:cs="宋体"/>
          <w:b/>
          <w:color w:val="auto"/>
          <w:kern w:val="0"/>
          <w:sz w:val="24"/>
          <w:szCs w:val="24"/>
          <w:highlight w:val="none"/>
        </w:rPr>
        <w:t>S= N2* Q1；</w:t>
      </w:r>
    </w:p>
    <w:p w14:paraId="022B9368">
      <w:pPr>
        <w:spacing w:line="360" w:lineRule="auto"/>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（2）工程量增加在15%以上时， </w:t>
      </w:r>
    </w:p>
    <w:p w14:paraId="17F44ABD">
      <w:pPr>
        <w:spacing w:line="360" w:lineRule="auto"/>
        <w:ind w:firstLine="71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当Q1&lt;Q2,S= N2* Q1</w:t>
      </w:r>
    </w:p>
    <w:p w14:paraId="69E6529B">
      <w:pPr>
        <w:spacing w:line="360" w:lineRule="auto"/>
        <w:ind w:firstLine="718"/>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当Q1&gt;Q2,S= 1.15N1*Q1+（N2-1.15N1）* Q2</w:t>
      </w:r>
    </w:p>
    <w:p w14:paraId="591C327C">
      <w:pPr>
        <w:spacing w:line="360" w:lineRule="auto"/>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（3）工程量减少在15%以上时， </w:t>
      </w:r>
    </w:p>
    <w:p w14:paraId="7363D55A">
      <w:pPr>
        <w:spacing w:line="360" w:lineRule="auto"/>
        <w:ind w:firstLine="836"/>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当Q1&gt; Q2，S=N2*Q1</w:t>
      </w:r>
    </w:p>
    <w:p w14:paraId="69323925">
      <w:pPr>
        <w:spacing w:line="360" w:lineRule="auto"/>
        <w:ind w:firstLine="836"/>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当Q1&lt; Q2，S=N2*Q1+N2*（Q2-Q1）*30%，若该项投标价为不平衡报价的，则S= N2*Q1</w:t>
      </w:r>
    </w:p>
    <w:p w14:paraId="6ECC5518">
      <w:pPr>
        <w:spacing w:line="360" w:lineRule="auto"/>
        <w:ind w:firstLine="718"/>
        <w:rPr>
          <w:rFonts w:ascii="宋体" w:hAnsi="宋体" w:cs="宋体"/>
          <w:color w:val="auto"/>
          <w:kern w:val="0"/>
          <w:sz w:val="24"/>
          <w:szCs w:val="24"/>
          <w:highlight w:val="none"/>
        </w:rPr>
      </w:pPr>
      <w:r>
        <w:rPr>
          <w:rFonts w:hint="eastAsia" w:ascii="宋体" w:hAnsi="宋体" w:cs="宋体"/>
          <w:b/>
          <w:color w:val="auto"/>
          <w:kern w:val="0"/>
          <w:sz w:val="24"/>
          <w:szCs w:val="24"/>
          <w:highlight w:val="none"/>
        </w:rPr>
        <w:t>注：审定价S、标底量N1、审定量N2、投标价Q1、按上述A原则组价下浮价Q2</w:t>
      </w:r>
    </w:p>
    <w:p w14:paraId="73085B2E">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因分部分项工程量清单漏项或非承包人原因的工程变更，造成施工组织设计或施工方案变更，引起措施项目发生变化时，措施项目费应按下列原则调整：总价措施项目费除现场安全文明施工措施费以核定的为准外，其余总价措施费一律不作调整。</w:t>
      </w:r>
    </w:p>
    <w:p w14:paraId="6D0E15C1">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（4）人工工资不调整。</w:t>
      </w:r>
    </w:p>
    <w:p w14:paraId="1D6FDBD2">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（5）暂列金额及暂估价详见合同相关条款。</w:t>
      </w:r>
    </w:p>
    <w:p w14:paraId="3CB3C85B">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r>
        <w:rPr>
          <w:rFonts w:hint="eastAsia" w:ascii="宋体" w:hAnsi="宋体" w:cs="宋体"/>
          <w:color w:val="auto"/>
          <w:kern w:val="0"/>
          <w:sz w:val="24"/>
          <w:szCs w:val="24"/>
          <w:highlight w:val="none"/>
          <w:shd w:val="clear" w:color="auto" w:fill="FFFFFF"/>
        </w:rPr>
        <w:t>市场价格波动引起的材料价格调整的约定：不调整，</w:t>
      </w:r>
      <w:r>
        <w:rPr>
          <w:rFonts w:hint="eastAsia" w:ascii="宋体" w:hAnsi="宋体" w:cs="宋体"/>
          <w:color w:val="auto"/>
          <w:kern w:val="0"/>
          <w:sz w:val="24"/>
          <w:szCs w:val="24"/>
          <w:highlight w:val="none"/>
        </w:rPr>
        <w:t>建筑材料价格上涨或下降的，其差价均由承包人承担或受益。</w:t>
      </w:r>
    </w:p>
    <w:p w14:paraId="279118BF">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2、总价合同。</w:t>
      </w:r>
    </w:p>
    <w:p w14:paraId="58F8C3F1">
      <w:pPr>
        <w:spacing w:line="360" w:lineRule="auto"/>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总价包含的风险范围：</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1DD9B60C">
      <w:pPr>
        <w:spacing w:line="360" w:lineRule="auto"/>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风险费用的计算方法：</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07CAAFF0">
      <w:pPr>
        <w:spacing w:line="360" w:lineRule="auto"/>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风险范围以外合同价格的调整方法：</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4059422A">
      <w:pPr>
        <w:spacing w:line="360" w:lineRule="auto"/>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3、其他价格方式：</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4884E30C">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 预付款</w:t>
      </w:r>
    </w:p>
    <w:p w14:paraId="33013082">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12.2.1 预付款的支付</w:t>
      </w:r>
    </w:p>
    <w:p w14:paraId="0FEBAB0F">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预付款支付比例或金额：</w:t>
      </w:r>
      <w:r>
        <w:rPr>
          <w:rFonts w:hint="eastAsia" w:ascii="宋体" w:hAnsi="宋体" w:cs="宋体"/>
          <w:b/>
          <w:bCs/>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5272691C">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预付款支付期限：</w:t>
      </w:r>
      <w:r>
        <w:rPr>
          <w:rFonts w:hint="eastAsia" w:ascii="宋体" w:hAnsi="宋体" w:cs="宋体"/>
          <w:b/>
          <w:bCs/>
          <w:color w:val="auto"/>
          <w:kern w:val="0"/>
          <w:sz w:val="24"/>
          <w:szCs w:val="24"/>
          <w:highlight w:val="none"/>
          <w:u w:val="single"/>
        </w:rPr>
        <w:t>/</w:t>
      </w:r>
      <w:r>
        <w:rPr>
          <w:rFonts w:hint="eastAsia" w:ascii="宋体" w:hAnsi="宋体" w:cs="宋体"/>
          <w:color w:val="auto"/>
          <w:kern w:val="0"/>
          <w:sz w:val="24"/>
          <w:szCs w:val="24"/>
          <w:highlight w:val="none"/>
        </w:rPr>
        <w:t>。</w:t>
      </w:r>
    </w:p>
    <w:p w14:paraId="2FA9873E">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预付款扣回的方式：</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17D0AC74">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12.2.2 预付款担保</w:t>
      </w:r>
    </w:p>
    <w:p w14:paraId="01107413">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承包人提交预付款担保的期限：</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14E7AA94">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预付款担保的形式为：</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0ECA84BF">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 计量</w:t>
      </w:r>
    </w:p>
    <w:p w14:paraId="599B56FC">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12.3.1 计量原则</w:t>
      </w:r>
    </w:p>
    <w:p w14:paraId="2DFA9225">
      <w:pPr>
        <w:spacing w:line="360" w:lineRule="auto"/>
        <w:ind w:firstLine="48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工程量计算规则：</w:t>
      </w:r>
      <w:r>
        <w:rPr>
          <w:rFonts w:hint="eastAsia" w:ascii="宋体" w:hAnsi="宋体" w:cs="宋体"/>
          <w:b/>
          <w:color w:val="auto"/>
          <w:kern w:val="0"/>
          <w:sz w:val="24"/>
          <w:szCs w:val="24"/>
          <w:highlight w:val="none"/>
          <w:u w:val="single"/>
        </w:rPr>
        <w:t>本工程施工图及其工程量清单</w:t>
      </w:r>
      <w:r>
        <w:rPr>
          <w:rFonts w:hint="eastAsia" w:ascii="宋体" w:hAnsi="宋体" w:cs="宋体"/>
          <w:b/>
          <w:color w:val="auto"/>
          <w:kern w:val="0"/>
          <w:sz w:val="24"/>
          <w:szCs w:val="24"/>
          <w:highlight w:val="none"/>
          <w:u w:val="single"/>
          <w:lang w:eastAsia="zh-CN"/>
        </w:rPr>
        <w:t>、</w:t>
      </w:r>
      <w:r>
        <w:rPr>
          <w:rFonts w:hint="eastAsia" w:ascii="宋体" w:hAnsi="宋体" w:cs="宋体"/>
          <w:b/>
          <w:color w:val="auto"/>
          <w:kern w:val="0"/>
          <w:sz w:val="24"/>
          <w:szCs w:val="24"/>
          <w:highlight w:val="none"/>
          <w:u w:val="single"/>
          <w:lang w:val="en-US" w:eastAsia="zh-CN"/>
        </w:rPr>
        <w:t>《建设工程工程量清单计价规范》（GB50500-2013）、《房屋建筑与装饰工程工程量计算规范》（GB50854-2013）、《通用安装工程工程量计算规范》（GB50856-2013）、《园林绿化工程工程量计算规范》（GB50858-2013）、《市政工程工程量计算规范》（GB50857-2013）、《江苏省建筑与装饰工程计价定额》（2014）、《江苏省仿古建筑及园林工程计价表》（2007年）、《江苏省修缮建筑工程计价定额》（2007）、《江苏省市政工程计价定额》（2014年）、《江苏省安装工程计价定额》（2014年）、《江苏省建设工程费用定额》（2014年）以及相应补充规定和现行省、市有关规定</w:t>
      </w:r>
      <w:r>
        <w:rPr>
          <w:rFonts w:hint="eastAsia" w:ascii="宋体" w:hAnsi="宋体" w:cs="宋体"/>
          <w:b/>
          <w:color w:val="auto"/>
          <w:kern w:val="0"/>
          <w:sz w:val="24"/>
          <w:szCs w:val="24"/>
          <w:highlight w:val="none"/>
          <w:u w:val="single"/>
        </w:rPr>
        <w:t>，征税方式采用一般计税法。</w:t>
      </w:r>
    </w:p>
    <w:p w14:paraId="6335D725">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12.3.2 计量周期</w:t>
      </w:r>
    </w:p>
    <w:p w14:paraId="6F63686F">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关于计量周期的约定：</w:t>
      </w:r>
      <w:r>
        <w:rPr>
          <w:rFonts w:hint="eastAsia" w:ascii="宋体" w:hAnsi="宋体" w:cs="宋体"/>
          <w:b/>
          <w:bCs/>
          <w:color w:val="auto"/>
          <w:kern w:val="0"/>
          <w:sz w:val="24"/>
          <w:szCs w:val="24"/>
          <w:highlight w:val="none"/>
          <w:u w:val="single"/>
        </w:rPr>
        <w:t>/</w:t>
      </w:r>
      <w:r>
        <w:rPr>
          <w:rFonts w:hint="eastAsia" w:ascii="宋体" w:hAnsi="宋体" w:cs="宋体"/>
          <w:color w:val="auto"/>
          <w:kern w:val="0"/>
          <w:sz w:val="24"/>
          <w:szCs w:val="24"/>
          <w:highlight w:val="none"/>
        </w:rPr>
        <w:t>。</w:t>
      </w:r>
    </w:p>
    <w:p w14:paraId="09E0D530">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12.3.3 单价合同的计量  </w:t>
      </w:r>
    </w:p>
    <w:p w14:paraId="5A33AC7C">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关于单价合同计量的约定：</w:t>
      </w:r>
      <w:r>
        <w:rPr>
          <w:rFonts w:hint="eastAsia" w:ascii="宋体" w:hAnsi="宋体" w:cs="宋体"/>
          <w:b/>
          <w:color w:val="auto"/>
          <w:kern w:val="0"/>
          <w:sz w:val="24"/>
          <w:szCs w:val="24"/>
          <w:highlight w:val="none"/>
          <w:u w:val="single"/>
        </w:rPr>
        <w:t>竣工结算的工程量按发承包双方在合同中约定应予计量且实际完成的工程量确定，完成发包人要求的合同以外的零星工作或发生非承包人责任事件的工程量按现场签证确定。</w:t>
      </w:r>
    </w:p>
    <w:p w14:paraId="035156D2">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 工程进度款支付</w:t>
      </w:r>
    </w:p>
    <w:p w14:paraId="0B724D1E">
      <w:pPr>
        <w:widowControl/>
        <w:spacing w:line="360" w:lineRule="auto"/>
        <w:ind w:firstLine="480"/>
        <w:rPr>
          <w:rFonts w:ascii="宋体" w:hAnsi="宋体" w:cs="宋体"/>
          <w:bCs/>
          <w:color w:val="auto"/>
          <w:kern w:val="0"/>
          <w:sz w:val="24"/>
          <w:szCs w:val="24"/>
          <w:highlight w:val="none"/>
          <w:u w:val="single"/>
        </w:rPr>
      </w:pPr>
      <w:r>
        <w:rPr>
          <w:rFonts w:hint="eastAsia" w:ascii="宋体" w:hAnsi="宋体" w:cs="宋体"/>
          <w:bCs/>
          <w:color w:val="auto"/>
          <w:kern w:val="0"/>
          <w:sz w:val="24"/>
          <w:szCs w:val="24"/>
          <w:highlight w:val="none"/>
          <w:u w:val="single"/>
        </w:rPr>
        <w:t>12.4.1 付款周期</w:t>
      </w:r>
    </w:p>
    <w:p w14:paraId="4EC36A06">
      <w:pPr>
        <w:spacing w:line="360" w:lineRule="auto"/>
        <w:ind w:firstLine="480"/>
        <w:rPr>
          <w:rFonts w:ascii="宋体" w:hAnsi="宋体" w:cs="宋体"/>
          <w:b/>
          <w:color w:val="auto"/>
          <w:kern w:val="0"/>
          <w:sz w:val="24"/>
          <w:szCs w:val="24"/>
          <w:highlight w:val="none"/>
          <w:u w:val="single"/>
        </w:rPr>
      </w:pPr>
      <w:r>
        <w:rPr>
          <w:rFonts w:hint="eastAsia" w:ascii="宋体" w:hAnsi="宋体" w:cs="宋体"/>
          <w:bCs/>
          <w:color w:val="auto"/>
          <w:kern w:val="0"/>
          <w:sz w:val="24"/>
          <w:szCs w:val="24"/>
          <w:highlight w:val="none"/>
          <w:u w:val="single"/>
        </w:rPr>
        <w:t>关于付款周期的约定</w:t>
      </w:r>
      <w:r>
        <w:rPr>
          <w:rFonts w:hint="eastAsia" w:ascii="宋体" w:hAnsi="宋体" w:cs="宋体"/>
          <w:b/>
          <w:color w:val="auto"/>
          <w:kern w:val="0"/>
          <w:sz w:val="24"/>
          <w:szCs w:val="24"/>
          <w:highlight w:val="none"/>
          <w:u w:val="single"/>
        </w:rPr>
        <w:t>：</w:t>
      </w:r>
    </w:p>
    <w:p w14:paraId="79D52E3C">
      <w:pPr>
        <w:spacing w:line="360" w:lineRule="auto"/>
        <w:ind w:firstLine="480"/>
        <w:rPr>
          <w:rFonts w:ascii="宋体" w:hAnsi="宋体" w:cs="宋体"/>
          <w:bCs/>
          <w:color w:val="auto"/>
          <w:kern w:val="0"/>
          <w:sz w:val="24"/>
          <w:szCs w:val="24"/>
          <w:highlight w:val="none"/>
          <w:u w:val="single"/>
        </w:rPr>
      </w:pPr>
      <w:r>
        <w:rPr>
          <w:rFonts w:hint="eastAsia" w:ascii="宋体" w:hAnsi="宋体" w:cs="宋体"/>
          <w:b/>
          <w:color w:val="auto"/>
          <w:kern w:val="0"/>
          <w:sz w:val="24"/>
          <w:szCs w:val="24"/>
          <w:highlight w:val="none"/>
          <w:u w:val="single"/>
        </w:rPr>
        <w:t>（1）本项目履约保证金为合同总价的10%，承包人须在合同签订前缴纳，验收合格后无息返还。</w:t>
      </w:r>
      <w:r>
        <w:rPr>
          <w:rFonts w:hint="eastAsia" w:ascii="宋体" w:hAnsi="宋体" w:cs="宋体"/>
          <w:bCs/>
          <w:color w:val="auto"/>
          <w:kern w:val="0"/>
          <w:sz w:val="24"/>
          <w:szCs w:val="24"/>
          <w:highlight w:val="none"/>
          <w:u w:val="single"/>
        </w:rPr>
        <w:t>为落实“关于在全省政府采购领域推行电子履约保函（保险）的通知（苏财购〔2023〕150号）“，请按照文件要求支持和鼓励供应商在江苏政府采购电子履约保函（保险）平台进行电子履约保函（保险）的开具替代履约保证金。平台可通过域名www.jsdzbh.com直接访问，也可通过江苏省政府采购网、“苏采云”系统链接访问。此项工作是为进一步优化政府采购营商环境，规范我省政府采购履约保证金管理，持续降低供应商参与政府采购成本的重要工作，各单位如有疑问或咨询，可电话联系025-52817676。承包人可按自身实际情况，选择履约保证金手续办理方式。</w:t>
      </w:r>
    </w:p>
    <w:p w14:paraId="0AC0CE0D">
      <w:pPr>
        <w:spacing w:line="360" w:lineRule="auto"/>
        <w:ind w:firstLine="560"/>
        <w:rPr>
          <w:rFonts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rPr>
        <w:t>（2）承包人</w:t>
      </w:r>
      <w:r>
        <w:rPr>
          <w:rFonts w:hint="eastAsia" w:ascii="宋体" w:hAnsi="宋体" w:cs="宋体"/>
          <w:b/>
          <w:bCs/>
          <w:color w:val="auto"/>
          <w:kern w:val="0"/>
          <w:sz w:val="24"/>
          <w:szCs w:val="24"/>
          <w:highlight w:val="none"/>
          <w:u w:val="single"/>
          <w:lang w:val="en-US" w:eastAsia="zh-CN"/>
        </w:rPr>
        <w:t>足额缴纳履约保证金、签订合同后，承包人提交付款申请，发包人审核后七日内支付合同总价的30%；所有材料进场并经发包人确认后，承包人提交付款申请，发包人审核后七日内支付合同总价的10%；全部工程竣工并经验收合格后，承包人提交全部工程资料及付款申请，发包人审核后七日内支付合同总价的30%；完成工程审计后，承包人提交付款申请，发包人审核后七日内付至审计价的97%；余款于验收合格满1年且无质量问题后支付。每次支付前，</w:t>
      </w:r>
      <w:r>
        <w:rPr>
          <w:rFonts w:hint="eastAsia" w:ascii="宋体" w:hAnsi="宋体" w:cs="宋体"/>
          <w:b/>
          <w:bCs/>
          <w:color w:val="auto"/>
          <w:kern w:val="0"/>
          <w:sz w:val="24"/>
          <w:szCs w:val="24"/>
          <w:highlight w:val="none"/>
          <w:u w:val="single"/>
        </w:rPr>
        <w:t>承包人</w:t>
      </w:r>
      <w:r>
        <w:rPr>
          <w:rFonts w:hint="eastAsia" w:ascii="宋体" w:hAnsi="宋体" w:cs="宋体"/>
          <w:b/>
          <w:bCs/>
          <w:color w:val="auto"/>
          <w:kern w:val="0"/>
          <w:sz w:val="24"/>
          <w:szCs w:val="24"/>
          <w:highlight w:val="none"/>
          <w:u w:val="single"/>
          <w:lang w:val="en-US" w:eastAsia="zh-CN"/>
        </w:rPr>
        <w:t>均应出具税务部门开具的相应金额的税务发票，承包人未提供合法有效的发票的，发包人有权延迟付款并且不承担违约责任。</w:t>
      </w:r>
    </w:p>
    <w:p w14:paraId="56338DDC">
      <w:pPr>
        <w:spacing w:line="360" w:lineRule="auto"/>
        <w:ind w:firstLine="460"/>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w:t>
      </w:r>
      <w:r>
        <w:rPr>
          <w:rFonts w:hint="eastAsia" w:ascii="宋体" w:hAnsi="宋体" w:cs="宋体"/>
          <w:b/>
          <w:color w:val="auto"/>
          <w:kern w:val="0"/>
          <w:sz w:val="24"/>
          <w:szCs w:val="24"/>
          <w:highlight w:val="none"/>
          <w:u w:val="single"/>
          <w:lang w:val="en-US" w:eastAsia="zh-CN"/>
        </w:rPr>
        <w:t>3</w:t>
      </w:r>
      <w:r>
        <w:rPr>
          <w:rFonts w:hint="eastAsia" w:ascii="宋体" w:hAnsi="宋体" w:cs="宋体"/>
          <w:b/>
          <w:color w:val="auto"/>
          <w:kern w:val="0"/>
          <w:sz w:val="24"/>
          <w:szCs w:val="24"/>
          <w:highlight w:val="none"/>
          <w:u w:val="single"/>
        </w:rPr>
        <w:t>）所有款项由发包人按相关财务支付规定办理支付手续，不得故意拖延支付时间。</w:t>
      </w:r>
    </w:p>
    <w:p w14:paraId="59DCABA7">
      <w:pPr>
        <w:spacing w:line="360" w:lineRule="auto"/>
        <w:ind w:firstLine="460"/>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rPr>
        <w:t>说明：</w:t>
      </w:r>
    </w:p>
    <w:p w14:paraId="1F265227">
      <w:pPr>
        <w:spacing w:line="360" w:lineRule="auto"/>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（1）履约保证金在工程竣工验收合格后退还（无息）。承包人不得因工程造价低，造成质量、停工等问题，如有发生，该保证金不退。</w:t>
      </w:r>
    </w:p>
    <w:p w14:paraId="145A729F">
      <w:pPr>
        <w:spacing w:line="360" w:lineRule="auto"/>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（2）承包人不得因拖欠材料商、分包商等工程款而影响工程进度和质量，否则承包人除承担违约责任外，还需承担违约金，金额为拖欠款的 20%。</w:t>
      </w:r>
    </w:p>
    <w:p w14:paraId="5F3399D9">
      <w:pPr>
        <w:spacing w:line="360" w:lineRule="auto"/>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（3）发包人有权直接扣除按合同规定对承包人的各项违约金，并以工程联系单或违约单的形式发放给承包人。</w:t>
      </w:r>
    </w:p>
    <w:p w14:paraId="69FDECDB">
      <w:pPr>
        <w:spacing w:line="360" w:lineRule="auto"/>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（4）所有工程付款必须经总监理工程师和发包方项目负责人签发付款证书后发包人才予以支付。</w:t>
      </w:r>
    </w:p>
    <w:p w14:paraId="12A456E0">
      <w:pPr>
        <w:spacing w:line="360" w:lineRule="auto"/>
        <w:ind w:firstLine="482"/>
        <w:rPr>
          <w:rFonts w:ascii="宋体" w:hAnsi="宋体" w:cs="宋体"/>
          <w:b/>
          <w:color w:val="auto"/>
          <w:kern w:val="0"/>
          <w:sz w:val="24"/>
          <w:szCs w:val="24"/>
          <w:highlight w:val="none"/>
          <w:u w:val="single"/>
        </w:rPr>
      </w:pPr>
      <w:r>
        <w:rPr>
          <w:rFonts w:hint="eastAsia" w:ascii="宋体" w:hAnsi="宋体" w:cs="宋体"/>
          <w:b/>
          <w:color w:val="auto"/>
          <w:kern w:val="0"/>
          <w:sz w:val="24"/>
          <w:szCs w:val="24"/>
          <w:highlight w:val="none"/>
          <w:u w:val="single"/>
        </w:rPr>
        <w:t>（5）实际完成工作量小于合同价时，以实际工作量为付款基数。</w:t>
      </w:r>
    </w:p>
    <w:p w14:paraId="4DA00434">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12.4.2 进度付款申请单的编制</w:t>
      </w:r>
    </w:p>
    <w:p w14:paraId="67849AD3">
      <w:pPr>
        <w:spacing w:line="360" w:lineRule="auto"/>
        <w:ind w:firstLine="46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关于进度付款申请单编制的约定：/</w:t>
      </w:r>
    </w:p>
    <w:p w14:paraId="5FDE420F">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12.4.2 进度付款申请单的编制</w:t>
      </w:r>
    </w:p>
    <w:p w14:paraId="6B64E0CE">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关于进度付款申请单编制的约定：</w:t>
      </w:r>
      <w:r>
        <w:rPr>
          <w:rFonts w:hint="eastAsia" w:ascii="宋体" w:hAnsi="宋体" w:cs="宋体"/>
          <w:b/>
          <w:color w:val="auto"/>
          <w:kern w:val="0"/>
          <w:sz w:val="24"/>
          <w:szCs w:val="24"/>
          <w:highlight w:val="none"/>
          <w:u w:val="single"/>
        </w:rPr>
        <w:t>调整价款、变更增补项目价款不在进度款中支付。发包人有权直接扣除承包人应支付的违约金。所有工程款的支付必须由承包人递交付款申请，经总监理工程师和发包人现场代表审核后予以支付。发包人代垫代扣的所有费用可以从工程款中直接扣除，每次支付工程款前，承包人必须开具符合税务部门规定的费率的增值税专用发票。承包人未提供符合发包人要求的增值税发票的，发包人有权拒绝付款。</w:t>
      </w:r>
    </w:p>
    <w:p w14:paraId="1806B4DA">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13. 验收和工程试车</w:t>
      </w:r>
    </w:p>
    <w:p w14:paraId="2507784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 分部分项工程验收</w:t>
      </w:r>
    </w:p>
    <w:p w14:paraId="2079C63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13.1.2监理人不能按时进行验收时，应提前</w:t>
      </w:r>
      <w:r>
        <w:rPr>
          <w:rFonts w:hint="eastAsia" w:ascii="宋体" w:hAnsi="宋体" w:cs="宋体"/>
          <w:color w:val="auto"/>
          <w:kern w:val="0"/>
          <w:sz w:val="24"/>
          <w:szCs w:val="24"/>
          <w:highlight w:val="none"/>
          <w:u w:val="single"/>
        </w:rPr>
        <w:t xml:space="preserve"> 24 </w:t>
      </w:r>
      <w:r>
        <w:rPr>
          <w:rFonts w:hint="eastAsia" w:ascii="宋体" w:hAnsi="宋体" w:cs="宋体"/>
          <w:color w:val="auto"/>
          <w:kern w:val="0"/>
          <w:sz w:val="24"/>
          <w:szCs w:val="24"/>
          <w:highlight w:val="none"/>
        </w:rPr>
        <w:t>小时提交书面延期要求。</w:t>
      </w:r>
    </w:p>
    <w:p w14:paraId="70CAE2FE">
      <w:pPr>
        <w:spacing w:line="460" w:lineRule="exact"/>
        <w:ind w:firstLine="48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关于延期最长不得超过：</w:t>
      </w:r>
      <w:r>
        <w:rPr>
          <w:rFonts w:hint="eastAsia" w:ascii="宋体" w:hAnsi="宋体" w:cs="宋体"/>
          <w:color w:val="auto"/>
          <w:kern w:val="0"/>
          <w:sz w:val="24"/>
          <w:szCs w:val="24"/>
          <w:highlight w:val="none"/>
          <w:u w:val="single"/>
        </w:rPr>
        <w:t xml:space="preserve"> 48 </w:t>
      </w:r>
      <w:r>
        <w:rPr>
          <w:rFonts w:hint="eastAsia" w:ascii="宋体" w:hAnsi="宋体" w:cs="宋体"/>
          <w:color w:val="auto"/>
          <w:kern w:val="0"/>
          <w:sz w:val="24"/>
          <w:szCs w:val="24"/>
          <w:highlight w:val="none"/>
        </w:rPr>
        <w:t>小时。</w:t>
      </w:r>
    </w:p>
    <w:p w14:paraId="03C905D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 竣工验收</w:t>
      </w:r>
    </w:p>
    <w:p w14:paraId="0B7718E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13.2.2竣工验收程序</w:t>
      </w:r>
    </w:p>
    <w:p w14:paraId="1CA9ACCA">
      <w:pPr>
        <w:spacing w:line="460" w:lineRule="exact"/>
        <w:ind w:left="4799" w:hanging="43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关于竣工验收程序的约定：</w:t>
      </w:r>
      <w:r>
        <w:rPr>
          <w:rFonts w:hint="eastAsia" w:ascii="宋体" w:hAnsi="宋体" w:cs="宋体"/>
          <w:b/>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5FA50A3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发包人不按照本项约定组织竣工验收、颁发工程接收证书的违约金的计算方法：</w:t>
      </w:r>
      <w:r>
        <w:rPr>
          <w:rFonts w:hint="eastAsia" w:ascii="宋体" w:hAnsi="宋体" w:cs="宋体"/>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7A1209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13.2.5移交、接收全部与部分工程</w:t>
      </w:r>
    </w:p>
    <w:p w14:paraId="6E126F5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承包人向发包人移交工程的期限：</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1CAE3634">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发包人未按本合同约定接收全部或部分工程的，违约金的计算方法为：</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01323A8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承包人未按时移交工程的，违约金的计算方法为：</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E3560B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13.6 竣工退场</w:t>
      </w:r>
    </w:p>
    <w:p w14:paraId="339961C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13.6.1 竣工退场</w:t>
      </w:r>
    </w:p>
    <w:p w14:paraId="60C1E0C2">
      <w:pPr>
        <w:spacing w:line="460" w:lineRule="exact"/>
        <w:ind w:firstLine="460"/>
        <w:rPr>
          <w:rFonts w:ascii="宋体" w:hAnsi="宋体" w:cs="宋体"/>
          <w:b/>
          <w:color w:val="auto"/>
          <w:kern w:val="0"/>
          <w:sz w:val="24"/>
          <w:szCs w:val="24"/>
          <w:highlight w:val="none"/>
          <w:u w:val="single"/>
        </w:rPr>
      </w:pPr>
      <w:r>
        <w:rPr>
          <w:rFonts w:hint="eastAsia" w:ascii="宋体" w:hAnsi="宋体" w:cs="宋体"/>
          <w:color w:val="auto"/>
          <w:kern w:val="0"/>
          <w:sz w:val="24"/>
          <w:szCs w:val="24"/>
          <w:highlight w:val="none"/>
        </w:rPr>
        <w:t>承包人完成竣工退场的期限：</w:t>
      </w:r>
      <w:r>
        <w:rPr>
          <w:rFonts w:hint="eastAsia" w:ascii="宋体" w:hAnsi="宋体" w:cs="宋体"/>
          <w:b/>
          <w:color w:val="auto"/>
          <w:kern w:val="0"/>
          <w:sz w:val="24"/>
          <w:szCs w:val="24"/>
          <w:highlight w:val="none"/>
          <w:u w:val="single"/>
        </w:rPr>
        <w:t>承包人须在工程</w:t>
      </w:r>
      <w:r>
        <w:rPr>
          <w:rFonts w:hint="eastAsia" w:ascii="宋体" w:hAnsi="宋体" w:cs="宋体"/>
          <w:b/>
          <w:color w:val="auto"/>
          <w:kern w:val="0"/>
          <w:sz w:val="24"/>
          <w:szCs w:val="24"/>
          <w:highlight w:val="none"/>
          <w:u w:val="single"/>
          <w:lang w:val="en-US" w:eastAsia="zh-CN"/>
        </w:rPr>
        <w:t>竣工验收</w:t>
      </w:r>
      <w:r>
        <w:rPr>
          <w:rFonts w:hint="eastAsia" w:ascii="宋体" w:hAnsi="宋体" w:cs="宋体"/>
          <w:b/>
          <w:color w:val="auto"/>
          <w:kern w:val="0"/>
          <w:sz w:val="24"/>
          <w:szCs w:val="24"/>
          <w:highlight w:val="none"/>
          <w:u w:val="single"/>
        </w:rPr>
        <w:t>后7天内拆除现场所有临时设施。包括所有的建筑垃圾及剩余材料全部清运出现场的费用。清理标准应得到发包人认可，否则，如发生相关费用则由发包人按实际发生费用的2倍及以上在工程结算价款中扣除。</w:t>
      </w:r>
    </w:p>
    <w:p w14:paraId="3CECDD51">
      <w:pPr>
        <w:spacing w:line="460" w:lineRule="exact"/>
        <w:ind w:firstLine="460"/>
        <w:rPr>
          <w:rFonts w:ascii="宋体" w:hAnsi="宋体" w:cs="宋体"/>
          <w:b/>
          <w:color w:val="auto"/>
          <w:kern w:val="0"/>
          <w:sz w:val="24"/>
          <w:szCs w:val="24"/>
          <w:highlight w:val="none"/>
          <w:u w:val="single"/>
        </w:rPr>
      </w:pPr>
      <w:r>
        <w:rPr>
          <w:rFonts w:hint="eastAsia" w:ascii="宋体" w:hAnsi="宋体" w:cs="宋体"/>
          <w:b/>
          <w:bCs/>
          <w:color w:val="auto"/>
          <w:kern w:val="0"/>
          <w:sz w:val="24"/>
          <w:szCs w:val="24"/>
          <w:highlight w:val="none"/>
          <w:u w:val="single"/>
        </w:rPr>
        <w:t>竣工日期以验收合格当日的竣工验收报告日期为准，工程竣工验收人员全部撤离现场后仍然有配合监理工作的义务，并能及时处理现场事务。</w:t>
      </w:r>
    </w:p>
    <w:p w14:paraId="6A4BB917">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14. 竣工结算</w:t>
      </w:r>
    </w:p>
    <w:p w14:paraId="365879E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14.1 竣工付款申请</w:t>
      </w:r>
    </w:p>
    <w:p w14:paraId="33071A42">
      <w:pPr>
        <w:spacing w:line="460" w:lineRule="exact"/>
        <w:ind w:firstLine="482"/>
        <w:rPr>
          <w:rFonts w:ascii="宋体" w:hAnsi="宋体" w:cs="宋体"/>
          <w:b/>
          <w:bCs/>
          <w:color w:val="auto"/>
          <w:kern w:val="0"/>
          <w:sz w:val="24"/>
          <w:szCs w:val="24"/>
          <w:highlight w:val="none"/>
        </w:rPr>
      </w:pPr>
      <w:r>
        <w:rPr>
          <w:rFonts w:hint="eastAsia" w:ascii="宋体" w:hAnsi="宋体" w:cs="宋体"/>
          <w:b/>
          <w:color w:val="auto"/>
          <w:kern w:val="0"/>
          <w:sz w:val="24"/>
          <w:szCs w:val="24"/>
          <w:highlight w:val="none"/>
          <w:u w:val="single"/>
        </w:rPr>
        <w:t>单位工程竣工验收备案后30天内提供完整的工程技术资料贰份（含竣工图）,其中一套原件线装，一套复印件胶装存档使用，要满足工程备案要求；完整的工程结算资料贰套胶装（一正一副）。如不能完成则资料履约保证金不予退还，并发包人向承包人收取违约金。逾期提供竣工资料，发包人可拒绝递交审核或延期审核，由此带来的一切后果由承包人承担。工程结算必须按规范编制，严格按照现场实际与相关技术资料编制竣工图，如发现竣工图与现场实际不符的，资料履约保证金不予退还，并发包人向承包人收取违约金，承包人承担延期审核带来的一切后果，详见16.2.2承包人违约的责任。</w:t>
      </w:r>
    </w:p>
    <w:p w14:paraId="7E7887B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承包人提交竣工付款申请单的期限：</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77072E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竣工付款申请单应包括的内容：</w:t>
      </w:r>
      <w:r>
        <w:rPr>
          <w:rFonts w:hint="eastAsia" w:ascii="宋体" w:hAnsi="宋体" w:cs="宋体"/>
          <w:b/>
          <w:color w:val="auto"/>
          <w:kern w:val="0"/>
          <w:sz w:val="24"/>
          <w:szCs w:val="24"/>
          <w:highlight w:val="none"/>
          <w:u w:val="single"/>
        </w:rPr>
        <w:t>/</w:t>
      </w:r>
      <w:r>
        <w:rPr>
          <w:rFonts w:hint="eastAsia" w:ascii="宋体" w:hAnsi="宋体" w:cs="宋体"/>
          <w:color w:val="auto"/>
          <w:kern w:val="0"/>
          <w:sz w:val="24"/>
          <w:szCs w:val="24"/>
          <w:highlight w:val="none"/>
        </w:rPr>
        <w:t>。</w:t>
      </w:r>
    </w:p>
    <w:p w14:paraId="59AB129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14.2 竣工结算审核</w:t>
      </w:r>
    </w:p>
    <w:p w14:paraId="549A4E3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发包人审批竣工付款申请单的期限：</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30DEABB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发包人完成竣工付款的期限：</w:t>
      </w:r>
      <w:r>
        <w:rPr>
          <w:rFonts w:hint="eastAsia" w:ascii="宋体" w:hAnsi="宋体" w:cs="宋体"/>
          <w:color w:val="auto"/>
          <w:kern w:val="0"/>
          <w:sz w:val="24"/>
          <w:szCs w:val="24"/>
          <w:highlight w:val="none"/>
          <w:u w:val="single"/>
        </w:rPr>
        <w:t>　　</w:t>
      </w:r>
      <w:r>
        <w:rPr>
          <w:rFonts w:hint="eastAsia" w:ascii="宋体" w:hAnsi="宋体" w:cs="宋体"/>
          <w:b/>
          <w:color w:val="auto"/>
          <w:kern w:val="0"/>
          <w:sz w:val="24"/>
          <w:szCs w:val="24"/>
          <w:highlight w:val="none"/>
          <w:u w:val="single"/>
        </w:rPr>
        <w:t>　 /　　　　　</w:t>
      </w:r>
    </w:p>
    <w:p w14:paraId="0EF50C6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关于竣工付款证书异议部分复核的方式和程序：</w:t>
      </w:r>
      <w:r>
        <w:rPr>
          <w:rFonts w:hint="eastAsia" w:ascii="宋体" w:hAnsi="宋体" w:cs="宋体"/>
          <w:b/>
          <w:color w:val="auto"/>
          <w:kern w:val="0"/>
          <w:sz w:val="24"/>
          <w:szCs w:val="24"/>
          <w:highlight w:val="none"/>
          <w:u w:val="single"/>
        </w:rPr>
        <w:t>　　　　/　　　　</w:t>
      </w:r>
      <w:r>
        <w:rPr>
          <w:rFonts w:hint="eastAsia" w:ascii="宋体" w:hAnsi="宋体" w:cs="宋体"/>
          <w:b/>
          <w:color w:val="auto"/>
          <w:kern w:val="0"/>
          <w:sz w:val="24"/>
          <w:szCs w:val="24"/>
          <w:highlight w:val="none"/>
        </w:rPr>
        <w:t>。</w:t>
      </w:r>
    </w:p>
    <w:p w14:paraId="141DC04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14.4 最终结清</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0CC9434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14.4.1 最终结清申请单</w:t>
      </w:r>
    </w:p>
    <w:p w14:paraId="1B79516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承包人提交最终结清申请单的份数：</w:t>
      </w:r>
      <w:r>
        <w:rPr>
          <w:rFonts w:hint="eastAsia" w:ascii="宋体" w:hAnsi="宋体" w:cs="宋体"/>
          <w:b/>
          <w:bCs/>
          <w:color w:val="auto"/>
          <w:kern w:val="0"/>
          <w:sz w:val="24"/>
          <w:szCs w:val="24"/>
          <w:highlight w:val="none"/>
          <w:u w:val="single"/>
        </w:rPr>
        <w:t>4份</w:t>
      </w:r>
      <w:r>
        <w:rPr>
          <w:rFonts w:hint="eastAsia" w:ascii="宋体" w:hAnsi="宋体" w:cs="宋体"/>
          <w:color w:val="auto"/>
          <w:kern w:val="0"/>
          <w:sz w:val="24"/>
          <w:szCs w:val="24"/>
          <w:highlight w:val="none"/>
        </w:rPr>
        <w:t>。</w:t>
      </w:r>
    </w:p>
    <w:p w14:paraId="167211B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承包人提交最终结算申请单的期限：</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14:paraId="59A3E36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14.4.2 最终结清证书和支付</w:t>
      </w:r>
    </w:p>
    <w:p w14:paraId="7139FB0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（1）发包人完成最终结清申请单的审批并颁发最终结清证书的期限：</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 xml:space="preserve"> 。</w:t>
      </w:r>
    </w:p>
    <w:p w14:paraId="441117F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（2）发包人完成支付的期限：</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4FEFFF89">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15. 缺陷责任期与保修</w:t>
      </w:r>
    </w:p>
    <w:p w14:paraId="395FE4A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15.2缺陷责任期</w:t>
      </w:r>
    </w:p>
    <w:p w14:paraId="0A11AF8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缺陷责任期的具体期限：</w:t>
      </w:r>
      <w:r>
        <w:rPr>
          <w:rFonts w:hint="eastAsia" w:ascii="宋体" w:hAnsi="宋体" w:cs="宋体"/>
          <w:color w:val="auto"/>
          <w:kern w:val="0"/>
          <w:sz w:val="24"/>
          <w:szCs w:val="24"/>
          <w:highlight w:val="none"/>
          <w:u w:val="single"/>
        </w:rPr>
        <w:t>24个月</w:t>
      </w:r>
      <w:r>
        <w:rPr>
          <w:rFonts w:hint="eastAsia" w:ascii="宋体" w:hAnsi="宋体" w:cs="宋体"/>
          <w:color w:val="auto"/>
          <w:kern w:val="0"/>
          <w:sz w:val="24"/>
          <w:szCs w:val="24"/>
          <w:highlight w:val="none"/>
        </w:rPr>
        <w:t xml:space="preserve"> 。</w:t>
      </w:r>
    </w:p>
    <w:p w14:paraId="6CFAB7D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15.3 质量保修金</w:t>
      </w:r>
    </w:p>
    <w:p w14:paraId="70D0CAB1">
      <w:pPr>
        <w:spacing w:line="460" w:lineRule="exact"/>
        <w:ind w:firstLine="480"/>
        <w:rPr>
          <w:rFonts w:ascii="宋体" w:hAnsi="宋体" w:cs="宋体"/>
          <w:color w:val="auto"/>
          <w:kern w:val="0"/>
          <w:sz w:val="24"/>
          <w:szCs w:val="24"/>
          <w:highlight w:val="none"/>
        </w:rPr>
      </w:pPr>
      <w:r>
        <w:rPr>
          <w:rFonts w:hint="eastAsia" w:ascii="宋体" w:hAnsi="宋体" w:cs="宋体"/>
          <w:b/>
          <w:bCs/>
          <w:color w:val="auto"/>
          <w:kern w:val="0"/>
          <w:sz w:val="24"/>
          <w:szCs w:val="24"/>
          <w:highlight w:val="none"/>
          <w:u w:val="single"/>
          <w:lang w:val="en-US" w:eastAsia="zh-CN"/>
        </w:rPr>
        <w:t>本工程不设质量保修金</w:t>
      </w:r>
      <w:r>
        <w:rPr>
          <w:rFonts w:hint="eastAsia" w:ascii="宋体" w:hAnsi="宋体" w:cs="宋体"/>
          <w:color w:val="auto"/>
          <w:kern w:val="0"/>
          <w:sz w:val="24"/>
          <w:szCs w:val="24"/>
          <w:highlight w:val="none"/>
        </w:rPr>
        <w:t>。</w:t>
      </w:r>
    </w:p>
    <w:p w14:paraId="335648A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15.4保修</w:t>
      </w:r>
    </w:p>
    <w:p w14:paraId="3FA982D1">
      <w:pPr>
        <w:spacing w:line="460" w:lineRule="exact"/>
        <w:ind w:firstLine="468"/>
        <w:rPr>
          <w:rFonts w:ascii="宋体" w:hAnsi="宋体" w:cs="宋体"/>
          <w:color w:val="auto"/>
          <w:kern w:val="0"/>
          <w:sz w:val="24"/>
          <w:szCs w:val="24"/>
          <w:highlight w:val="none"/>
        </w:rPr>
      </w:pPr>
      <w:r>
        <w:rPr>
          <w:rFonts w:hint="eastAsia" w:ascii="宋体" w:hAnsi="宋体" w:cs="宋体"/>
          <w:color w:val="auto"/>
          <w:kern w:val="0"/>
          <w:sz w:val="24"/>
          <w:szCs w:val="24"/>
          <w:highlight w:val="none"/>
        </w:rPr>
        <w:t>15.4.1 保修责任</w:t>
      </w:r>
    </w:p>
    <w:p w14:paraId="45934605">
      <w:pPr>
        <w:spacing w:line="460" w:lineRule="exact"/>
        <w:ind w:firstLine="6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工程保修期为：</w:t>
      </w:r>
      <w:r>
        <w:rPr>
          <w:rFonts w:hint="eastAsia" w:ascii="宋体" w:hAnsi="宋体" w:cs="宋体"/>
          <w:b/>
          <w:color w:val="auto"/>
          <w:kern w:val="0"/>
          <w:sz w:val="24"/>
          <w:szCs w:val="24"/>
          <w:highlight w:val="none"/>
          <w:u w:val="single"/>
        </w:rPr>
        <w:t xml:space="preserve">见工程质量保修书 </w:t>
      </w:r>
      <w:r>
        <w:rPr>
          <w:rFonts w:hint="eastAsia" w:ascii="宋体" w:hAnsi="宋体" w:cs="宋体"/>
          <w:color w:val="auto"/>
          <w:kern w:val="0"/>
          <w:sz w:val="24"/>
          <w:szCs w:val="24"/>
          <w:highlight w:val="none"/>
        </w:rPr>
        <w:t>。</w:t>
      </w:r>
    </w:p>
    <w:p w14:paraId="22B1323C">
      <w:pPr>
        <w:spacing w:line="460" w:lineRule="exact"/>
        <w:ind w:firstLine="468"/>
        <w:rPr>
          <w:rFonts w:ascii="宋体" w:hAnsi="宋体" w:cs="宋体"/>
          <w:color w:val="auto"/>
          <w:kern w:val="0"/>
          <w:sz w:val="24"/>
          <w:szCs w:val="24"/>
          <w:highlight w:val="none"/>
        </w:rPr>
      </w:pPr>
      <w:r>
        <w:rPr>
          <w:rFonts w:hint="eastAsia" w:ascii="宋体" w:hAnsi="宋体" w:cs="宋体"/>
          <w:color w:val="auto"/>
          <w:kern w:val="0"/>
          <w:sz w:val="24"/>
          <w:szCs w:val="24"/>
          <w:highlight w:val="none"/>
        </w:rPr>
        <w:t>15.4.3 修复通知</w:t>
      </w:r>
    </w:p>
    <w:p w14:paraId="7AD50C4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承包人收到保修通知并到达工程现场的合理时间：</w:t>
      </w:r>
      <w:r>
        <w:rPr>
          <w:rFonts w:hint="eastAsia" w:ascii="宋体" w:hAnsi="宋体" w:cs="宋体"/>
          <w:b/>
          <w:bCs/>
          <w:color w:val="auto"/>
          <w:kern w:val="0"/>
          <w:sz w:val="24"/>
          <w:szCs w:val="24"/>
          <w:highlight w:val="none"/>
          <w:u w:val="single"/>
        </w:rPr>
        <w:t xml:space="preserve"> 收到通知后24小时内</w:t>
      </w:r>
      <w:r>
        <w:rPr>
          <w:rFonts w:hint="eastAsia" w:ascii="宋体" w:hAnsi="宋体" w:cs="宋体"/>
          <w:color w:val="auto"/>
          <w:kern w:val="0"/>
          <w:sz w:val="24"/>
          <w:szCs w:val="24"/>
          <w:highlight w:val="none"/>
        </w:rPr>
        <w:t>。</w:t>
      </w:r>
    </w:p>
    <w:p w14:paraId="0368A0F2">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16. 违约</w:t>
      </w:r>
    </w:p>
    <w:p w14:paraId="382CE25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 发包人违约</w:t>
      </w:r>
    </w:p>
    <w:p w14:paraId="5AF1D3F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16.1.1发包人违约的情形</w:t>
      </w:r>
    </w:p>
    <w:p w14:paraId="343C9B36">
      <w:pPr>
        <w:spacing w:line="460" w:lineRule="exact"/>
        <w:ind w:left="1199" w:hanging="7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发包人违约的其他情形：</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3513A5EF">
      <w:pPr>
        <w:spacing w:line="460" w:lineRule="exact"/>
        <w:ind w:left="1200" w:hanging="1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16.1.2 发包人违约的责任</w:t>
      </w:r>
    </w:p>
    <w:p w14:paraId="724643D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发包人违约责任的承担方式和计算方法：</w:t>
      </w:r>
    </w:p>
    <w:p w14:paraId="309ACDE5">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（1）因发包人原因未能在计划开工日期前7天内下达开工通知的违约责任：</w:t>
      </w:r>
      <w:r>
        <w:rPr>
          <w:rFonts w:hint="eastAsia" w:ascii="宋体" w:hAnsi="宋体" w:cs="宋体"/>
          <w:b/>
          <w:bCs/>
          <w:color w:val="auto"/>
          <w:kern w:val="0"/>
          <w:sz w:val="24"/>
          <w:szCs w:val="24"/>
          <w:highlight w:val="none"/>
          <w:u w:val="single"/>
        </w:rPr>
        <w:t>双方另行协商</w:t>
      </w:r>
      <w:r>
        <w:rPr>
          <w:rFonts w:hint="eastAsia" w:ascii="宋体" w:hAnsi="宋体" w:cs="宋体"/>
          <w:color w:val="auto"/>
          <w:kern w:val="0"/>
          <w:sz w:val="24"/>
          <w:szCs w:val="24"/>
          <w:highlight w:val="none"/>
        </w:rPr>
        <w:t>。</w:t>
      </w:r>
    </w:p>
    <w:p w14:paraId="28C59BC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（2）因发包人原因未能按合同约定支付合同价款的违约责任：</w:t>
      </w:r>
      <w:r>
        <w:rPr>
          <w:rFonts w:hint="eastAsia" w:ascii="宋体" w:hAnsi="宋体" w:cs="宋体"/>
          <w:b/>
          <w:bCs/>
          <w:color w:val="auto"/>
          <w:kern w:val="0"/>
          <w:sz w:val="24"/>
          <w:szCs w:val="24"/>
          <w:highlight w:val="none"/>
          <w:u w:val="single"/>
        </w:rPr>
        <w:t xml:space="preserve">双方另行协商 </w:t>
      </w:r>
      <w:r>
        <w:rPr>
          <w:rFonts w:hint="eastAsia" w:ascii="宋体" w:hAnsi="宋体" w:cs="宋体"/>
          <w:color w:val="auto"/>
          <w:kern w:val="0"/>
          <w:sz w:val="24"/>
          <w:szCs w:val="24"/>
          <w:highlight w:val="none"/>
        </w:rPr>
        <w:t>。</w:t>
      </w:r>
    </w:p>
    <w:p w14:paraId="3CF68125">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（3）发包人违反第10.1款〔变更的范围〕第（2）项约定，自行实施被取消的工作或转由他人实施的违约责任：</w:t>
      </w:r>
      <w:r>
        <w:rPr>
          <w:rFonts w:hint="eastAsia" w:ascii="宋体" w:hAnsi="宋体" w:cs="宋体"/>
          <w:b/>
          <w:bCs/>
          <w:color w:val="auto"/>
          <w:kern w:val="0"/>
          <w:sz w:val="24"/>
          <w:szCs w:val="24"/>
          <w:highlight w:val="none"/>
          <w:u w:val="single"/>
        </w:rPr>
        <w:t xml:space="preserve"> 双方另行协商</w:t>
      </w:r>
      <w:r>
        <w:rPr>
          <w:rFonts w:hint="eastAsia" w:ascii="宋体" w:hAnsi="宋体" w:cs="宋体"/>
          <w:color w:val="auto"/>
          <w:kern w:val="0"/>
          <w:sz w:val="24"/>
          <w:szCs w:val="24"/>
          <w:highlight w:val="none"/>
        </w:rPr>
        <w:t>。</w:t>
      </w:r>
    </w:p>
    <w:p w14:paraId="7946D38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宋体" w:hAnsi="宋体" w:cs="宋体"/>
          <w:b/>
          <w:bCs/>
          <w:color w:val="auto"/>
          <w:kern w:val="0"/>
          <w:sz w:val="24"/>
          <w:szCs w:val="24"/>
          <w:highlight w:val="none"/>
          <w:u w:val="single"/>
        </w:rPr>
        <w:t xml:space="preserve"> 双方另行协商</w:t>
      </w:r>
      <w:r>
        <w:rPr>
          <w:rFonts w:hint="eastAsia" w:ascii="宋体" w:hAnsi="宋体" w:cs="宋体"/>
          <w:color w:val="auto"/>
          <w:kern w:val="0"/>
          <w:sz w:val="24"/>
          <w:szCs w:val="24"/>
          <w:highlight w:val="none"/>
        </w:rPr>
        <w:t>。</w:t>
      </w:r>
    </w:p>
    <w:p w14:paraId="4968606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（5）因发包人违反合同约定造成暂停施工的违约责任：</w:t>
      </w:r>
      <w:r>
        <w:rPr>
          <w:rFonts w:hint="eastAsia" w:ascii="宋体" w:hAnsi="宋体" w:cs="宋体"/>
          <w:b/>
          <w:bCs/>
          <w:color w:val="auto"/>
          <w:kern w:val="0"/>
          <w:sz w:val="24"/>
          <w:szCs w:val="24"/>
          <w:highlight w:val="none"/>
          <w:u w:val="single"/>
        </w:rPr>
        <w:t xml:space="preserve"> 双方另行协商</w:t>
      </w:r>
      <w:r>
        <w:rPr>
          <w:rFonts w:hint="eastAsia" w:ascii="宋体" w:hAnsi="宋体" w:cs="宋体"/>
          <w:color w:val="auto"/>
          <w:kern w:val="0"/>
          <w:sz w:val="24"/>
          <w:szCs w:val="24"/>
          <w:highlight w:val="none"/>
        </w:rPr>
        <w:t>。</w:t>
      </w:r>
    </w:p>
    <w:p w14:paraId="692D397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（6）发包人无正当理由没有在约定期限内发出复工指示，导致承包人无法复工的违约责任：</w:t>
      </w:r>
      <w:r>
        <w:rPr>
          <w:rFonts w:hint="eastAsia" w:ascii="宋体" w:hAnsi="宋体" w:cs="宋体"/>
          <w:b/>
          <w:bCs/>
          <w:color w:val="auto"/>
          <w:kern w:val="0"/>
          <w:sz w:val="24"/>
          <w:szCs w:val="24"/>
          <w:highlight w:val="none"/>
          <w:u w:val="single"/>
        </w:rPr>
        <w:t xml:space="preserve"> 双方另行协商</w:t>
      </w:r>
      <w:r>
        <w:rPr>
          <w:rFonts w:hint="eastAsia" w:ascii="宋体" w:hAnsi="宋体" w:cs="宋体"/>
          <w:color w:val="auto"/>
          <w:kern w:val="0"/>
          <w:sz w:val="24"/>
          <w:szCs w:val="24"/>
          <w:highlight w:val="none"/>
        </w:rPr>
        <w:t>。</w:t>
      </w:r>
    </w:p>
    <w:p w14:paraId="03486A3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（7）其他：</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293DB3A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16.1.3 因发包人违约解除合同</w:t>
      </w:r>
    </w:p>
    <w:p w14:paraId="646AECA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承包人按16.1.1项〔发包人违约的情形〕约定暂停施工满</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天后发包人仍不纠正其违约行为并致使合同目的不能实现的，承包人有权解除合同。</w:t>
      </w:r>
    </w:p>
    <w:p w14:paraId="4FB0608D">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 承包人违约</w:t>
      </w:r>
    </w:p>
    <w:p w14:paraId="1767419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16.2.1 承包人违约的情形</w:t>
      </w:r>
    </w:p>
    <w:p w14:paraId="2C4EC79E">
      <w:pPr>
        <w:spacing w:line="460" w:lineRule="exact"/>
        <w:ind w:left="-2"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承包人违约的其他情形：</w:t>
      </w:r>
    </w:p>
    <w:p w14:paraId="70DE51BC">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1）若因承包人原因未按发包人指定的时间开工，则按延期每天1000元向发包人支付违约金；若超过十五天（含十五天），或工程质量不符合合同约定标准，或承包人未按合同约定履行其他重要义务，视为严重违约</w:t>
      </w:r>
      <w:r>
        <w:rPr>
          <w:rFonts w:hint="eastAsia" w:ascii="宋体" w:hAnsi="宋体" w:cs="宋体"/>
          <w:color w:val="auto"/>
          <w:kern w:val="0"/>
          <w:sz w:val="24"/>
          <w:szCs w:val="24"/>
          <w:highlight w:val="none"/>
          <w:u w:val="single"/>
          <w:lang w:eastAsia="zh-CN"/>
        </w:rPr>
        <w:t>，</w:t>
      </w:r>
      <w:r>
        <w:rPr>
          <w:rFonts w:hint="eastAsia" w:ascii="宋体" w:hAnsi="宋体" w:cs="宋体"/>
          <w:color w:val="auto"/>
          <w:kern w:val="0"/>
          <w:sz w:val="24"/>
          <w:szCs w:val="24"/>
          <w:highlight w:val="none"/>
          <w:u w:val="single"/>
        </w:rPr>
        <w:t>发包人有权解除合同，全部履约保证金不予退还</w:t>
      </w:r>
      <w:r>
        <w:rPr>
          <w:rFonts w:hint="eastAsia" w:ascii="宋体" w:hAnsi="宋体" w:cs="宋体"/>
          <w:color w:val="auto"/>
          <w:kern w:val="0"/>
          <w:sz w:val="24"/>
          <w:szCs w:val="24"/>
          <w:highlight w:val="none"/>
          <w:u w:val="single"/>
          <w:lang w:eastAsia="zh-CN"/>
        </w:rPr>
        <w:t>，并且承包人需赔偿因延期开工给发包人造成的全部损失</w:t>
      </w:r>
      <w:r>
        <w:rPr>
          <w:rFonts w:hint="eastAsia" w:ascii="宋体" w:hAnsi="宋体" w:cs="宋体"/>
          <w:color w:val="auto"/>
          <w:kern w:val="0"/>
          <w:sz w:val="24"/>
          <w:szCs w:val="24"/>
          <w:highlight w:val="none"/>
          <w:u w:val="single"/>
        </w:rPr>
        <w:t>。</w:t>
      </w:r>
    </w:p>
    <w:p w14:paraId="46253BF2">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（2）承包人必须服从发包人和监理工程师的管理监督，若施工过程中或工程竣工验收时发现由于承包人原因出现严重的安全、质量事故，或在发包人规定的整改期限内达不到整改要</w:t>
      </w:r>
      <w:r>
        <w:rPr>
          <w:rFonts w:hint="eastAsia" w:ascii="宋体" w:hAnsi="宋体" w:cs="宋体"/>
          <w:color w:val="auto"/>
          <w:kern w:val="0"/>
          <w:sz w:val="24"/>
          <w:szCs w:val="24"/>
          <w:highlight w:val="none"/>
          <w:u w:val="single"/>
          <w:lang w:val="en-US" w:eastAsia="zh-CN"/>
        </w:rPr>
        <w:t>求</w:t>
      </w:r>
      <w:r>
        <w:rPr>
          <w:rFonts w:hint="eastAsia" w:ascii="宋体" w:hAnsi="宋体" w:cs="宋体"/>
          <w:color w:val="auto"/>
          <w:kern w:val="0"/>
          <w:sz w:val="24"/>
          <w:szCs w:val="24"/>
          <w:highlight w:val="none"/>
          <w:u w:val="single"/>
        </w:rPr>
        <w:t>，或明显无法按期完工的或造成施工质量存在严重缺陷责令停工和返工，承包人拒绝返工的；则发包人有权解除合同，并限令退场，全部履约保证金不予退还，对已完工程量，按已验收合格工程量的 50%结算工程价款，还应承担赔偿发包人损失的责任。</w:t>
      </w:r>
    </w:p>
    <w:p w14:paraId="5237DD44">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（3）若承包人在施工过程中出现质量问题，除责令整改外，发包人可要求承包人根据质量问题的严重程度按每起500-2000元向发包人支付违约金，并且发包人可视情形根据本合同其他约定行使有关解除合同的权利。</w:t>
      </w:r>
    </w:p>
    <w:p w14:paraId="5307E8D6">
      <w:pPr>
        <w:spacing w:line="460" w:lineRule="exact"/>
        <w:ind w:firstLine="482"/>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u w:val="single"/>
        </w:rPr>
        <w:t xml:space="preserve">（4）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 </w:t>
      </w:r>
    </w:p>
    <w:p w14:paraId="2745984C">
      <w:pPr>
        <w:spacing w:line="460" w:lineRule="exact"/>
        <w:ind w:firstLine="482"/>
        <w:outlineLvl w:val="9"/>
        <w:rPr>
          <w:rFonts w:ascii="宋体" w:hAnsi="宋体" w:cs="宋体"/>
          <w:b/>
          <w:color w:val="auto"/>
          <w:kern w:val="0"/>
          <w:sz w:val="24"/>
          <w:szCs w:val="24"/>
          <w:highlight w:val="none"/>
        </w:rPr>
      </w:pPr>
      <w:r>
        <w:rPr>
          <w:rFonts w:hint="eastAsia" w:ascii="宋体" w:hAnsi="宋体" w:cs="宋体"/>
          <w:color w:val="auto"/>
          <w:kern w:val="0"/>
          <w:sz w:val="24"/>
          <w:szCs w:val="24"/>
          <w:highlight w:val="none"/>
          <w:u w:val="single"/>
        </w:rPr>
        <w:t>（5）无论任何理由，承包人未经发包人许可不得擅自停工，否则发包人有权单方面解除合同，并要求承包人限期退场，承包人接到退场通知后必须无条件退场，对已完工程量，按已验收合格工程量的 50%结算工程价款，全额履约保证金不予退还。承包人不按期退场的，每拖延一天，应向发包人支付违约金人民币 5000 元。</w:t>
      </w:r>
    </w:p>
    <w:p w14:paraId="22946DA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16.2.2承包人违约的责任</w:t>
      </w:r>
    </w:p>
    <w:p w14:paraId="4B6BDCE7">
      <w:pPr>
        <w:spacing w:line="460" w:lineRule="exact"/>
        <w:ind w:left="2" w:firstLine="477"/>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承包人违约责任的承担方式和计算方法：</w:t>
      </w:r>
      <w:r>
        <w:rPr>
          <w:rFonts w:hint="eastAsia" w:ascii="宋体" w:hAnsi="宋体" w:cs="宋体"/>
          <w:color w:val="auto"/>
          <w:kern w:val="0"/>
          <w:sz w:val="24"/>
          <w:szCs w:val="24"/>
          <w:highlight w:val="none"/>
          <w:u w:val="single"/>
        </w:rPr>
        <w:t>由承包人按本协议约定支付违约金或赔偿发包人全部经济损失并承担相关法律责任</w:t>
      </w:r>
    </w:p>
    <w:p w14:paraId="13A87314">
      <w:pPr>
        <w:spacing w:line="460" w:lineRule="exact"/>
        <w:ind w:left="2" w:firstLine="477"/>
        <w:rPr>
          <w:rFonts w:ascii="宋体" w:hAnsi="宋体" w:cs="宋体"/>
          <w:color w:val="auto"/>
          <w:kern w:val="0"/>
          <w:sz w:val="24"/>
          <w:szCs w:val="24"/>
          <w:highlight w:val="none"/>
        </w:rPr>
      </w:pPr>
      <w:r>
        <w:rPr>
          <w:rFonts w:hint="eastAsia" w:ascii="宋体" w:hAnsi="宋体" w:cs="宋体"/>
          <w:color w:val="auto"/>
          <w:kern w:val="0"/>
          <w:sz w:val="24"/>
          <w:szCs w:val="24"/>
          <w:highlight w:val="none"/>
        </w:rPr>
        <w:t>16.2.3 因承包人违约解除合同</w:t>
      </w:r>
    </w:p>
    <w:p w14:paraId="4C254B7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关于承包人违约解除合同的特别约定：</w:t>
      </w:r>
      <w:r>
        <w:rPr>
          <w:rFonts w:hint="eastAsia" w:ascii="宋体" w:hAnsi="宋体" w:cs="宋体"/>
          <w:b/>
          <w:color w:val="auto"/>
          <w:kern w:val="0"/>
          <w:sz w:val="24"/>
          <w:szCs w:val="24"/>
          <w:highlight w:val="none"/>
          <w:u w:val="single"/>
        </w:rPr>
        <w:t xml:space="preserve"> 按通用条款执行</w:t>
      </w:r>
      <w:r>
        <w:rPr>
          <w:rFonts w:hint="eastAsia" w:ascii="宋体" w:hAnsi="宋体" w:cs="宋体"/>
          <w:color w:val="auto"/>
          <w:kern w:val="0"/>
          <w:sz w:val="24"/>
          <w:szCs w:val="24"/>
          <w:highlight w:val="none"/>
        </w:rPr>
        <w:t>。</w:t>
      </w:r>
    </w:p>
    <w:p w14:paraId="32CAC85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宋体" w:hAnsi="宋体" w:cs="宋体"/>
          <w:b/>
          <w:bCs/>
          <w:color w:val="auto"/>
          <w:kern w:val="0"/>
          <w:sz w:val="24"/>
          <w:szCs w:val="24"/>
          <w:highlight w:val="none"/>
          <w:u w:val="single"/>
        </w:rPr>
        <w:t>：另行协商</w:t>
      </w:r>
      <w:r>
        <w:rPr>
          <w:rFonts w:hint="eastAsia" w:ascii="宋体" w:hAnsi="宋体" w:cs="宋体"/>
          <w:color w:val="auto"/>
          <w:kern w:val="0"/>
          <w:sz w:val="24"/>
          <w:szCs w:val="24"/>
          <w:highlight w:val="none"/>
        </w:rPr>
        <w:t>。</w:t>
      </w:r>
    </w:p>
    <w:p w14:paraId="78497839">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 xml:space="preserve">17. 不可抗力 </w:t>
      </w:r>
    </w:p>
    <w:p w14:paraId="49A8CFA8">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17.1 不可抗力的确认</w:t>
      </w:r>
    </w:p>
    <w:p w14:paraId="08D75B43">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除通用合同条款约定的不可抗力事件之外，视为不可抗力的其他情形：</w:t>
      </w:r>
      <w:r>
        <w:rPr>
          <w:rFonts w:hint="eastAsia" w:ascii="宋体" w:hAnsi="宋体" w:cs="宋体"/>
          <w:b/>
          <w:bCs/>
          <w:color w:val="auto"/>
          <w:kern w:val="0"/>
          <w:sz w:val="24"/>
          <w:szCs w:val="24"/>
          <w:highlight w:val="none"/>
          <w:u w:val="single"/>
        </w:rPr>
        <w:t xml:space="preserve">无 </w:t>
      </w:r>
      <w:r>
        <w:rPr>
          <w:rFonts w:hint="eastAsia" w:ascii="宋体" w:hAnsi="宋体" w:cs="宋体"/>
          <w:b/>
          <w:bCs/>
          <w:color w:val="auto"/>
          <w:kern w:val="0"/>
          <w:sz w:val="24"/>
          <w:szCs w:val="24"/>
          <w:highlight w:val="none"/>
        </w:rPr>
        <w:t>。</w:t>
      </w:r>
    </w:p>
    <w:p w14:paraId="57DD602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17.4 因不可抗力解除合同</w:t>
      </w:r>
    </w:p>
    <w:p w14:paraId="6E9BE8E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不可抗力事件导致工期延误的，工期顺延。具体顺延时间根据不可抗力事件的影响程度和持续时间确定，由承包人在不可抗力事件发生后7天内提交书面报告，经发包人确认后顺延工期。不可抗力事件导致的额外费用由双方根据实际情况协商分担，但发包人不承担承包人因不可抗力事件导致的误工、窝工等费用。合同解除后，发包人应在商定或确定发包人应支付款项后</w:t>
      </w:r>
      <w:r>
        <w:rPr>
          <w:rFonts w:hint="eastAsia" w:ascii="宋体" w:hAnsi="宋体" w:cs="宋体"/>
          <w:color w:val="auto"/>
          <w:kern w:val="0"/>
          <w:sz w:val="24"/>
          <w:szCs w:val="24"/>
          <w:highlight w:val="none"/>
          <w:u w:val="single"/>
        </w:rPr>
        <w:t xml:space="preserve"> 按通用条款 </w:t>
      </w:r>
      <w:r>
        <w:rPr>
          <w:rFonts w:hint="eastAsia" w:ascii="宋体" w:hAnsi="宋体" w:cs="宋体"/>
          <w:color w:val="auto"/>
          <w:kern w:val="0"/>
          <w:sz w:val="24"/>
          <w:szCs w:val="24"/>
          <w:highlight w:val="none"/>
        </w:rPr>
        <w:t>天内完成款项的支付。</w:t>
      </w:r>
    </w:p>
    <w:p w14:paraId="506F164C">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18. 保险</w:t>
      </w:r>
    </w:p>
    <w:p w14:paraId="69EF577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18.1 工程保险</w:t>
      </w:r>
    </w:p>
    <w:p w14:paraId="327B218A">
      <w:pPr>
        <w:tabs>
          <w:tab w:val="left" w:pos="835"/>
          <w:tab w:val="left" w:pos="5430"/>
        </w:tabs>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关于工程保险的特别约定：</w:t>
      </w:r>
    </w:p>
    <w:p w14:paraId="57418CB3">
      <w:pPr>
        <w:tabs>
          <w:tab w:val="left" w:pos="835"/>
          <w:tab w:val="left" w:pos="5430"/>
        </w:tabs>
        <w:spacing w:line="460" w:lineRule="exact"/>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u w:val="single"/>
        </w:rPr>
        <w:t>承包人投保内容：从事危险作业职工的意外伤害险、施工场地内自有人员的生命财产险、施工机械设备的财产险、第三人人员的生命财产险、运至施工场地内用于工程的材料和待安装设备的财产险</w:t>
      </w:r>
      <w:r>
        <w:rPr>
          <w:rFonts w:hint="eastAsia" w:ascii="宋体" w:hAnsi="宋体" w:cs="宋体"/>
          <w:b/>
          <w:bCs/>
          <w:color w:val="auto"/>
          <w:kern w:val="0"/>
          <w:sz w:val="24"/>
          <w:szCs w:val="24"/>
          <w:highlight w:val="none"/>
        </w:rPr>
        <w:t>。</w:t>
      </w:r>
    </w:p>
    <w:p w14:paraId="14DF71C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18.3 其他保险</w:t>
      </w:r>
    </w:p>
    <w:p w14:paraId="497A2DF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关于其他保险的约定：</w:t>
      </w:r>
      <w:r>
        <w:rPr>
          <w:rFonts w:hint="eastAsia" w:ascii="宋体" w:hAnsi="宋体" w:cs="宋体"/>
          <w:b/>
          <w:bCs/>
          <w:color w:val="auto"/>
          <w:kern w:val="0"/>
          <w:sz w:val="24"/>
          <w:szCs w:val="24"/>
          <w:highlight w:val="none"/>
          <w:u w:val="single"/>
        </w:rPr>
        <w:t>承包人必须按规定办理由承包人投保的一切保险（包括但不限于工程施工期间的工程一切险、工程第三方责任险、人身意外险等）。如不办理，一切责任由承包人自行负责</w:t>
      </w:r>
      <w:r>
        <w:rPr>
          <w:rFonts w:hint="eastAsia" w:ascii="宋体" w:hAnsi="宋体" w:cs="宋体"/>
          <w:color w:val="auto"/>
          <w:kern w:val="0"/>
          <w:sz w:val="24"/>
          <w:szCs w:val="24"/>
          <w:highlight w:val="none"/>
        </w:rPr>
        <w:t>。</w:t>
      </w:r>
    </w:p>
    <w:p w14:paraId="1A7FFBDF">
      <w:pPr>
        <w:spacing w:line="460" w:lineRule="exact"/>
        <w:ind w:firstLine="3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承包人是否应为其施工设备等办理财产保险：</w:t>
      </w:r>
      <w:r>
        <w:rPr>
          <w:rFonts w:hint="eastAsia" w:ascii="宋体" w:hAnsi="宋体" w:cs="宋体"/>
          <w:b/>
          <w:bCs/>
          <w:color w:val="auto"/>
          <w:kern w:val="0"/>
          <w:sz w:val="24"/>
          <w:szCs w:val="24"/>
          <w:highlight w:val="none"/>
          <w:u w:val="single"/>
        </w:rPr>
        <w:t>是</w:t>
      </w:r>
      <w:r>
        <w:rPr>
          <w:rFonts w:hint="eastAsia" w:ascii="宋体" w:hAnsi="宋体" w:cs="宋体"/>
          <w:color w:val="auto"/>
          <w:kern w:val="0"/>
          <w:sz w:val="24"/>
          <w:szCs w:val="24"/>
          <w:highlight w:val="none"/>
        </w:rPr>
        <w:t>。</w:t>
      </w:r>
    </w:p>
    <w:p w14:paraId="48AB9EB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18.7 通知义务</w:t>
      </w:r>
    </w:p>
    <w:p w14:paraId="1FE5A79A">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关于变更保险合同时的通知义务的约定：</w:t>
      </w:r>
      <w:r>
        <w:rPr>
          <w:rFonts w:hint="eastAsia" w:ascii="宋体" w:hAnsi="宋体" w:cs="宋体"/>
          <w:b/>
          <w:bCs/>
          <w:color w:val="auto"/>
          <w:kern w:val="0"/>
          <w:sz w:val="24"/>
          <w:szCs w:val="24"/>
          <w:highlight w:val="none"/>
          <w:u w:val="single"/>
        </w:rPr>
        <w:t xml:space="preserve">按通用条款执行 </w:t>
      </w:r>
      <w:r>
        <w:rPr>
          <w:rFonts w:hint="eastAsia" w:ascii="宋体" w:hAnsi="宋体" w:cs="宋体"/>
          <w:color w:val="auto"/>
          <w:kern w:val="0"/>
          <w:sz w:val="24"/>
          <w:szCs w:val="24"/>
          <w:highlight w:val="none"/>
        </w:rPr>
        <w:t>。</w:t>
      </w:r>
    </w:p>
    <w:p w14:paraId="0EB64EC9">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20. 争议解决</w:t>
      </w:r>
    </w:p>
    <w:p w14:paraId="313A864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20.3 争议评审</w:t>
      </w:r>
    </w:p>
    <w:p w14:paraId="59295CB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合同当事人是否同意将工程争议提交争议评审小组决定：</w:t>
      </w:r>
      <w:r>
        <w:rPr>
          <w:rFonts w:hint="eastAsia" w:ascii="宋体" w:hAnsi="宋体" w:cs="宋体"/>
          <w:b/>
          <w:color w:val="auto"/>
          <w:kern w:val="0"/>
          <w:sz w:val="24"/>
          <w:szCs w:val="24"/>
          <w:highlight w:val="none"/>
          <w:u w:val="single"/>
        </w:rPr>
        <w:t xml:space="preserve"> 同意 </w:t>
      </w:r>
      <w:r>
        <w:rPr>
          <w:rFonts w:hint="eastAsia" w:ascii="宋体" w:hAnsi="宋体" w:cs="宋体"/>
          <w:color w:val="auto"/>
          <w:kern w:val="0"/>
          <w:sz w:val="24"/>
          <w:szCs w:val="24"/>
          <w:highlight w:val="none"/>
        </w:rPr>
        <w:t xml:space="preserve">。  </w:t>
      </w:r>
    </w:p>
    <w:p w14:paraId="3A8C64E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20.3.1 争议评审小组的确定</w:t>
      </w:r>
    </w:p>
    <w:p w14:paraId="54C5C7A3">
      <w:pPr>
        <w:spacing w:line="460" w:lineRule="exact"/>
        <w:ind w:firstLine="48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争议评审小组成员的确定：</w:t>
      </w:r>
      <w:r>
        <w:rPr>
          <w:rFonts w:hint="eastAsia" w:ascii="宋体" w:hAnsi="宋体" w:cs="宋体"/>
          <w:b/>
          <w:bCs/>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3FB0CCB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选定争议评审员的期限：</w:t>
      </w:r>
      <w:r>
        <w:rPr>
          <w:rFonts w:hint="eastAsia" w:ascii="宋体" w:hAnsi="宋体" w:cs="宋体"/>
          <w:b/>
          <w:bCs/>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0F659B9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争议评审小组成员的报酬承担方式：</w:t>
      </w:r>
      <w:r>
        <w:rPr>
          <w:rFonts w:hint="eastAsia" w:ascii="宋体" w:hAnsi="宋体" w:cs="宋体"/>
          <w:b/>
          <w:bCs/>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1AA5DD0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其他事项的约定：</w:t>
      </w:r>
      <w:r>
        <w:rPr>
          <w:rFonts w:hint="eastAsia" w:ascii="宋体" w:hAnsi="宋体" w:cs="宋体"/>
          <w:b/>
          <w:color w:val="auto"/>
          <w:kern w:val="0"/>
          <w:sz w:val="24"/>
          <w:szCs w:val="24"/>
          <w:highlight w:val="none"/>
          <w:u w:val="single"/>
        </w:rPr>
        <w:t xml:space="preserve"> / </w:t>
      </w:r>
      <w:r>
        <w:rPr>
          <w:rFonts w:hint="eastAsia" w:ascii="宋体" w:hAnsi="宋体" w:cs="宋体"/>
          <w:color w:val="auto"/>
          <w:kern w:val="0"/>
          <w:sz w:val="24"/>
          <w:szCs w:val="24"/>
          <w:highlight w:val="none"/>
        </w:rPr>
        <w:t>。</w:t>
      </w:r>
    </w:p>
    <w:p w14:paraId="46D441D3">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20.3.2 争议评审小组的决定</w:t>
      </w:r>
    </w:p>
    <w:p w14:paraId="625E712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合同当事人关于本项的约定：</w:t>
      </w:r>
      <w:r>
        <w:rPr>
          <w:rFonts w:hint="eastAsia" w:ascii="宋体" w:hAnsi="宋体" w:cs="宋体"/>
          <w:b/>
          <w:bCs/>
          <w:color w:val="auto"/>
          <w:kern w:val="0"/>
          <w:sz w:val="24"/>
          <w:szCs w:val="24"/>
          <w:highlight w:val="none"/>
          <w:u w:val="single"/>
        </w:rPr>
        <w:t>按通用条款执行</w:t>
      </w:r>
      <w:r>
        <w:rPr>
          <w:rFonts w:hint="eastAsia" w:ascii="宋体" w:hAnsi="宋体" w:cs="宋体"/>
          <w:color w:val="auto"/>
          <w:kern w:val="0"/>
          <w:sz w:val="24"/>
          <w:szCs w:val="24"/>
          <w:highlight w:val="none"/>
        </w:rPr>
        <w:t>。</w:t>
      </w:r>
    </w:p>
    <w:p w14:paraId="271D5B1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20.4仲裁或诉讼</w:t>
      </w:r>
    </w:p>
    <w:p w14:paraId="2E3258A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因合同及合同有关事项发生的争议，按下列第</w:t>
      </w:r>
      <w:r>
        <w:rPr>
          <w:rFonts w:hint="eastAsia" w:ascii="宋体" w:hAnsi="宋体" w:cs="宋体"/>
          <w:b/>
          <w:color w:val="auto"/>
          <w:kern w:val="0"/>
          <w:sz w:val="24"/>
          <w:szCs w:val="24"/>
          <w:highlight w:val="none"/>
          <w:u w:val="single"/>
        </w:rPr>
        <w:t>（2）</w:t>
      </w:r>
      <w:r>
        <w:rPr>
          <w:rFonts w:hint="eastAsia" w:ascii="宋体" w:hAnsi="宋体" w:cs="宋体"/>
          <w:color w:val="auto"/>
          <w:kern w:val="0"/>
          <w:sz w:val="24"/>
          <w:szCs w:val="24"/>
          <w:highlight w:val="none"/>
        </w:rPr>
        <w:t>种方式解决：</w:t>
      </w:r>
    </w:p>
    <w:p w14:paraId="68E54081">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（1）向</w:t>
      </w:r>
      <w:r>
        <w:rPr>
          <w:rFonts w:hint="eastAsia" w:ascii="宋体" w:hAnsi="宋体" w:cs="宋体"/>
          <w:b/>
          <w:color w:val="auto"/>
          <w:kern w:val="0"/>
          <w:sz w:val="24"/>
          <w:szCs w:val="24"/>
          <w:highlight w:val="none"/>
          <w:u w:val="single"/>
        </w:rPr>
        <w:t xml:space="preserve">/ </w:t>
      </w:r>
      <w:r>
        <w:rPr>
          <w:rFonts w:hint="eastAsia" w:ascii="宋体" w:hAnsi="宋体" w:cs="宋体"/>
          <w:color w:val="auto"/>
          <w:kern w:val="0"/>
          <w:sz w:val="24"/>
          <w:szCs w:val="24"/>
          <w:highlight w:val="none"/>
        </w:rPr>
        <w:t>仲裁委员会申请仲裁；</w:t>
      </w:r>
    </w:p>
    <w:p w14:paraId="6A580469">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（2）向</w:t>
      </w:r>
      <w:r>
        <w:rPr>
          <w:rFonts w:hint="eastAsia" w:ascii="宋体" w:hAnsi="宋体" w:cs="宋体"/>
          <w:b/>
          <w:bCs/>
          <w:color w:val="auto"/>
          <w:kern w:val="0"/>
          <w:sz w:val="24"/>
          <w:szCs w:val="24"/>
          <w:highlight w:val="none"/>
          <w:u w:val="single"/>
        </w:rPr>
        <w:t>工程所在地</w:t>
      </w:r>
      <w:r>
        <w:rPr>
          <w:rFonts w:hint="eastAsia" w:ascii="宋体" w:hAnsi="宋体" w:cs="宋体"/>
          <w:color w:val="auto"/>
          <w:kern w:val="0"/>
          <w:sz w:val="24"/>
          <w:szCs w:val="24"/>
          <w:highlight w:val="none"/>
        </w:rPr>
        <w:t>人民法院起诉。</w:t>
      </w:r>
    </w:p>
    <w:p w14:paraId="12F45F77">
      <w:pPr>
        <w:spacing w:line="460" w:lineRule="exact"/>
        <w:ind w:firstLine="48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21.补充条款</w:t>
      </w:r>
    </w:p>
    <w:p w14:paraId="514DB24B">
      <w:pPr>
        <w:spacing w:line="4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1.承包人根据施工现场情况及现行规定，自行根据可行的施工方案确定报价，结算时一律不作调整。</w:t>
      </w:r>
    </w:p>
    <w:p w14:paraId="37AC5D2D">
      <w:pPr>
        <w:spacing w:line="4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2.施工过程中涉及排污、环保、市容、城建城管、消防、治安、人口管理、居委会、派出所等相关部门收取的费用及相关手续，对临近居民、行人的影响等，夜间文明施工、保护周边地下管线和架空线的安全的费用等，</w:t>
      </w:r>
      <w:r>
        <w:rPr>
          <w:rFonts w:hint="eastAsia" w:ascii="宋体" w:hAnsi="宋体" w:cs="宋体"/>
          <w:color w:val="auto"/>
          <w:kern w:val="0"/>
          <w:sz w:val="24"/>
          <w:szCs w:val="24"/>
          <w:highlight w:val="none"/>
          <w:lang w:val="en-US" w:eastAsia="zh-CN"/>
        </w:rPr>
        <w:t>承包人</w:t>
      </w:r>
      <w:r>
        <w:rPr>
          <w:rFonts w:hint="eastAsia" w:ascii="宋体" w:hAnsi="宋体" w:cs="宋体"/>
          <w:color w:val="auto"/>
          <w:kern w:val="0"/>
          <w:sz w:val="24"/>
          <w:szCs w:val="24"/>
          <w:highlight w:val="none"/>
        </w:rPr>
        <w:t>均应综合考虑在投标报价中，由承包人负责协调处理，竣工结算时一律不作调整。</w:t>
      </w:r>
    </w:p>
    <w:p w14:paraId="51ABF78C">
      <w:pPr>
        <w:spacing w:line="460" w:lineRule="exact"/>
        <w:ind w:firstLine="482"/>
        <w:rPr>
          <w:rFonts w:ascii="宋体" w:hAnsi="宋体" w:cs="宋体"/>
          <w:color w:val="auto"/>
          <w:kern w:val="0"/>
          <w:sz w:val="24"/>
          <w:szCs w:val="24"/>
          <w:highlight w:val="none"/>
        </w:rPr>
      </w:pPr>
      <w:r>
        <w:rPr>
          <w:rFonts w:hint="eastAsia" w:ascii="宋体" w:hAnsi="宋体" w:cs="宋体"/>
          <w:color w:val="auto"/>
          <w:kern w:val="0"/>
          <w:sz w:val="24"/>
          <w:szCs w:val="24"/>
          <w:highlight w:val="none"/>
        </w:rPr>
        <w:t>3.本工程的施工须严格按国家规范要求，承包人必须严格按照发包人要求的日期进场施工。由于承包人原因引起的工程投资增加由承包人负责，由于供货等承包人原因影响工期进度安排的，所产生的一切后果由承包人承担。施工过程中因违反国家有关规定而发生的罚款等费用由责任人自负。</w:t>
      </w:r>
    </w:p>
    <w:p w14:paraId="400AAAB5">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4.如承包人发生上述情况而拒交违约金的，发包人有权从工程款中或履约担保金中双倍扣除。</w:t>
      </w:r>
    </w:p>
    <w:p w14:paraId="1775FA4F">
      <w:pPr>
        <w:tabs>
          <w:tab w:val="left" w:pos="595"/>
        </w:tabs>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5.如果工程中标后，因承包人自身的原因，未能兑现其投标时承诺条件或工程质量较差，或其工期进度严重脱节，经建设单位同意后有权终止合同，并且已完成的有效工程量只按60%计算结算或者由发包人安排其他施工单位进行施工，所发生费用直接按实际费用的2倍或以上金额从承包人合同价款中扣除，同时发包人视情节严重有权扣除部分或全部工期保证金。</w:t>
      </w:r>
    </w:p>
    <w:p w14:paraId="4BB6FDA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6.承包人已充分考虑并为主做好工程实施范围内外的单位、个人和其他可能出现的阻挠施工的情况，并承担所发生的费用，发包人不再承担此类费用（行政性停工除外）。</w:t>
      </w:r>
    </w:p>
    <w:p w14:paraId="7969BC1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7.承包人承诺在本工程施工过程中，保证做到文明、安全施工。</w:t>
      </w:r>
    </w:p>
    <w:p w14:paraId="177D58A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8.承包人应仔细踏勘现场，所涉及的垃圾清运等相关的费用已包含在投标总价中，结算时不再调整。</w:t>
      </w:r>
    </w:p>
    <w:p w14:paraId="6C01E457">
      <w:pPr>
        <w:spacing w:line="460" w:lineRule="exact"/>
        <w:ind w:firstLine="480"/>
        <w:rPr>
          <w:rFonts w:ascii="宋体" w:hAnsi="宋体" w:cs="宋体"/>
          <w:b/>
          <w:color w:val="auto"/>
          <w:kern w:val="0"/>
          <w:sz w:val="24"/>
          <w:szCs w:val="24"/>
          <w:highlight w:val="none"/>
        </w:rPr>
      </w:pPr>
      <w:r>
        <w:rPr>
          <w:rFonts w:hint="eastAsia" w:ascii="宋体" w:hAnsi="宋体" w:cs="宋体"/>
          <w:color w:val="auto"/>
          <w:kern w:val="0"/>
          <w:sz w:val="24"/>
          <w:szCs w:val="24"/>
          <w:highlight w:val="none"/>
        </w:rPr>
        <w:t>9.施工时必须无条件服从发包人及监理方的安排，不得影响主体工程的施工。</w:t>
      </w:r>
    </w:p>
    <w:p w14:paraId="0F5BA59F">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10.承包人不得拒绝完成发包人在施工地点范围内变更或要求增加的工程内容，如拒绝，发包人有权拒绝其文明施工措施费考评申请。</w:t>
      </w:r>
    </w:p>
    <w:p w14:paraId="4763FED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r>
        <w:rPr>
          <w:rFonts w:hint="eastAsia" w:ascii="宋体" w:hAnsi="宋体" w:cs="宋体"/>
          <w:color w:val="auto"/>
          <w:kern w:val="0"/>
          <w:sz w:val="24"/>
          <w:szCs w:val="24"/>
          <w:highlight w:val="none"/>
        </w:rPr>
        <w:br w:type="textWrapping" w:clear="all"/>
      </w:r>
      <w:r>
        <w:rPr>
          <w:rFonts w:hint="eastAsia" w:ascii="宋体" w:hAnsi="宋体" w:cs="宋体"/>
          <w:color w:val="auto"/>
          <w:kern w:val="0"/>
          <w:sz w:val="24"/>
          <w:szCs w:val="24"/>
          <w:highlight w:val="none"/>
        </w:rPr>
        <w:t xml:space="preserve">   12.本工程清单应与施工图、</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不为此类项目另外支付费用。</w:t>
      </w:r>
    </w:p>
    <w:p w14:paraId="0C44508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13.若承包人在投标报价时擅自改变</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文件及清单内容，评审时未被发现，实际施工时均按</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文件及清单内容执行，结算时不予调整。</w:t>
      </w:r>
    </w:p>
    <w:p w14:paraId="1F7978F8">
      <w:pPr>
        <w:tabs>
          <w:tab w:val="left" w:pos="595"/>
        </w:tabs>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14.按相关管理部门的质量、安全要求施工，同时做好协调工作。</w:t>
      </w:r>
    </w:p>
    <w:p w14:paraId="30A27F48">
      <w:pPr>
        <w:spacing w:line="460" w:lineRule="exact"/>
        <w:ind w:firstLine="480"/>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15</w:t>
      </w:r>
      <w:r>
        <w:rPr>
          <w:rFonts w:hint="eastAsia" w:ascii="宋体" w:hAnsi="宋体" w:cs="宋体"/>
          <w:bCs/>
          <w:color w:val="auto"/>
          <w:kern w:val="0"/>
          <w:sz w:val="24"/>
          <w:szCs w:val="24"/>
          <w:highlight w:val="none"/>
        </w:rPr>
        <w:t>.</w:t>
      </w:r>
      <w:r>
        <w:rPr>
          <w:rFonts w:hint="eastAsia" w:ascii="宋体" w:hAnsi="宋体" w:cs="宋体"/>
          <w:color w:val="auto"/>
          <w:kern w:val="0"/>
          <w:sz w:val="24"/>
          <w:szCs w:val="24"/>
          <w:highlight w:val="none"/>
        </w:rPr>
        <w:t>在工程实施过程中，承包人必须收集齐全所有隐蔽项目（包含但不限于拆除、基层、面层的铺设及厚度测量等）的影像视频资料，在送审结算资料中必须一并提交。所有签证资料必须附有详细影像彩色照片，所摄照片必须有可参照性。如影像资料未能反映清单、签证等列明的工作内容则结算时该项内容不予认可。</w:t>
      </w:r>
    </w:p>
    <w:p w14:paraId="75F52706">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16.与其他承包商间的协调、配合、通信关系，由中标人自行解决，确保各分项工程满足设计图纸、验收规范等要求，发生的费用由中标人自行承担，并相互做好成品保护工作，并无条件接受发包人的管理，中标人应确保各分项工程满足设计图纸、验收规范等要求，减少工序交叉施工的影响，并做好成品保护工作，</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不再另行支付任何涉及工序交叉影响的费用。</w:t>
      </w:r>
    </w:p>
    <w:p w14:paraId="1FD6128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17.承包人与农民工签订劳动合同，对其进行基本安全培训，并在南通市农民工实名制管理平台上登记后进场施工。发包人根据双方关于工程款支付约定及时拨付工程款。支付每笔工程款时，将每笔工程款的20%拨付到农民工资专用账户。因发包欠未按照合同约定及时拨付工程款导致农民工工资拖欠的，发包人应当以未结清的工程款为限先行垫付被拖欠的农民工工资。承包人负责每月支付农民工工资，农民工工资拨付周期不得超过1个月。若出现拖欠农民工工资情形，被行政主管部门通报或约谈的，则发包人有权按1万元-3万元/次计取违约金。</w:t>
      </w:r>
    </w:p>
    <w:p w14:paraId="2ED78FD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19.工程竣工时需做好精细化保洁，保洁范围为所有施工场地，符合发包人竣工清洁要求后方可竣工验收，相关费用含在合同价中,结算时不作调整。 </w:t>
      </w:r>
    </w:p>
    <w:p w14:paraId="2206FF9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21.承包人必须在施工时不得影响周边环境，并保证原有建筑结构、地面、装饰及配套设施的完整及完好，如有破坏或破损，须按不低于原标准进行修复。</w:t>
      </w:r>
    </w:p>
    <w:p w14:paraId="13E5AC4B">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承包人应认真踏勘施工现场，考虑因各种困难因素所发生的一切费用由承包人自行考虑，并在投标报价中予以体现，以后不得以此为由提出额外增加费用的要求。水、电接驳，按发包人指定地点，定量表记、接至施工现场管线由承包人自行考虑，费用包含在投标报价中。现场自来水及电源接入点现场具体位置由承包人现场踏勘。</w:t>
      </w:r>
    </w:p>
    <w:p w14:paraId="7CA7200E">
      <w:pPr>
        <w:spacing w:line="4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23.承包人施工期间应遵守</w:t>
      </w:r>
      <w:r>
        <w:rPr>
          <w:rFonts w:hint="eastAsia" w:ascii="宋体" w:hAnsi="宋体" w:cs="宋体"/>
          <w:color w:val="auto"/>
          <w:kern w:val="0"/>
          <w:sz w:val="24"/>
          <w:szCs w:val="24"/>
          <w:highlight w:val="none"/>
          <w:lang w:eastAsia="zh-CN"/>
        </w:rPr>
        <w:t>南通博物苑</w:t>
      </w:r>
      <w:r>
        <w:rPr>
          <w:rFonts w:hint="eastAsia" w:ascii="宋体" w:hAnsi="宋体" w:cs="宋体"/>
          <w:color w:val="auto"/>
          <w:kern w:val="0"/>
          <w:sz w:val="24"/>
          <w:szCs w:val="24"/>
          <w:highlight w:val="none"/>
        </w:rPr>
        <w:t>的有关施工管理和物业管理规定，做好每日施工场地清理、垃圾清运和保洁工作，上述费用包含在投标报价中，结算不作调整。</w:t>
      </w:r>
    </w:p>
    <w:p w14:paraId="09674625">
      <w:pPr>
        <w:spacing w:line="460" w:lineRule="exact"/>
        <w:ind w:firstLine="480"/>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24.九曲桥位于南通博物苑东侧濠河内，紧邻博物苑，博物苑苑内园路狭窄，大型车辆无法进入，相关措施项目由承包人自行踏勘现场，考虑安排并计入报价，结算时一律不做调整。</w:t>
      </w:r>
    </w:p>
    <w:p w14:paraId="0A4DC3D1">
      <w:pPr>
        <w:spacing w:line="460" w:lineRule="exact"/>
        <w:ind w:firstLine="480"/>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rPr>
        <w:t>2</w:t>
      </w:r>
      <w:r>
        <w:rPr>
          <w:rFonts w:hint="eastAsia" w:ascii="宋体" w:hAnsi="宋体" w:cs="宋体"/>
          <w:b/>
          <w:bCs/>
          <w:color w:val="auto"/>
          <w:kern w:val="0"/>
          <w:sz w:val="24"/>
          <w:szCs w:val="24"/>
          <w:highlight w:val="none"/>
          <w:lang w:val="en-US" w:eastAsia="zh-CN"/>
        </w:rPr>
        <w:t>5</w:t>
      </w:r>
      <w:r>
        <w:rPr>
          <w:rFonts w:hint="eastAsia" w:ascii="宋体" w:hAnsi="宋体" w:cs="宋体"/>
          <w:b/>
          <w:bCs/>
          <w:color w:val="auto"/>
          <w:kern w:val="0"/>
          <w:sz w:val="24"/>
          <w:szCs w:val="24"/>
          <w:highlight w:val="none"/>
        </w:rPr>
        <w:t>.</w:t>
      </w:r>
      <w:r>
        <w:rPr>
          <w:rFonts w:hint="eastAsia" w:ascii="宋体" w:hAnsi="宋体" w:cs="宋体"/>
          <w:b/>
          <w:bCs/>
          <w:color w:val="auto"/>
          <w:kern w:val="0"/>
          <w:sz w:val="24"/>
          <w:szCs w:val="24"/>
          <w:highlight w:val="none"/>
          <w:lang w:val="en-US" w:eastAsia="zh-CN"/>
        </w:rPr>
        <w:t>承包人应认真踏勘施工现场，考虑打桩船和施工便桥费用，</w:t>
      </w:r>
      <w:r>
        <w:rPr>
          <w:rFonts w:hint="eastAsia" w:ascii="宋体" w:hAnsi="宋体" w:cs="宋体"/>
          <w:b/>
          <w:bCs/>
          <w:color w:val="auto"/>
          <w:kern w:val="0"/>
          <w:sz w:val="24"/>
          <w:szCs w:val="24"/>
          <w:highlight w:val="none"/>
        </w:rPr>
        <w:t>上述费用包含在投标报价中，结算不作调整。</w:t>
      </w:r>
    </w:p>
    <w:p w14:paraId="1E462382">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 xml:space="preserve">文件约定的内容均作为本合同的附件。 </w:t>
      </w:r>
    </w:p>
    <w:p w14:paraId="72E6F6BB">
      <w:pPr>
        <w:spacing w:line="460" w:lineRule="exact"/>
        <w:ind w:firstLine="480"/>
        <w:rPr>
          <w:rFonts w:ascii="宋体" w:hAnsi="宋体" w:cs="宋体"/>
          <w:color w:val="auto"/>
          <w:kern w:val="0"/>
          <w:sz w:val="24"/>
          <w:szCs w:val="24"/>
          <w:highlight w:val="none"/>
        </w:rPr>
      </w:pPr>
    </w:p>
    <w:p w14:paraId="59846B62">
      <w:pPr>
        <w:spacing w:line="460" w:lineRule="exact"/>
        <w:ind w:firstLine="480"/>
        <w:rPr>
          <w:rFonts w:ascii="宋体" w:hAnsi="宋体" w:cs="宋体"/>
          <w:color w:val="auto"/>
          <w:kern w:val="0"/>
          <w:sz w:val="24"/>
          <w:szCs w:val="24"/>
          <w:highlight w:val="none"/>
        </w:rPr>
      </w:pPr>
    </w:p>
    <w:p w14:paraId="0B0D1EFC">
      <w:pPr>
        <w:spacing w:line="460" w:lineRule="exact"/>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协议书附件：</w:t>
      </w:r>
    </w:p>
    <w:p w14:paraId="06CC12BC">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附件1：承包人承揽工程项目一览表</w:t>
      </w:r>
    </w:p>
    <w:p w14:paraId="3504134E">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专用合同条款附件：</w:t>
      </w:r>
    </w:p>
    <w:p w14:paraId="06CCED8A">
      <w:pPr>
        <w:spacing w:line="460" w:lineRule="exact"/>
        <w:ind w:firstLine="480"/>
        <w:rPr>
          <w:rFonts w:ascii="宋体" w:hAnsi="宋体" w:cs="宋体"/>
          <w:color w:val="auto"/>
          <w:kern w:val="0"/>
          <w:sz w:val="24"/>
          <w:szCs w:val="24"/>
          <w:highlight w:val="none"/>
        </w:rPr>
      </w:pPr>
      <w:bookmarkStart w:id="206" w:name="BM_403160"/>
      <w:bookmarkEnd w:id="206"/>
      <w:r>
        <w:rPr>
          <w:rFonts w:hint="eastAsia" w:ascii="宋体" w:hAnsi="宋体" w:cs="宋体"/>
          <w:color w:val="auto"/>
          <w:kern w:val="0"/>
          <w:sz w:val="24"/>
          <w:szCs w:val="24"/>
          <w:highlight w:val="none"/>
        </w:rPr>
        <w:t>附件2：发包人供应材料设备一览表（本合同不适用）</w:t>
      </w:r>
    </w:p>
    <w:p w14:paraId="3FA9C057">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附件3：工程质量保修书</w:t>
      </w:r>
    </w:p>
    <w:p w14:paraId="2223A60A">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附件4：承包人用于本工程施工的机械设备表</w:t>
      </w:r>
    </w:p>
    <w:p w14:paraId="62669724">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附件5：承包人主要施工管理人员表</w:t>
      </w:r>
    </w:p>
    <w:p w14:paraId="01F16450">
      <w:pPr>
        <w:spacing w:line="460" w:lineRule="exact"/>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附件6：工程建设廉政承诺书</w:t>
      </w:r>
    </w:p>
    <w:p w14:paraId="63F6CF00">
      <w:pPr>
        <w:spacing w:line="460" w:lineRule="exact"/>
        <w:rPr>
          <w:rFonts w:ascii="宋体" w:hAnsi="宋体"/>
          <w:color w:val="auto"/>
          <w:kern w:val="0"/>
          <w:sz w:val="24"/>
          <w:szCs w:val="24"/>
          <w:highlight w:val="none"/>
        </w:rPr>
      </w:pPr>
      <w:r>
        <w:rPr>
          <w:rFonts w:ascii="宋体" w:hAnsi="宋体"/>
          <w:color w:val="auto"/>
          <w:kern w:val="0"/>
          <w:sz w:val="24"/>
          <w:szCs w:val="24"/>
          <w:highlight w:val="none"/>
        </w:rPr>
        <w:br w:type="page" w:clear="all"/>
      </w:r>
      <w:r>
        <w:rPr>
          <w:rFonts w:ascii="宋体" w:hAnsi="宋体"/>
          <w:color w:val="auto"/>
          <w:kern w:val="0"/>
          <w:sz w:val="24"/>
          <w:szCs w:val="24"/>
          <w:highlight w:val="none"/>
        </w:rPr>
        <w:t>附件1：</w:t>
      </w:r>
    </w:p>
    <w:p w14:paraId="72654B16">
      <w:pPr>
        <w:spacing w:line="460" w:lineRule="exact"/>
        <w:jc w:val="center"/>
        <w:rPr>
          <w:rFonts w:ascii="宋体" w:hAnsi="宋体"/>
          <w:color w:val="auto"/>
          <w:kern w:val="0"/>
          <w:sz w:val="24"/>
          <w:szCs w:val="24"/>
          <w:highlight w:val="none"/>
        </w:rPr>
      </w:pPr>
      <w:r>
        <w:rPr>
          <w:rFonts w:ascii="宋体" w:hAnsi="宋体"/>
          <w:b/>
          <w:color w:val="auto"/>
          <w:kern w:val="0"/>
          <w:sz w:val="28"/>
          <w:szCs w:val="28"/>
          <w:highlight w:val="none"/>
        </w:rPr>
        <w:t>承包人承揽工程项目一览表</w:t>
      </w:r>
    </w:p>
    <w:tbl>
      <w:tblPr>
        <w:tblStyle w:val="51"/>
        <w:tblW w:w="93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1302"/>
        <w:gridCol w:w="995"/>
        <w:gridCol w:w="906"/>
        <w:gridCol w:w="851"/>
        <w:gridCol w:w="851"/>
      </w:tblGrid>
      <w:tr w14:paraId="391C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center"/>
          </w:tcPr>
          <w:p w14:paraId="43A8E828">
            <w:pPr>
              <w:spacing w:line="460" w:lineRule="exact"/>
              <w:jc w:val="center"/>
              <w:rPr>
                <w:rFonts w:ascii="宋体" w:hAnsi="宋体"/>
                <w:color w:val="auto"/>
                <w:kern w:val="0"/>
                <w:highlight w:val="none"/>
              </w:rPr>
            </w:pPr>
            <w:r>
              <w:rPr>
                <w:rFonts w:ascii="宋体" w:hAnsi="宋体"/>
                <w:color w:val="auto"/>
                <w:kern w:val="0"/>
                <w:highlight w:val="none"/>
              </w:rPr>
              <w:t>单位工程名称</w:t>
            </w:r>
          </w:p>
        </w:tc>
        <w:tc>
          <w:tcPr>
            <w:tcW w:w="850" w:type="dxa"/>
            <w:noWrap/>
            <w:vAlign w:val="center"/>
          </w:tcPr>
          <w:p w14:paraId="7B30EB70">
            <w:pPr>
              <w:spacing w:line="460" w:lineRule="exact"/>
              <w:jc w:val="center"/>
              <w:rPr>
                <w:rFonts w:ascii="宋体" w:hAnsi="宋体"/>
                <w:color w:val="auto"/>
                <w:kern w:val="0"/>
                <w:highlight w:val="none"/>
              </w:rPr>
            </w:pPr>
            <w:r>
              <w:rPr>
                <w:rFonts w:ascii="宋体" w:hAnsi="宋体"/>
                <w:color w:val="auto"/>
                <w:kern w:val="0"/>
                <w:highlight w:val="none"/>
              </w:rPr>
              <w:t>建设</w:t>
            </w:r>
          </w:p>
          <w:p w14:paraId="4768247D">
            <w:pPr>
              <w:spacing w:line="460" w:lineRule="exact"/>
              <w:jc w:val="center"/>
              <w:rPr>
                <w:rFonts w:ascii="宋体" w:hAnsi="宋体"/>
                <w:color w:val="auto"/>
                <w:kern w:val="0"/>
                <w:highlight w:val="none"/>
              </w:rPr>
            </w:pPr>
            <w:r>
              <w:rPr>
                <w:rFonts w:ascii="宋体" w:hAnsi="宋体"/>
                <w:color w:val="auto"/>
                <w:kern w:val="0"/>
                <w:highlight w:val="none"/>
              </w:rPr>
              <w:t>规模</w:t>
            </w:r>
          </w:p>
        </w:tc>
        <w:tc>
          <w:tcPr>
            <w:tcW w:w="1005" w:type="dxa"/>
            <w:noWrap/>
            <w:vAlign w:val="center"/>
          </w:tcPr>
          <w:p w14:paraId="379C7A09">
            <w:pPr>
              <w:spacing w:line="460" w:lineRule="exact"/>
              <w:jc w:val="center"/>
              <w:rPr>
                <w:rFonts w:ascii="宋体" w:hAnsi="宋体"/>
                <w:color w:val="auto"/>
                <w:kern w:val="0"/>
                <w:highlight w:val="none"/>
              </w:rPr>
            </w:pPr>
            <w:r>
              <w:rPr>
                <w:rFonts w:ascii="宋体" w:hAnsi="宋体"/>
                <w:color w:val="auto"/>
                <w:kern w:val="0"/>
                <w:highlight w:val="none"/>
              </w:rPr>
              <w:t>建筑面积(㎡)</w:t>
            </w:r>
          </w:p>
        </w:tc>
        <w:tc>
          <w:tcPr>
            <w:tcW w:w="682" w:type="dxa"/>
            <w:noWrap/>
            <w:vAlign w:val="center"/>
          </w:tcPr>
          <w:p w14:paraId="4F78297D">
            <w:pPr>
              <w:spacing w:line="460" w:lineRule="exact"/>
              <w:jc w:val="center"/>
              <w:rPr>
                <w:rFonts w:ascii="宋体" w:hAnsi="宋体"/>
                <w:color w:val="auto"/>
                <w:kern w:val="0"/>
                <w:highlight w:val="none"/>
              </w:rPr>
            </w:pPr>
            <w:r>
              <w:rPr>
                <w:rFonts w:ascii="宋体" w:hAnsi="宋体"/>
                <w:color w:val="auto"/>
                <w:kern w:val="0"/>
                <w:highlight w:val="none"/>
              </w:rPr>
              <w:t>结构形式</w:t>
            </w:r>
          </w:p>
        </w:tc>
        <w:tc>
          <w:tcPr>
            <w:tcW w:w="851" w:type="dxa"/>
            <w:noWrap/>
            <w:vAlign w:val="center"/>
          </w:tcPr>
          <w:p w14:paraId="764008E1">
            <w:pPr>
              <w:spacing w:line="460" w:lineRule="exact"/>
              <w:jc w:val="center"/>
              <w:rPr>
                <w:rFonts w:ascii="宋体" w:hAnsi="宋体"/>
                <w:color w:val="auto"/>
                <w:kern w:val="0"/>
                <w:highlight w:val="none"/>
              </w:rPr>
            </w:pPr>
            <w:r>
              <w:rPr>
                <w:rFonts w:ascii="宋体" w:hAnsi="宋体"/>
                <w:color w:val="auto"/>
                <w:kern w:val="0"/>
                <w:highlight w:val="none"/>
              </w:rPr>
              <w:t>层数</w:t>
            </w:r>
          </w:p>
        </w:tc>
        <w:tc>
          <w:tcPr>
            <w:tcW w:w="1302" w:type="dxa"/>
            <w:noWrap/>
            <w:vAlign w:val="center"/>
          </w:tcPr>
          <w:p w14:paraId="7367145D">
            <w:pPr>
              <w:spacing w:line="460" w:lineRule="exact"/>
              <w:jc w:val="center"/>
              <w:rPr>
                <w:rFonts w:ascii="宋体" w:hAnsi="宋体"/>
                <w:color w:val="auto"/>
                <w:kern w:val="0"/>
                <w:highlight w:val="none"/>
              </w:rPr>
            </w:pPr>
            <w:r>
              <w:rPr>
                <w:rFonts w:ascii="宋体" w:hAnsi="宋体"/>
                <w:color w:val="auto"/>
                <w:kern w:val="0"/>
                <w:highlight w:val="none"/>
              </w:rPr>
              <w:t>生产能力</w:t>
            </w:r>
          </w:p>
        </w:tc>
        <w:tc>
          <w:tcPr>
            <w:tcW w:w="995" w:type="dxa"/>
            <w:noWrap/>
            <w:vAlign w:val="center"/>
          </w:tcPr>
          <w:p w14:paraId="2F237C7B">
            <w:pPr>
              <w:spacing w:line="460" w:lineRule="exact"/>
              <w:jc w:val="center"/>
              <w:rPr>
                <w:rFonts w:ascii="宋体" w:hAnsi="宋体"/>
                <w:color w:val="auto"/>
                <w:kern w:val="0"/>
                <w:highlight w:val="none"/>
              </w:rPr>
            </w:pPr>
            <w:r>
              <w:rPr>
                <w:rFonts w:ascii="宋体" w:hAnsi="宋体"/>
                <w:color w:val="auto"/>
                <w:kern w:val="0"/>
                <w:highlight w:val="none"/>
              </w:rPr>
              <w:t>设备安装内容</w:t>
            </w:r>
          </w:p>
        </w:tc>
        <w:tc>
          <w:tcPr>
            <w:tcW w:w="906" w:type="dxa"/>
            <w:noWrap/>
            <w:vAlign w:val="center"/>
          </w:tcPr>
          <w:p w14:paraId="1BBAD550">
            <w:pPr>
              <w:spacing w:line="460" w:lineRule="exact"/>
              <w:jc w:val="center"/>
              <w:rPr>
                <w:rFonts w:ascii="宋体" w:hAnsi="宋体"/>
                <w:color w:val="auto"/>
                <w:kern w:val="0"/>
                <w:highlight w:val="none"/>
              </w:rPr>
            </w:pPr>
            <w:r>
              <w:rPr>
                <w:rFonts w:ascii="宋体" w:hAnsi="宋体"/>
                <w:color w:val="auto"/>
                <w:kern w:val="0"/>
                <w:highlight w:val="none"/>
              </w:rPr>
              <w:t>合同价（元）</w:t>
            </w:r>
          </w:p>
        </w:tc>
        <w:tc>
          <w:tcPr>
            <w:tcW w:w="851" w:type="dxa"/>
            <w:noWrap/>
            <w:vAlign w:val="center"/>
          </w:tcPr>
          <w:p w14:paraId="59CB4FA9">
            <w:pPr>
              <w:spacing w:line="460" w:lineRule="exact"/>
              <w:jc w:val="center"/>
              <w:rPr>
                <w:rFonts w:ascii="宋体" w:hAnsi="宋体"/>
                <w:color w:val="auto"/>
                <w:kern w:val="0"/>
                <w:highlight w:val="none"/>
              </w:rPr>
            </w:pPr>
            <w:r>
              <w:rPr>
                <w:rFonts w:ascii="宋体" w:hAnsi="宋体"/>
                <w:color w:val="auto"/>
                <w:kern w:val="0"/>
                <w:highlight w:val="none"/>
              </w:rPr>
              <w:t>开工</w:t>
            </w:r>
          </w:p>
          <w:p w14:paraId="3BC5FA14">
            <w:pPr>
              <w:spacing w:line="460" w:lineRule="exact"/>
              <w:jc w:val="center"/>
              <w:rPr>
                <w:rFonts w:ascii="宋体" w:hAnsi="宋体"/>
                <w:color w:val="auto"/>
                <w:kern w:val="0"/>
                <w:highlight w:val="none"/>
              </w:rPr>
            </w:pPr>
            <w:r>
              <w:rPr>
                <w:rFonts w:ascii="宋体" w:hAnsi="宋体"/>
                <w:color w:val="auto"/>
                <w:kern w:val="0"/>
                <w:highlight w:val="none"/>
              </w:rPr>
              <w:t>日期</w:t>
            </w:r>
          </w:p>
        </w:tc>
        <w:tc>
          <w:tcPr>
            <w:tcW w:w="851" w:type="dxa"/>
            <w:noWrap/>
            <w:vAlign w:val="center"/>
          </w:tcPr>
          <w:p w14:paraId="59636F95">
            <w:pPr>
              <w:spacing w:line="460" w:lineRule="exact"/>
              <w:jc w:val="center"/>
              <w:rPr>
                <w:rFonts w:ascii="宋体" w:hAnsi="宋体"/>
                <w:color w:val="auto"/>
                <w:kern w:val="0"/>
                <w:highlight w:val="none"/>
              </w:rPr>
            </w:pPr>
            <w:r>
              <w:rPr>
                <w:rFonts w:ascii="宋体" w:hAnsi="宋体"/>
                <w:color w:val="auto"/>
                <w:kern w:val="0"/>
                <w:highlight w:val="none"/>
              </w:rPr>
              <w:t>竣工</w:t>
            </w:r>
          </w:p>
          <w:p w14:paraId="3A908DC5">
            <w:pPr>
              <w:spacing w:line="460" w:lineRule="exact"/>
              <w:jc w:val="center"/>
              <w:rPr>
                <w:rFonts w:ascii="宋体" w:hAnsi="宋体"/>
                <w:color w:val="auto"/>
                <w:kern w:val="0"/>
                <w:highlight w:val="none"/>
              </w:rPr>
            </w:pPr>
            <w:r>
              <w:rPr>
                <w:rFonts w:ascii="宋体" w:hAnsi="宋体"/>
                <w:color w:val="auto"/>
                <w:kern w:val="0"/>
                <w:highlight w:val="none"/>
              </w:rPr>
              <w:t>日期</w:t>
            </w:r>
          </w:p>
        </w:tc>
      </w:tr>
      <w:tr w14:paraId="438ED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0B2DD113">
            <w:pPr>
              <w:spacing w:line="460" w:lineRule="exact"/>
              <w:rPr>
                <w:rFonts w:ascii="宋体" w:hAnsi="宋体"/>
                <w:color w:val="auto"/>
                <w:kern w:val="0"/>
                <w:highlight w:val="none"/>
              </w:rPr>
            </w:pPr>
          </w:p>
        </w:tc>
        <w:tc>
          <w:tcPr>
            <w:tcW w:w="850" w:type="dxa"/>
            <w:noWrap/>
            <w:vAlign w:val="top"/>
          </w:tcPr>
          <w:p w14:paraId="11A1DD1F">
            <w:pPr>
              <w:spacing w:line="460" w:lineRule="exact"/>
              <w:rPr>
                <w:rFonts w:ascii="宋体" w:hAnsi="宋体"/>
                <w:color w:val="auto"/>
                <w:kern w:val="0"/>
                <w:highlight w:val="none"/>
              </w:rPr>
            </w:pPr>
          </w:p>
        </w:tc>
        <w:tc>
          <w:tcPr>
            <w:tcW w:w="1005" w:type="dxa"/>
            <w:noWrap/>
            <w:vAlign w:val="top"/>
          </w:tcPr>
          <w:p w14:paraId="2FC6D617">
            <w:pPr>
              <w:spacing w:line="460" w:lineRule="exact"/>
              <w:rPr>
                <w:rFonts w:ascii="宋体" w:hAnsi="宋体"/>
                <w:color w:val="auto"/>
                <w:kern w:val="0"/>
                <w:highlight w:val="none"/>
              </w:rPr>
            </w:pPr>
          </w:p>
        </w:tc>
        <w:tc>
          <w:tcPr>
            <w:tcW w:w="682" w:type="dxa"/>
            <w:noWrap/>
            <w:vAlign w:val="top"/>
          </w:tcPr>
          <w:p w14:paraId="511DAF21">
            <w:pPr>
              <w:spacing w:line="460" w:lineRule="exact"/>
              <w:rPr>
                <w:rFonts w:ascii="宋体" w:hAnsi="宋体"/>
                <w:color w:val="auto"/>
                <w:kern w:val="0"/>
                <w:highlight w:val="none"/>
              </w:rPr>
            </w:pPr>
          </w:p>
        </w:tc>
        <w:tc>
          <w:tcPr>
            <w:tcW w:w="851" w:type="dxa"/>
            <w:noWrap/>
            <w:vAlign w:val="top"/>
          </w:tcPr>
          <w:p w14:paraId="05A1A092">
            <w:pPr>
              <w:spacing w:line="460" w:lineRule="exact"/>
              <w:rPr>
                <w:rFonts w:ascii="宋体" w:hAnsi="宋体"/>
                <w:color w:val="auto"/>
                <w:kern w:val="0"/>
                <w:highlight w:val="none"/>
              </w:rPr>
            </w:pPr>
          </w:p>
        </w:tc>
        <w:tc>
          <w:tcPr>
            <w:tcW w:w="1302" w:type="dxa"/>
            <w:noWrap/>
            <w:vAlign w:val="top"/>
          </w:tcPr>
          <w:p w14:paraId="6B697A5F">
            <w:pPr>
              <w:spacing w:line="460" w:lineRule="exact"/>
              <w:rPr>
                <w:rFonts w:ascii="宋体" w:hAnsi="宋体"/>
                <w:color w:val="auto"/>
                <w:kern w:val="0"/>
                <w:highlight w:val="none"/>
              </w:rPr>
            </w:pPr>
          </w:p>
        </w:tc>
        <w:tc>
          <w:tcPr>
            <w:tcW w:w="995" w:type="dxa"/>
            <w:noWrap/>
            <w:vAlign w:val="top"/>
          </w:tcPr>
          <w:p w14:paraId="6D8F2FE6">
            <w:pPr>
              <w:spacing w:line="460" w:lineRule="exact"/>
              <w:rPr>
                <w:rFonts w:ascii="宋体" w:hAnsi="宋体"/>
                <w:color w:val="auto"/>
                <w:kern w:val="0"/>
                <w:highlight w:val="none"/>
              </w:rPr>
            </w:pPr>
          </w:p>
        </w:tc>
        <w:tc>
          <w:tcPr>
            <w:tcW w:w="906" w:type="dxa"/>
            <w:noWrap/>
            <w:vAlign w:val="top"/>
          </w:tcPr>
          <w:p w14:paraId="610A5A55">
            <w:pPr>
              <w:spacing w:line="460" w:lineRule="exact"/>
              <w:rPr>
                <w:rFonts w:ascii="宋体" w:hAnsi="宋体"/>
                <w:color w:val="auto"/>
                <w:kern w:val="0"/>
                <w:highlight w:val="none"/>
              </w:rPr>
            </w:pPr>
          </w:p>
        </w:tc>
        <w:tc>
          <w:tcPr>
            <w:tcW w:w="851" w:type="dxa"/>
            <w:noWrap/>
            <w:vAlign w:val="top"/>
          </w:tcPr>
          <w:p w14:paraId="78983F17">
            <w:pPr>
              <w:spacing w:line="460" w:lineRule="exact"/>
              <w:rPr>
                <w:rFonts w:ascii="宋体" w:hAnsi="宋体"/>
                <w:color w:val="auto"/>
                <w:kern w:val="0"/>
                <w:highlight w:val="none"/>
              </w:rPr>
            </w:pPr>
          </w:p>
        </w:tc>
        <w:tc>
          <w:tcPr>
            <w:tcW w:w="851" w:type="dxa"/>
            <w:noWrap/>
            <w:vAlign w:val="top"/>
          </w:tcPr>
          <w:p w14:paraId="4A6C98F8">
            <w:pPr>
              <w:spacing w:line="460" w:lineRule="exact"/>
              <w:rPr>
                <w:rFonts w:ascii="宋体" w:hAnsi="宋体"/>
                <w:color w:val="auto"/>
                <w:kern w:val="0"/>
                <w:highlight w:val="none"/>
              </w:rPr>
            </w:pPr>
          </w:p>
        </w:tc>
      </w:tr>
      <w:tr w14:paraId="44A69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3CDBEB5D">
            <w:pPr>
              <w:spacing w:line="460" w:lineRule="exact"/>
              <w:rPr>
                <w:rFonts w:ascii="宋体" w:hAnsi="宋体"/>
                <w:color w:val="auto"/>
                <w:kern w:val="0"/>
                <w:highlight w:val="none"/>
              </w:rPr>
            </w:pPr>
          </w:p>
        </w:tc>
        <w:tc>
          <w:tcPr>
            <w:tcW w:w="850" w:type="dxa"/>
            <w:noWrap/>
            <w:vAlign w:val="top"/>
          </w:tcPr>
          <w:p w14:paraId="3277B5A2">
            <w:pPr>
              <w:spacing w:line="460" w:lineRule="exact"/>
              <w:rPr>
                <w:rFonts w:ascii="宋体" w:hAnsi="宋体"/>
                <w:color w:val="auto"/>
                <w:kern w:val="0"/>
                <w:highlight w:val="none"/>
              </w:rPr>
            </w:pPr>
          </w:p>
        </w:tc>
        <w:tc>
          <w:tcPr>
            <w:tcW w:w="1005" w:type="dxa"/>
            <w:noWrap/>
            <w:vAlign w:val="top"/>
          </w:tcPr>
          <w:p w14:paraId="3FCDB3C1">
            <w:pPr>
              <w:spacing w:line="460" w:lineRule="exact"/>
              <w:rPr>
                <w:rFonts w:ascii="宋体" w:hAnsi="宋体"/>
                <w:color w:val="auto"/>
                <w:kern w:val="0"/>
                <w:highlight w:val="none"/>
              </w:rPr>
            </w:pPr>
          </w:p>
        </w:tc>
        <w:tc>
          <w:tcPr>
            <w:tcW w:w="682" w:type="dxa"/>
            <w:noWrap/>
            <w:vAlign w:val="top"/>
          </w:tcPr>
          <w:p w14:paraId="14F59046">
            <w:pPr>
              <w:spacing w:line="460" w:lineRule="exact"/>
              <w:rPr>
                <w:rFonts w:ascii="宋体" w:hAnsi="宋体"/>
                <w:color w:val="auto"/>
                <w:kern w:val="0"/>
                <w:highlight w:val="none"/>
              </w:rPr>
            </w:pPr>
          </w:p>
        </w:tc>
        <w:tc>
          <w:tcPr>
            <w:tcW w:w="851" w:type="dxa"/>
            <w:noWrap/>
            <w:vAlign w:val="top"/>
          </w:tcPr>
          <w:p w14:paraId="29C563B6">
            <w:pPr>
              <w:spacing w:line="460" w:lineRule="exact"/>
              <w:rPr>
                <w:rFonts w:ascii="宋体" w:hAnsi="宋体"/>
                <w:color w:val="auto"/>
                <w:kern w:val="0"/>
                <w:highlight w:val="none"/>
              </w:rPr>
            </w:pPr>
          </w:p>
        </w:tc>
        <w:tc>
          <w:tcPr>
            <w:tcW w:w="1302" w:type="dxa"/>
            <w:noWrap/>
            <w:vAlign w:val="top"/>
          </w:tcPr>
          <w:p w14:paraId="2D4783F6">
            <w:pPr>
              <w:spacing w:line="460" w:lineRule="exact"/>
              <w:rPr>
                <w:rFonts w:ascii="宋体" w:hAnsi="宋体"/>
                <w:color w:val="auto"/>
                <w:kern w:val="0"/>
                <w:highlight w:val="none"/>
              </w:rPr>
            </w:pPr>
          </w:p>
        </w:tc>
        <w:tc>
          <w:tcPr>
            <w:tcW w:w="995" w:type="dxa"/>
            <w:noWrap/>
            <w:vAlign w:val="top"/>
          </w:tcPr>
          <w:p w14:paraId="1173BA0D">
            <w:pPr>
              <w:spacing w:line="460" w:lineRule="exact"/>
              <w:rPr>
                <w:rFonts w:ascii="宋体" w:hAnsi="宋体"/>
                <w:color w:val="auto"/>
                <w:kern w:val="0"/>
                <w:highlight w:val="none"/>
              </w:rPr>
            </w:pPr>
          </w:p>
        </w:tc>
        <w:tc>
          <w:tcPr>
            <w:tcW w:w="906" w:type="dxa"/>
            <w:noWrap/>
            <w:vAlign w:val="top"/>
          </w:tcPr>
          <w:p w14:paraId="00AA1590">
            <w:pPr>
              <w:spacing w:line="460" w:lineRule="exact"/>
              <w:rPr>
                <w:rFonts w:ascii="宋体" w:hAnsi="宋体"/>
                <w:color w:val="auto"/>
                <w:kern w:val="0"/>
                <w:highlight w:val="none"/>
              </w:rPr>
            </w:pPr>
          </w:p>
        </w:tc>
        <w:tc>
          <w:tcPr>
            <w:tcW w:w="851" w:type="dxa"/>
            <w:noWrap/>
            <w:vAlign w:val="top"/>
          </w:tcPr>
          <w:p w14:paraId="744B04F1">
            <w:pPr>
              <w:spacing w:line="460" w:lineRule="exact"/>
              <w:rPr>
                <w:rFonts w:ascii="宋体" w:hAnsi="宋体"/>
                <w:color w:val="auto"/>
                <w:kern w:val="0"/>
                <w:highlight w:val="none"/>
              </w:rPr>
            </w:pPr>
          </w:p>
        </w:tc>
        <w:tc>
          <w:tcPr>
            <w:tcW w:w="851" w:type="dxa"/>
            <w:noWrap/>
            <w:vAlign w:val="top"/>
          </w:tcPr>
          <w:p w14:paraId="1D75DCCE">
            <w:pPr>
              <w:spacing w:line="460" w:lineRule="exact"/>
              <w:rPr>
                <w:rFonts w:ascii="宋体" w:hAnsi="宋体"/>
                <w:color w:val="auto"/>
                <w:kern w:val="0"/>
                <w:highlight w:val="none"/>
              </w:rPr>
            </w:pPr>
          </w:p>
        </w:tc>
      </w:tr>
      <w:tr w14:paraId="2BE84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5E1E818C">
            <w:pPr>
              <w:spacing w:line="460" w:lineRule="exact"/>
              <w:rPr>
                <w:rFonts w:ascii="宋体" w:hAnsi="宋体"/>
                <w:color w:val="auto"/>
                <w:kern w:val="0"/>
                <w:highlight w:val="none"/>
              </w:rPr>
            </w:pPr>
          </w:p>
        </w:tc>
        <w:tc>
          <w:tcPr>
            <w:tcW w:w="850" w:type="dxa"/>
            <w:noWrap/>
            <w:vAlign w:val="top"/>
          </w:tcPr>
          <w:p w14:paraId="6B9B0270">
            <w:pPr>
              <w:spacing w:line="460" w:lineRule="exact"/>
              <w:rPr>
                <w:rFonts w:ascii="宋体" w:hAnsi="宋体"/>
                <w:color w:val="auto"/>
                <w:kern w:val="0"/>
                <w:highlight w:val="none"/>
              </w:rPr>
            </w:pPr>
          </w:p>
        </w:tc>
        <w:tc>
          <w:tcPr>
            <w:tcW w:w="1005" w:type="dxa"/>
            <w:noWrap/>
            <w:vAlign w:val="top"/>
          </w:tcPr>
          <w:p w14:paraId="085D478D">
            <w:pPr>
              <w:spacing w:line="460" w:lineRule="exact"/>
              <w:rPr>
                <w:rFonts w:ascii="宋体" w:hAnsi="宋体"/>
                <w:color w:val="auto"/>
                <w:kern w:val="0"/>
                <w:highlight w:val="none"/>
              </w:rPr>
            </w:pPr>
          </w:p>
        </w:tc>
        <w:tc>
          <w:tcPr>
            <w:tcW w:w="682" w:type="dxa"/>
            <w:noWrap/>
            <w:vAlign w:val="top"/>
          </w:tcPr>
          <w:p w14:paraId="11A15EF5">
            <w:pPr>
              <w:spacing w:line="460" w:lineRule="exact"/>
              <w:rPr>
                <w:rFonts w:ascii="宋体" w:hAnsi="宋体"/>
                <w:color w:val="auto"/>
                <w:kern w:val="0"/>
                <w:highlight w:val="none"/>
              </w:rPr>
            </w:pPr>
          </w:p>
        </w:tc>
        <w:tc>
          <w:tcPr>
            <w:tcW w:w="851" w:type="dxa"/>
            <w:noWrap/>
            <w:vAlign w:val="top"/>
          </w:tcPr>
          <w:p w14:paraId="36D30BAE">
            <w:pPr>
              <w:spacing w:line="460" w:lineRule="exact"/>
              <w:rPr>
                <w:rFonts w:ascii="宋体" w:hAnsi="宋体"/>
                <w:color w:val="auto"/>
                <w:kern w:val="0"/>
                <w:highlight w:val="none"/>
              </w:rPr>
            </w:pPr>
          </w:p>
        </w:tc>
        <w:tc>
          <w:tcPr>
            <w:tcW w:w="1302" w:type="dxa"/>
            <w:noWrap/>
            <w:vAlign w:val="top"/>
          </w:tcPr>
          <w:p w14:paraId="1A0953A1">
            <w:pPr>
              <w:spacing w:line="460" w:lineRule="exact"/>
              <w:rPr>
                <w:rFonts w:ascii="宋体" w:hAnsi="宋体"/>
                <w:color w:val="auto"/>
                <w:kern w:val="0"/>
                <w:highlight w:val="none"/>
              </w:rPr>
            </w:pPr>
          </w:p>
        </w:tc>
        <w:tc>
          <w:tcPr>
            <w:tcW w:w="995" w:type="dxa"/>
            <w:noWrap/>
            <w:vAlign w:val="top"/>
          </w:tcPr>
          <w:p w14:paraId="67F2021B">
            <w:pPr>
              <w:spacing w:line="460" w:lineRule="exact"/>
              <w:rPr>
                <w:rFonts w:ascii="宋体" w:hAnsi="宋体"/>
                <w:color w:val="auto"/>
                <w:kern w:val="0"/>
                <w:highlight w:val="none"/>
              </w:rPr>
            </w:pPr>
          </w:p>
        </w:tc>
        <w:tc>
          <w:tcPr>
            <w:tcW w:w="906" w:type="dxa"/>
            <w:noWrap/>
            <w:vAlign w:val="top"/>
          </w:tcPr>
          <w:p w14:paraId="0EBD6999">
            <w:pPr>
              <w:spacing w:line="460" w:lineRule="exact"/>
              <w:rPr>
                <w:rFonts w:ascii="宋体" w:hAnsi="宋体"/>
                <w:color w:val="auto"/>
                <w:kern w:val="0"/>
                <w:highlight w:val="none"/>
              </w:rPr>
            </w:pPr>
          </w:p>
        </w:tc>
        <w:tc>
          <w:tcPr>
            <w:tcW w:w="851" w:type="dxa"/>
            <w:noWrap/>
            <w:vAlign w:val="top"/>
          </w:tcPr>
          <w:p w14:paraId="6F18CAC2">
            <w:pPr>
              <w:spacing w:line="460" w:lineRule="exact"/>
              <w:rPr>
                <w:rFonts w:ascii="宋体" w:hAnsi="宋体"/>
                <w:color w:val="auto"/>
                <w:kern w:val="0"/>
                <w:highlight w:val="none"/>
              </w:rPr>
            </w:pPr>
          </w:p>
        </w:tc>
        <w:tc>
          <w:tcPr>
            <w:tcW w:w="851" w:type="dxa"/>
            <w:noWrap/>
            <w:vAlign w:val="top"/>
          </w:tcPr>
          <w:p w14:paraId="1DE3416C">
            <w:pPr>
              <w:spacing w:line="460" w:lineRule="exact"/>
              <w:rPr>
                <w:rFonts w:ascii="宋体" w:hAnsi="宋体"/>
                <w:color w:val="auto"/>
                <w:kern w:val="0"/>
                <w:highlight w:val="none"/>
              </w:rPr>
            </w:pPr>
          </w:p>
        </w:tc>
      </w:tr>
      <w:tr w14:paraId="50BDA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5F717CEA">
            <w:pPr>
              <w:spacing w:line="460" w:lineRule="exact"/>
              <w:rPr>
                <w:rFonts w:ascii="宋体" w:hAnsi="宋体"/>
                <w:color w:val="auto"/>
                <w:kern w:val="0"/>
                <w:highlight w:val="none"/>
              </w:rPr>
            </w:pPr>
          </w:p>
        </w:tc>
        <w:tc>
          <w:tcPr>
            <w:tcW w:w="850" w:type="dxa"/>
            <w:noWrap/>
            <w:vAlign w:val="top"/>
          </w:tcPr>
          <w:p w14:paraId="13C3464C">
            <w:pPr>
              <w:spacing w:line="460" w:lineRule="exact"/>
              <w:rPr>
                <w:rFonts w:ascii="宋体" w:hAnsi="宋体"/>
                <w:color w:val="auto"/>
                <w:kern w:val="0"/>
                <w:highlight w:val="none"/>
              </w:rPr>
            </w:pPr>
          </w:p>
        </w:tc>
        <w:tc>
          <w:tcPr>
            <w:tcW w:w="1005" w:type="dxa"/>
            <w:noWrap/>
            <w:vAlign w:val="top"/>
          </w:tcPr>
          <w:p w14:paraId="3981DD7F">
            <w:pPr>
              <w:spacing w:line="460" w:lineRule="exact"/>
              <w:rPr>
                <w:rFonts w:ascii="宋体" w:hAnsi="宋体"/>
                <w:color w:val="auto"/>
                <w:kern w:val="0"/>
                <w:highlight w:val="none"/>
              </w:rPr>
            </w:pPr>
          </w:p>
        </w:tc>
        <w:tc>
          <w:tcPr>
            <w:tcW w:w="682" w:type="dxa"/>
            <w:noWrap/>
            <w:vAlign w:val="top"/>
          </w:tcPr>
          <w:p w14:paraId="273F7E2C">
            <w:pPr>
              <w:spacing w:line="460" w:lineRule="exact"/>
              <w:rPr>
                <w:rFonts w:ascii="宋体" w:hAnsi="宋体"/>
                <w:color w:val="auto"/>
                <w:kern w:val="0"/>
                <w:highlight w:val="none"/>
              </w:rPr>
            </w:pPr>
          </w:p>
        </w:tc>
        <w:tc>
          <w:tcPr>
            <w:tcW w:w="851" w:type="dxa"/>
            <w:noWrap/>
            <w:vAlign w:val="top"/>
          </w:tcPr>
          <w:p w14:paraId="03B3012D">
            <w:pPr>
              <w:spacing w:line="460" w:lineRule="exact"/>
              <w:rPr>
                <w:rFonts w:ascii="宋体" w:hAnsi="宋体"/>
                <w:color w:val="auto"/>
                <w:kern w:val="0"/>
                <w:highlight w:val="none"/>
              </w:rPr>
            </w:pPr>
          </w:p>
        </w:tc>
        <w:tc>
          <w:tcPr>
            <w:tcW w:w="1302" w:type="dxa"/>
            <w:noWrap/>
            <w:vAlign w:val="top"/>
          </w:tcPr>
          <w:p w14:paraId="547D5BF1">
            <w:pPr>
              <w:spacing w:line="460" w:lineRule="exact"/>
              <w:rPr>
                <w:rFonts w:ascii="宋体" w:hAnsi="宋体"/>
                <w:color w:val="auto"/>
                <w:kern w:val="0"/>
                <w:highlight w:val="none"/>
              </w:rPr>
            </w:pPr>
          </w:p>
        </w:tc>
        <w:tc>
          <w:tcPr>
            <w:tcW w:w="995" w:type="dxa"/>
            <w:noWrap/>
            <w:vAlign w:val="top"/>
          </w:tcPr>
          <w:p w14:paraId="1B91A674">
            <w:pPr>
              <w:spacing w:line="460" w:lineRule="exact"/>
              <w:rPr>
                <w:rFonts w:ascii="宋体" w:hAnsi="宋体"/>
                <w:color w:val="auto"/>
                <w:kern w:val="0"/>
                <w:highlight w:val="none"/>
              </w:rPr>
            </w:pPr>
          </w:p>
        </w:tc>
        <w:tc>
          <w:tcPr>
            <w:tcW w:w="906" w:type="dxa"/>
            <w:noWrap/>
            <w:vAlign w:val="top"/>
          </w:tcPr>
          <w:p w14:paraId="344077A0">
            <w:pPr>
              <w:spacing w:line="460" w:lineRule="exact"/>
              <w:rPr>
                <w:rFonts w:ascii="宋体" w:hAnsi="宋体"/>
                <w:color w:val="auto"/>
                <w:kern w:val="0"/>
                <w:highlight w:val="none"/>
              </w:rPr>
            </w:pPr>
          </w:p>
        </w:tc>
        <w:tc>
          <w:tcPr>
            <w:tcW w:w="851" w:type="dxa"/>
            <w:noWrap/>
            <w:vAlign w:val="top"/>
          </w:tcPr>
          <w:p w14:paraId="0CFB88D9">
            <w:pPr>
              <w:spacing w:line="460" w:lineRule="exact"/>
              <w:rPr>
                <w:rFonts w:ascii="宋体" w:hAnsi="宋体"/>
                <w:color w:val="auto"/>
                <w:kern w:val="0"/>
                <w:highlight w:val="none"/>
              </w:rPr>
            </w:pPr>
          </w:p>
        </w:tc>
        <w:tc>
          <w:tcPr>
            <w:tcW w:w="851" w:type="dxa"/>
            <w:noWrap/>
            <w:vAlign w:val="top"/>
          </w:tcPr>
          <w:p w14:paraId="5F0C150D">
            <w:pPr>
              <w:spacing w:line="460" w:lineRule="exact"/>
              <w:rPr>
                <w:rFonts w:ascii="宋体" w:hAnsi="宋体"/>
                <w:color w:val="auto"/>
                <w:kern w:val="0"/>
                <w:highlight w:val="none"/>
              </w:rPr>
            </w:pPr>
          </w:p>
        </w:tc>
      </w:tr>
      <w:tr w14:paraId="50A1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4AC0F14D">
            <w:pPr>
              <w:spacing w:line="460" w:lineRule="exact"/>
              <w:rPr>
                <w:rFonts w:ascii="宋体" w:hAnsi="宋体"/>
                <w:color w:val="auto"/>
                <w:kern w:val="0"/>
                <w:highlight w:val="none"/>
              </w:rPr>
            </w:pPr>
          </w:p>
        </w:tc>
        <w:tc>
          <w:tcPr>
            <w:tcW w:w="850" w:type="dxa"/>
            <w:noWrap/>
            <w:vAlign w:val="top"/>
          </w:tcPr>
          <w:p w14:paraId="3949FE46">
            <w:pPr>
              <w:spacing w:line="460" w:lineRule="exact"/>
              <w:rPr>
                <w:rFonts w:ascii="宋体" w:hAnsi="宋体"/>
                <w:color w:val="auto"/>
                <w:kern w:val="0"/>
                <w:highlight w:val="none"/>
              </w:rPr>
            </w:pPr>
          </w:p>
        </w:tc>
        <w:tc>
          <w:tcPr>
            <w:tcW w:w="1005" w:type="dxa"/>
            <w:noWrap/>
            <w:vAlign w:val="top"/>
          </w:tcPr>
          <w:p w14:paraId="683FE703">
            <w:pPr>
              <w:spacing w:line="460" w:lineRule="exact"/>
              <w:rPr>
                <w:rFonts w:ascii="宋体" w:hAnsi="宋体"/>
                <w:color w:val="auto"/>
                <w:kern w:val="0"/>
                <w:highlight w:val="none"/>
              </w:rPr>
            </w:pPr>
          </w:p>
        </w:tc>
        <w:tc>
          <w:tcPr>
            <w:tcW w:w="682" w:type="dxa"/>
            <w:noWrap/>
            <w:vAlign w:val="top"/>
          </w:tcPr>
          <w:p w14:paraId="2A8888AC">
            <w:pPr>
              <w:spacing w:line="460" w:lineRule="exact"/>
              <w:rPr>
                <w:rFonts w:ascii="宋体" w:hAnsi="宋体"/>
                <w:color w:val="auto"/>
                <w:kern w:val="0"/>
                <w:highlight w:val="none"/>
              </w:rPr>
            </w:pPr>
          </w:p>
        </w:tc>
        <w:tc>
          <w:tcPr>
            <w:tcW w:w="851" w:type="dxa"/>
            <w:noWrap/>
            <w:vAlign w:val="top"/>
          </w:tcPr>
          <w:p w14:paraId="2BAB5D85">
            <w:pPr>
              <w:spacing w:line="460" w:lineRule="exact"/>
              <w:rPr>
                <w:rFonts w:ascii="宋体" w:hAnsi="宋体"/>
                <w:color w:val="auto"/>
                <w:kern w:val="0"/>
                <w:highlight w:val="none"/>
              </w:rPr>
            </w:pPr>
          </w:p>
        </w:tc>
        <w:tc>
          <w:tcPr>
            <w:tcW w:w="1302" w:type="dxa"/>
            <w:noWrap/>
            <w:vAlign w:val="top"/>
          </w:tcPr>
          <w:p w14:paraId="5CD364E1">
            <w:pPr>
              <w:spacing w:line="460" w:lineRule="exact"/>
              <w:rPr>
                <w:rFonts w:ascii="宋体" w:hAnsi="宋体"/>
                <w:color w:val="auto"/>
                <w:kern w:val="0"/>
                <w:highlight w:val="none"/>
              </w:rPr>
            </w:pPr>
          </w:p>
        </w:tc>
        <w:tc>
          <w:tcPr>
            <w:tcW w:w="995" w:type="dxa"/>
            <w:noWrap/>
            <w:vAlign w:val="top"/>
          </w:tcPr>
          <w:p w14:paraId="11ACE23A">
            <w:pPr>
              <w:spacing w:line="460" w:lineRule="exact"/>
              <w:rPr>
                <w:rFonts w:ascii="宋体" w:hAnsi="宋体"/>
                <w:color w:val="auto"/>
                <w:kern w:val="0"/>
                <w:highlight w:val="none"/>
              </w:rPr>
            </w:pPr>
          </w:p>
        </w:tc>
        <w:tc>
          <w:tcPr>
            <w:tcW w:w="906" w:type="dxa"/>
            <w:noWrap/>
            <w:vAlign w:val="top"/>
          </w:tcPr>
          <w:p w14:paraId="65894443">
            <w:pPr>
              <w:spacing w:line="460" w:lineRule="exact"/>
              <w:rPr>
                <w:rFonts w:ascii="宋体" w:hAnsi="宋体"/>
                <w:color w:val="auto"/>
                <w:kern w:val="0"/>
                <w:highlight w:val="none"/>
              </w:rPr>
            </w:pPr>
          </w:p>
        </w:tc>
        <w:tc>
          <w:tcPr>
            <w:tcW w:w="851" w:type="dxa"/>
            <w:noWrap/>
            <w:vAlign w:val="top"/>
          </w:tcPr>
          <w:p w14:paraId="24BB1CE3">
            <w:pPr>
              <w:spacing w:line="460" w:lineRule="exact"/>
              <w:rPr>
                <w:rFonts w:ascii="宋体" w:hAnsi="宋体"/>
                <w:color w:val="auto"/>
                <w:kern w:val="0"/>
                <w:highlight w:val="none"/>
              </w:rPr>
            </w:pPr>
          </w:p>
        </w:tc>
        <w:tc>
          <w:tcPr>
            <w:tcW w:w="851" w:type="dxa"/>
            <w:noWrap/>
            <w:vAlign w:val="top"/>
          </w:tcPr>
          <w:p w14:paraId="139EEB86">
            <w:pPr>
              <w:spacing w:line="460" w:lineRule="exact"/>
              <w:rPr>
                <w:rFonts w:ascii="宋体" w:hAnsi="宋体"/>
                <w:color w:val="auto"/>
                <w:kern w:val="0"/>
                <w:highlight w:val="none"/>
              </w:rPr>
            </w:pPr>
          </w:p>
        </w:tc>
      </w:tr>
      <w:tr w14:paraId="577FF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1CBACF14">
            <w:pPr>
              <w:spacing w:line="460" w:lineRule="exact"/>
              <w:rPr>
                <w:rFonts w:ascii="宋体" w:hAnsi="宋体"/>
                <w:color w:val="auto"/>
                <w:kern w:val="0"/>
                <w:highlight w:val="none"/>
              </w:rPr>
            </w:pPr>
          </w:p>
        </w:tc>
        <w:tc>
          <w:tcPr>
            <w:tcW w:w="850" w:type="dxa"/>
            <w:noWrap/>
            <w:vAlign w:val="top"/>
          </w:tcPr>
          <w:p w14:paraId="44F7FCC6">
            <w:pPr>
              <w:spacing w:line="460" w:lineRule="exact"/>
              <w:rPr>
                <w:rFonts w:ascii="宋体" w:hAnsi="宋体"/>
                <w:color w:val="auto"/>
                <w:kern w:val="0"/>
                <w:highlight w:val="none"/>
              </w:rPr>
            </w:pPr>
          </w:p>
        </w:tc>
        <w:tc>
          <w:tcPr>
            <w:tcW w:w="1005" w:type="dxa"/>
            <w:noWrap/>
            <w:vAlign w:val="top"/>
          </w:tcPr>
          <w:p w14:paraId="2E4200A1">
            <w:pPr>
              <w:spacing w:line="460" w:lineRule="exact"/>
              <w:rPr>
                <w:rFonts w:ascii="宋体" w:hAnsi="宋体"/>
                <w:color w:val="auto"/>
                <w:kern w:val="0"/>
                <w:highlight w:val="none"/>
              </w:rPr>
            </w:pPr>
          </w:p>
        </w:tc>
        <w:tc>
          <w:tcPr>
            <w:tcW w:w="682" w:type="dxa"/>
            <w:noWrap/>
            <w:vAlign w:val="top"/>
          </w:tcPr>
          <w:p w14:paraId="55152ED6">
            <w:pPr>
              <w:spacing w:line="460" w:lineRule="exact"/>
              <w:rPr>
                <w:rFonts w:ascii="宋体" w:hAnsi="宋体"/>
                <w:color w:val="auto"/>
                <w:kern w:val="0"/>
                <w:highlight w:val="none"/>
              </w:rPr>
            </w:pPr>
          </w:p>
        </w:tc>
        <w:tc>
          <w:tcPr>
            <w:tcW w:w="851" w:type="dxa"/>
            <w:noWrap/>
            <w:vAlign w:val="top"/>
          </w:tcPr>
          <w:p w14:paraId="335A4D15">
            <w:pPr>
              <w:spacing w:line="460" w:lineRule="exact"/>
              <w:rPr>
                <w:rFonts w:ascii="宋体" w:hAnsi="宋体"/>
                <w:color w:val="auto"/>
                <w:kern w:val="0"/>
                <w:highlight w:val="none"/>
              </w:rPr>
            </w:pPr>
          </w:p>
        </w:tc>
        <w:tc>
          <w:tcPr>
            <w:tcW w:w="1302" w:type="dxa"/>
            <w:noWrap/>
            <w:vAlign w:val="top"/>
          </w:tcPr>
          <w:p w14:paraId="61CF13B1">
            <w:pPr>
              <w:spacing w:line="460" w:lineRule="exact"/>
              <w:rPr>
                <w:rFonts w:ascii="宋体" w:hAnsi="宋体"/>
                <w:color w:val="auto"/>
                <w:kern w:val="0"/>
                <w:highlight w:val="none"/>
              </w:rPr>
            </w:pPr>
          </w:p>
        </w:tc>
        <w:tc>
          <w:tcPr>
            <w:tcW w:w="995" w:type="dxa"/>
            <w:noWrap/>
            <w:vAlign w:val="top"/>
          </w:tcPr>
          <w:p w14:paraId="4E62AC07">
            <w:pPr>
              <w:spacing w:line="460" w:lineRule="exact"/>
              <w:rPr>
                <w:rFonts w:ascii="宋体" w:hAnsi="宋体"/>
                <w:color w:val="auto"/>
                <w:kern w:val="0"/>
                <w:highlight w:val="none"/>
              </w:rPr>
            </w:pPr>
          </w:p>
        </w:tc>
        <w:tc>
          <w:tcPr>
            <w:tcW w:w="906" w:type="dxa"/>
            <w:noWrap/>
            <w:vAlign w:val="top"/>
          </w:tcPr>
          <w:p w14:paraId="1C184F81">
            <w:pPr>
              <w:spacing w:line="460" w:lineRule="exact"/>
              <w:rPr>
                <w:rFonts w:ascii="宋体" w:hAnsi="宋体"/>
                <w:color w:val="auto"/>
                <w:kern w:val="0"/>
                <w:highlight w:val="none"/>
              </w:rPr>
            </w:pPr>
          </w:p>
        </w:tc>
        <w:tc>
          <w:tcPr>
            <w:tcW w:w="851" w:type="dxa"/>
            <w:noWrap/>
            <w:vAlign w:val="top"/>
          </w:tcPr>
          <w:p w14:paraId="3D16AD49">
            <w:pPr>
              <w:spacing w:line="460" w:lineRule="exact"/>
              <w:rPr>
                <w:rFonts w:ascii="宋体" w:hAnsi="宋体"/>
                <w:color w:val="auto"/>
                <w:kern w:val="0"/>
                <w:highlight w:val="none"/>
              </w:rPr>
            </w:pPr>
          </w:p>
        </w:tc>
        <w:tc>
          <w:tcPr>
            <w:tcW w:w="851" w:type="dxa"/>
            <w:noWrap/>
            <w:vAlign w:val="top"/>
          </w:tcPr>
          <w:p w14:paraId="28E0C174">
            <w:pPr>
              <w:spacing w:line="460" w:lineRule="exact"/>
              <w:rPr>
                <w:rFonts w:ascii="宋体" w:hAnsi="宋体"/>
                <w:color w:val="auto"/>
                <w:kern w:val="0"/>
                <w:highlight w:val="none"/>
              </w:rPr>
            </w:pPr>
          </w:p>
        </w:tc>
      </w:tr>
      <w:tr w14:paraId="3743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1641A6C0">
            <w:pPr>
              <w:spacing w:line="460" w:lineRule="exact"/>
              <w:rPr>
                <w:rFonts w:ascii="宋体" w:hAnsi="宋体"/>
                <w:color w:val="auto"/>
                <w:kern w:val="0"/>
                <w:highlight w:val="none"/>
              </w:rPr>
            </w:pPr>
          </w:p>
        </w:tc>
        <w:tc>
          <w:tcPr>
            <w:tcW w:w="850" w:type="dxa"/>
            <w:noWrap/>
            <w:vAlign w:val="top"/>
          </w:tcPr>
          <w:p w14:paraId="4CA30DBB">
            <w:pPr>
              <w:spacing w:line="460" w:lineRule="exact"/>
              <w:rPr>
                <w:rFonts w:ascii="宋体" w:hAnsi="宋体"/>
                <w:color w:val="auto"/>
                <w:kern w:val="0"/>
                <w:highlight w:val="none"/>
              </w:rPr>
            </w:pPr>
          </w:p>
        </w:tc>
        <w:tc>
          <w:tcPr>
            <w:tcW w:w="1005" w:type="dxa"/>
            <w:noWrap/>
            <w:vAlign w:val="top"/>
          </w:tcPr>
          <w:p w14:paraId="5849838B">
            <w:pPr>
              <w:spacing w:line="460" w:lineRule="exact"/>
              <w:rPr>
                <w:rFonts w:ascii="宋体" w:hAnsi="宋体"/>
                <w:color w:val="auto"/>
                <w:kern w:val="0"/>
                <w:highlight w:val="none"/>
              </w:rPr>
            </w:pPr>
          </w:p>
        </w:tc>
        <w:tc>
          <w:tcPr>
            <w:tcW w:w="682" w:type="dxa"/>
            <w:noWrap/>
            <w:vAlign w:val="top"/>
          </w:tcPr>
          <w:p w14:paraId="6496CC13">
            <w:pPr>
              <w:spacing w:line="460" w:lineRule="exact"/>
              <w:rPr>
                <w:rFonts w:ascii="宋体" w:hAnsi="宋体"/>
                <w:color w:val="auto"/>
                <w:kern w:val="0"/>
                <w:highlight w:val="none"/>
              </w:rPr>
            </w:pPr>
          </w:p>
        </w:tc>
        <w:tc>
          <w:tcPr>
            <w:tcW w:w="851" w:type="dxa"/>
            <w:noWrap/>
            <w:vAlign w:val="top"/>
          </w:tcPr>
          <w:p w14:paraId="40664195">
            <w:pPr>
              <w:spacing w:line="460" w:lineRule="exact"/>
              <w:rPr>
                <w:rFonts w:ascii="宋体" w:hAnsi="宋体"/>
                <w:color w:val="auto"/>
                <w:kern w:val="0"/>
                <w:highlight w:val="none"/>
              </w:rPr>
            </w:pPr>
          </w:p>
        </w:tc>
        <w:tc>
          <w:tcPr>
            <w:tcW w:w="1302" w:type="dxa"/>
            <w:noWrap/>
            <w:vAlign w:val="top"/>
          </w:tcPr>
          <w:p w14:paraId="758AF0DB">
            <w:pPr>
              <w:spacing w:line="460" w:lineRule="exact"/>
              <w:rPr>
                <w:rFonts w:ascii="宋体" w:hAnsi="宋体"/>
                <w:color w:val="auto"/>
                <w:kern w:val="0"/>
                <w:highlight w:val="none"/>
              </w:rPr>
            </w:pPr>
          </w:p>
        </w:tc>
        <w:tc>
          <w:tcPr>
            <w:tcW w:w="995" w:type="dxa"/>
            <w:noWrap/>
            <w:vAlign w:val="top"/>
          </w:tcPr>
          <w:p w14:paraId="088AA9B4">
            <w:pPr>
              <w:spacing w:line="460" w:lineRule="exact"/>
              <w:rPr>
                <w:rFonts w:ascii="宋体" w:hAnsi="宋体"/>
                <w:color w:val="auto"/>
                <w:kern w:val="0"/>
                <w:highlight w:val="none"/>
              </w:rPr>
            </w:pPr>
          </w:p>
        </w:tc>
        <w:tc>
          <w:tcPr>
            <w:tcW w:w="906" w:type="dxa"/>
            <w:noWrap/>
            <w:vAlign w:val="top"/>
          </w:tcPr>
          <w:p w14:paraId="3138BA38">
            <w:pPr>
              <w:spacing w:line="460" w:lineRule="exact"/>
              <w:rPr>
                <w:rFonts w:ascii="宋体" w:hAnsi="宋体"/>
                <w:color w:val="auto"/>
                <w:kern w:val="0"/>
                <w:highlight w:val="none"/>
              </w:rPr>
            </w:pPr>
          </w:p>
        </w:tc>
        <w:tc>
          <w:tcPr>
            <w:tcW w:w="851" w:type="dxa"/>
            <w:noWrap/>
            <w:vAlign w:val="top"/>
          </w:tcPr>
          <w:p w14:paraId="41865E7C">
            <w:pPr>
              <w:spacing w:line="460" w:lineRule="exact"/>
              <w:rPr>
                <w:rFonts w:ascii="宋体" w:hAnsi="宋体"/>
                <w:color w:val="auto"/>
                <w:kern w:val="0"/>
                <w:highlight w:val="none"/>
              </w:rPr>
            </w:pPr>
          </w:p>
        </w:tc>
        <w:tc>
          <w:tcPr>
            <w:tcW w:w="851" w:type="dxa"/>
            <w:noWrap/>
            <w:vAlign w:val="top"/>
          </w:tcPr>
          <w:p w14:paraId="7986F5F1">
            <w:pPr>
              <w:spacing w:line="460" w:lineRule="exact"/>
              <w:rPr>
                <w:rFonts w:ascii="宋体" w:hAnsi="宋体"/>
                <w:color w:val="auto"/>
                <w:kern w:val="0"/>
                <w:highlight w:val="none"/>
              </w:rPr>
            </w:pPr>
          </w:p>
        </w:tc>
      </w:tr>
      <w:tr w14:paraId="0B84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098FE651">
            <w:pPr>
              <w:spacing w:line="460" w:lineRule="exact"/>
              <w:rPr>
                <w:rFonts w:ascii="宋体" w:hAnsi="宋体"/>
                <w:color w:val="auto"/>
                <w:kern w:val="0"/>
                <w:highlight w:val="none"/>
              </w:rPr>
            </w:pPr>
          </w:p>
        </w:tc>
        <w:tc>
          <w:tcPr>
            <w:tcW w:w="850" w:type="dxa"/>
            <w:noWrap/>
            <w:vAlign w:val="top"/>
          </w:tcPr>
          <w:p w14:paraId="70105AAB">
            <w:pPr>
              <w:spacing w:line="460" w:lineRule="exact"/>
              <w:rPr>
                <w:rFonts w:ascii="宋体" w:hAnsi="宋体"/>
                <w:color w:val="auto"/>
                <w:kern w:val="0"/>
                <w:highlight w:val="none"/>
              </w:rPr>
            </w:pPr>
          </w:p>
        </w:tc>
        <w:tc>
          <w:tcPr>
            <w:tcW w:w="1005" w:type="dxa"/>
            <w:noWrap/>
            <w:vAlign w:val="top"/>
          </w:tcPr>
          <w:p w14:paraId="5D2252FA">
            <w:pPr>
              <w:spacing w:line="460" w:lineRule="exact"/>
              <w:rPr>
                <w:rFonts w:ascii="宋体" w:hAnsi="宋体"/>
                <w:color w:val="auto"/>
                <w:kern w:val="0"/>
                <w:highlight w:val="none"/>
              </w:rPr>
            </w:pPr>
          </w:p>
        </w:tc>
        <w:tc>
          <w:tcPr>
            <w:tcW w:w="682" w:type="dxa"/>
            <w:noWrap/>
            <w:vAlign w:val="top"/>
          </w:tcPr>
          <w:p w14:paraId="3A75B28E">
            <w:pPr>
              <w:spacing w:line="460" w:lineRule="exact"/>
              <w:rPr>
                <w:rFonts w:ascii="宋体" w:hAnsi="宋体"/>
                <w:color w:val="auto"/>
                <w:kern w:val="0"/>
                <w:highlight w:val="none"/>
              </w:rPr>
            </w:pPr>
          </w:p>
        </w:tc>
        <w:tc>
          <w:tcPr>
            <w:tcW w:w="851" w:type="dxa"/>
            <w:noWrap/>
            <w:vAlign w:val="top"/>
          </w:tcPr>
          <w:p w14:paraId="41E58D41">
            <w:pPr>
              <w:spacing w:line="460" w:lineRule="exact"/>
              <w:rPr>
                <w:rFonts w:ascii="宋体" w:hAnsi="宋体"/>
                <w:color w:val="auto"/>
                <w:kern w:val="0"/>
                <w:highlight w:val="none"/>
              </w:rPr>
            </w:pPr>
          </w:p>
        </w:tc>
        <w:tc>
          <w:tcPr>
            <w:tcW w:w="1302" w:type="dxa"/>
            <w:noWrap/>
            <w:vAlign w:val="top"/>
          </w:tcPr>
          <w:p w14:paraId="3FBC3D63">
            <w:pPr>
              <w:spacing w:line="460" w:lineRule="exact"/>
              <w:rPr>
                <w:rFonts w:ascii="宋体" w:hAnsi="宋体"/>
                <w:color w:val="auto"/>
                <w:kern w:val="0"/>
                <w:highlight w:val="none"/>
              </w:rPr>
            </w:pPr>
          </w:p>
        </w:tc>
        <w:tc>
          <w:tcPr>
            <w:tcW w:w="995" w:type="dxa"/>
            <w:noWrap/>
            <w:vAlign w:val="top"/>
          </w:tcPr>
          <w:p w14:paraId="79BA38C5">
            <w:pPr>
              <w:spacing w:line="460" w:lineRule="exact"/>
              <w:rPr>
                <w:rFonts w:ascii="宋体" w:hAnsi="宋体"/>
                <w:color w:val="auto"/>
                <w:kern w:val="0"/>
                <w:highlight w:val="none"/>
              </w:rPr>
            </w:pPr>
          </w:p>
        </w:tc>
        <w:tc>
          <w:tcPr>
            <w:tcW w:w="906" w:type="dxa"/>
            <w:noWrap/>
            <w:vAlign w:val="top"/>
          </w:tcPr>
          <w:p w14:paraId="2EBB1BF4">
            <w:pPr>
              <w:spacing w:line="460" w:lineRule="exact"/>
              <w:rPr>
                <w:rFonts w:ascii="宋体" w:hAnsi="宋体"/>
                <w:color w:val="auto"/>
                <w:kern w:val="0"/>
                <w:highlight w:val="none"/>
              </w:rPr>
            </w:pPr>
          </w:p>
        </w:tc>
        <w:tc>
          <w:tcPr>
            <w:tcW w:w="851" w:type="dxa"/>
            <w:noWrap/>
            <w:vAlign w:val="top"/>
          </w:tcPr>
          <w:p w14:paraId="6BB97334">
            <w:pPr>
              <w:spacing w:line="460" w:lineRule="exact"/>
              <w:rPr>
                <w:rFonts w:ascii="宋体" w:hAnsi="宋体"/>
                <w:color w:val="auto"/>
                <w:kern w:val="0"/>
                <w:highlight w:val="none"/>
              </w:rPr>
            </w:pPr>
          </w:p>
        </w:tc>
        <w:tc>
          <w:tcPr>
            <w:tcW w:w="851" w:type="dxa"/>
            <w:noWrap/>
            <w:vAlign w:val="top"/>
          </w:tcPr>
          <w:p w14:paraId="4DA47B6B">
            <w:pPr>
              <w:spacing w:line="460" w:lineRule="exact"/>
              <w:rPr>
                <w:rFonts w:ascii="宋体" w:hAnsi="宋体"/>
                <w:color w:val="auto"/>
                <w:kern w:val="0"/>
                <w:highlight w:val="none"/>
              </w:rPr>
            </w:pPr>
          </w:p>
        </w:tc>
      </w:tr>
      <w:tr w14:paraId="7BAF2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2000DD0F">
            <w:pPr>
              <w:spacing w:line="460" w:lineRule="exact"/>
              <w:rPr>
                <w:rFonts w:ascii="宋体" w:hAnsi="宋体"/>
                <w:color w:val="auto"/>
                <w:kern w:val="0"/>
                <w:highlight w:val="none"/>
              </w:rPr>
            </w:pPr>
          </w:p>
        </w:tc>
        <w:tc>
          <w:tcPr>
            <w:tcW w:w="850" w:type="dxa"/>
            <w:noWrap/>
            <w:vAlign w:val="top"/>
          </w:tcPr>
          <w:p w14:paraId="4566BE49">
            <w:pPr>
              <w:spacing w:line="460" w:lineRule="exact"/>
              <w:rPr>
                <w:rFonts w:ascii="宋体" w:hAnsi="宋体"/>
                <w:color w:val="auto"/>
                <w:kern w:val="0"/>
                <w:highlight w:val="none"/>
              </w:rPr>
            </w:pPr>
          </w:p>
        </w:tc>
        <w:tc>
          <w:tcPr>
            <w:tcW w:w="1005" w:type="dxa"/>
            <w:noWrap/>
            <w:vAlign w:val="top"/>
          </w:tcPr>
          <w:p w14:paraId="4776A1BC">
            <w:pPr>
              <w:spacing w:line="460" w:lineRule="exact"/>
              <w:rPr>
                <w:rFonts w:ascii="宋体" w:hAnsi="宋体"/>
                <w:color w:val="auto"/>
                <w:kern w:val="0"/>
                <w:highlight w:val="none"/>
              </w:rPr>
            </w:pPr>
          </w:p>
        </w:tc>
        <w:tc>
          <w:tcPr>
            <w:tcW w:w="682" w:type="dxa"/>
            <w:noWrap/>
            <w:vAlign w:val="top"/>
          </w:tcPr>
          <w:p w14:paraId="6E26FA90">
            <w:pPr>
              <w:spacing w:line="460" w:lineRule="exact"/>
              <w:rPr>
                <w:rFonts w:ascii="宋体" w:hAnsi="宋体"/>
                <w:color w:val="auto"/>
                <w:kern w:val="0"/>
                <w:highlight w:val="none"/>
              </w:rPr>
            </w:pPr>
          </w:p>
        </w:tc>
        <w:tc>
          <w:tcPr>
            <w:tcW w:w="851" w:type="dxa"/>
            <w:noWrap/>
            <w:vAlign w:val="top"/>
          </w:tcPr>
          <w:p w14:paraId="20A43ECB">
            <w:pPr>
              <w:spacing w:line="460" w:lineRule="exact"/>
              <w:rPr>
                <w:rFonts w:ascii="宋体" w:hAnsi="宋体"/>
                <w:color w:val="auto"/>
                <w:kern w:val="0"/>
                <w:highlight w:val="none"/>
              </w:rPr>
            </w:pPr>
          </w:p>
        </w:tc>
        <w:tc>
          <w:tcPr>
            <w:tcW w:w="1302" w:type="dxa"/>
            <w:noWrap/>
            <w:vAlign w:val="top"/>
          </w:tcPr>
          <w:p w14:paraId="17EA174E">
            <w:pPr>
              <w:spacing w:line="460" w:lineRule="exact"/>
              <w:rPr>
                <w:rFonts w:ascii="宋体" w:hAnsi="宋体"/>
                <w:color w:val="auto"/>
                <w:kern w:val="0"/>
                <w:highlight w:val="none"/>
              </w:rPr>
            </w:pPr>
          </w:p>
        </w:tc>
        <w:tc>
          <w:tcPr>
            <w:tcW w:w="995" w:type="dxa"/>
            <w:noWrap/>
            <w:vAlign w:val="top"/>
          </w:tcPr>
          <w:p w14:paraId="7CA590BF">
            <w:pPr>
              <w:spacing w:line="460" w:lineRule="exact"/>
              <w:rPr>
                <w:rFonts w:ascii="宋体" w:hAnsi="宋体"/>
                <w:color w:val="auto"/>
                <w:kern w:val="0"/>
                <w:highlight w:val="none"/>
              </w:rPr>
            </w:pPr>
          </w:p>
        </w:tc>
        <w:tc>
          <w:tcPr>
            <w:tcW w:w="906" w:type="dxa"/>
            <w:noWrap/>
            <w:vAlign w:val="top"/>
          </w:tcPr>
          <w:p w14:paraId="666F350B">
            <w:pPr>
              <w:spacing w:line="460" w:lineRule="exact"/>
              <w:rPr>
                <w:rFonts w:ascii="宋体" w:hAnsi="宋体"/>
                <w:color w:val="auto"/>
                <w:kern w:val="0"/>
                <w:highlight w:val="none"/>
              </w:rPr>
            </w:pPr>
          </w:p>
        </w:tc>
        <w:tc>
          <w:tcPr>
            <w:tcW w:w="851" w:type="dxa"/>
            <w:noWrap/>
            <w:vAlign w:val="top"/>
          </w:tcPr>
          <w:p w14:paraId="23ABA3BE">
            <w:pPr>
              <w:spacing w:line="460" w:lineRule="exact"/>
              <w:rPr>
                <w:rFonts w:ascii="宋体" w:hAnsi="宋体"/>
                <w:color w:val="auto"/>
                <w:kern w:val="0"/>
                <w:highlight w:val="none"/>
              </w:rPr>
            </w:pPr>
          </w:p>
        </w:tc>
        <w:tc>
          <w:tcPr>
            <w:tcW w:w="851" w:type="dxa"/>
            <w:noWrap/>
            <w:vAlign w:val="top"/>
          </w:tcPr>
          <w:p w14:paraId="4A88D0C6">
            <w:pPr>
              <w:spacing w:line="460" w:lineRule="exact"/>
              <w:rPr>
                <w:rFonts w:ascii="宋体" w:hAnsi="宋体"/>
                <w:color w:val="auto"/>
                <w:kern w:val="0"/>
                <w:highlight w:val="none"/>
              </w:rPr>
            </w:pPr>
          </w:p>
        </w:tc>
      </w:tr>
      <w:tr w14:paraId="49B10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4538D407">
            <w:pPr>
              <w:spacing w:line="460" w:lineRule="exact"/>
              <w:rPr>
                <w:rFonts w:ascii="宋体" w:hAnsi="宋体"/>
                <w:color w:val="auto"/>
                <w:kern w:val="0"/>
                <w:highlight w:val="none"/>
              </w:rPr>
            </w:pPr>
          </w:p>
        </w:tc>
        <w:tc>
          <w:tcPr>
            <w:tcW w:w="850" w:type="dxa"/>
            <w:noWrap/>
            <w:vAlign w:val="top"/>
          </w:tcPr>
          <w:p w14:paraId="04376029">
            <w:pPr>
              <w:spacing w:line="460" w:lineRule="exact"/>
              <w:rPr>
                <w:rFonts w:ascii="宋体" w:hAnsi="宋体"/>
                <w:color w:val="auto"/>
                <w:kern w:val="0"/>
                <w:highlight w:val="none"/>
              </w:rPr>
            </w:pPr>
          </w:p>
        </w:tc>
        <w:tc>
          <w:tcPr>
            <w:tcW w:w="1005" w:type="dxa"/>
            <w:noWrap/>
            <w:vAlign w:val="top"/>
          </w:tcPr>
          <w:p w14:paraId="0A052D82">
            <w:pPr>
              <w:spacing w:line="460" w:lineRule="exact"/>
              <w:rPr>
                <w:rFonts w:ascii="宋体" w:hAnsi="宋体"/>
                <w:color w:val="auto"/>
                <w:kern w:val="0"/>
                <w:highlight w:val="none"/>
              </w:rPr>
            </w:pPr>
          </w:p>
        </w:tc>
        <w:tc>
          <w:tcPr>
            <w:tcW w:w="682" w:type="dxa"/>
            <w:noWrap/>
            <w:vAlign w:val="top"/>
          </w:tcPr>
          <w:p w14:paraId="628395E1">
            <w:pPr>
              <w:spacing w:line="460" w:lineRule="exact"/>
              <w:rPr>
                <w:rFonts w:ascii="宋体" w:hAnsi="宋体"/>
                <w:color w:val="auto"/>
                <w:kern w:val="0"/>
                <w:highlight w:val="none"/>
              </w:rPr>
            </w:pPr>
          </w:p>
        </w:tc>
        <w:tc>
          <w:tcPr>
            <w:tcW w:w="851" w:type="dxa"/>
            <w:noWrap/>
            <w:vAlign w:val="top"/>
          </w:tcPr>
          <w:p w14:paraId="226117AE">
            <w:pPr>
              <w:spacing w:line="460" w:lineRule="exact"/>
              <w:rPr>
                <w:rFonts w:ascii="宋体" w:hAnsi="宋体"/>
                <w:color w:val="auto"/>
                <w:kern w:val="0"/>
                <w:highlight w:val="none"/>
              </w:rPr>
            </w:pPr>
          </w:p>
        </w:tc>
        <w:tc>
          <w:tcPr>
            <w:tcW w:w="1302" w:type="dxa"/>
            <w:noWrap/>
            <w:vAlign w:val="top"/>
          </w:tcPr>
          <w:p w14:paraId="202D73B9">
            <w:pPr>
              <w:spacing w:line="460" w:lineRule="exact"/>
              <w:rPr>
                <w:rFonts w:ascii="宋体" w:hAnsi="宋体"/>
                <w:color w:val="auto"/>
                <w:kern w:val="0"/>
                <w:highlight w:val="none"/>
              </w:rPr>
            </w:pPr>
          </w:p>
        </w:tc>
        <w:tc>
          <w:tcPr>
            <w:tcW w:w="995" w:type="dxa"/>
            <w:noWrap/>
            <w:vAlign w:val="top"/>
          </w:tcPr>
          <w:p w14:paraId="0897199E">
            <w:pPr>
              <w:spacing w:line="460" w:lineRule="exact"/>
              <w:rPr>
                <w:rFonts w:ascii="宋体" w:hAnsi="宋体"/>
                <w:color w:val="auto"/>
                <w:kern w:val="0"/>
                <w:highlight w:val="none"/>
              </w:rPr>
            </w:pPr>
          </w:p>
        </w:tc>
        <w:tc>
          <w:tcPr>
            <w:tcW w:w="906" w:type="dxa"/>
            <w:noWrap/>
            <w:vAlign w:val="top"/>
          </w:tcPr>
          <w:p w14:paraId="4D4462BC">
            <w:pPr>
              <w:spacing w:line="460" w:lineRule="exact"/>
              <w:rPr>
                <w:rFonts w:ascii="宋体" w:hAnsi="宋体"/>
                <w:color w:val="auto"/>
                <w:kern w:val="0"/>
                <w:highlight w:val="none"/>
              </w:rPr>
            </w:pPr>
          </w:p>
        </w:tc>
        <w:tc>
          <w:tcPr>
            <w:tcW w:w="851" w:type="dxa"/>
            <w:noWrap/>
            <w:vAlign w:val="top"/>
          </w:tcPr>
          <w:p w14:paraId="5C2D6D96">
            <w:pPr>
              <w:spacing w:line="460" w:lineRule="exact"/>
              <w:rPr>
                <w:rFonts w:ascii="宋体" w:hAnsi="宋体"/>
                <w:color w:val="auto"/>
                <w:kern w:val="0"/>
                <w:highlight w:val="none"/>
              </w:rPr>
            </w:pPr>
          </w:p>
        </w:tc>
        <w:tc>
          <w:tcPr>
            <w:tcW w:w="851" w:type="dxa"/>
            <w:noWrap/>
            <w:vAlign w:val="top"/>
          </w:tcPr>
          <w:p w14:paraId="13C661C6">
            <w:pPr>
              <w:spacing w:line="460" w:lineRule="exact"/>
              <w:rPr>
                <w:rFonts w:ascii="宋体" w:hAnsi="宋体"/>
                <w:color w:val="auto"/>
                <w:kern w:val="0"/>
                <w:highlight w:val="none"/>
              </w:rPr>
            </w:pPr>
          </w:p>
        </w:tc>
      </w:tr>
      <w:tr w14:paraId="4DB11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40A7BDF8">
            <w:pPr>
              <w:spacing w:line="460" w:lineRule="exact"/>
              <w:rPr>
                <w:rFonts w:ascii="宋体" w:hAnsi="宋体"/>
                <w:color w:val="auto"/>
                <w:kern w:val="0"/>
                <w:highlight w:val="none"/>
              </w:rPr>
            </w:pPr>
          </w:p>
        </w:tc>
        <w:tc>
          <w:tcPr>
            <w:tcW w:w="850" w:type="dxa"/>
            <w:noWrap/>
            <w:vAlign w:val="top"/>
          </w:tcPr>
          <w:p w14:paraId="721FAD8C">
            <w:pPr>
              <w:spacing w:line="460" w:lineRule="exact"/>
              <w:rPr>
                <w:rFonts w:ascii="宋体" w:hAnsi="宋体"/>
                <w:color w:val="auto"/>
                <w:kern w:val="0"/>
                <w:highlight w:val="none"/>
              </w:rPr>
            </w:pPr>
          </w:p>
        </w:tc>
        <w:tc>
          <w:tcPr>
            <w:tcW w:w="1005" w:type="dxa"/>
            <w:noWrap/>
            <w:vAlign w:val="top"/>
          </w:tcPr>
          <w:p w14:paraId="3983C2E1">
            <w:pPr>
              <w:spacing w:line="460" w:lineRule="exact"/>
              <w:rPr>
                <w:rFonts w:ascii="宋体" w:hAnsi="宋体"/>
                <w:color w:val="auto"/>
                <w:kern w:val="0"/>
                <w:highlight w:val="none"/>
              </w:rPr>
            </w:pPr>
          </w:p>
        </w:tc>
        <w:tc>
          <w:tcPr>
            <w:tcW w:w="682" w:type="dxa"/>
            <w:noWrap/>
            <w:vAlign w:val="top"/>
          </w:tcPr>
          <w:p w14:paraId="1D71B9E0">
            <w:pPr>
              <w:spacing w:line="460" w:lineRule="exact"/>
              <w:rPr>
                <w:rFonts w:ascii="宋体" w:hAnsi="宋体"/>
                <w:color w:val="auto"/>
                <w:kern w:val="0"/>
                <w:highlight w:val="none"/>
              </w:rPr>
            </w:pPr>
          </w:p>
        </w:tc>
        <w:tc>
          <w:tcPr>
            <w:tcW w:w="851" w:type="dxa"/>
            <w:noWrap/>
            <w:vAlign w:val="top"/>
          </w:tcPr>
          <w:p w14:paraId="4B57C630">
            <w:pPr>
              <w:spacing w:line="460" w:lineRule="exact"/>
              <w:rPr>
                <w:rFonts w:ascii="宋体" w:hAnsi="宋体"/>
                <w:color w:val="auto"/>
                <w:kern w:val="0"/>
                <w:highlight w:val="none"/>
              </w:rPr>
            </w:pPr>
          </w:p>
        </w:tc>
        <w:tc>
          <w:tcPr>
            <w:tcW w:w="1302" w:type="dxa"/>
            <w:noWrap/>
            <w:vAlign w:val="top"/>
          </w:tcPr>
          <w:p w14:paraId="5A995864">
            <w:pPr>
              <w:spacing w:line="460" w:lineRule="exact"/>
              <w:rPr>
                <w:rFonts w:ascii="宋体" w:hAnsi="宋体"/>
                <w:color w:val="auto"/>
                <w:kern w:val="0"/>
                <w:highlight w:val="none"/>
              </w:rPr>
            </w:pPr>
          </w:p>
        </w:tc>
        <w:tc>
          <w:tcPr>
            <w:tcW w:w="995" w:type="dxa"/>
            <w:noWrap/>
            <w:vAlign w:val="top"/>
          </w:tcPr>
          <w:p w14:paraId="17F5B79C">
            <w:pPr>
              <w:spacing w:line="460" w:lineRule="exact"/>
              <w:rPr>
                <w:rFonts w:ascii="宋体" w:hAnsi="宋体"/>
                <w:color w:val="auto"/>
                <w:kern w:val="0"/>
                <w:highlight w:val="none"/>
              </w:rPr>
            </w:pPr>
          </w:p>
        </w:tc>
        <w:tc>
          <w:tcPr>
            <w:tcW w:w="906" w:type="dxa"/>
            <w:noWrap/>
            <w:vAlign w:val="top"/>
          </w:tcPr>
          <w:p w14:paraId="6004D366">
            <w:pPr>
              <w:spacing w:line="460" w:lineRule="exact"/>
              <w:rPr>
                <w:rFonts w:ascii="宋体" w:hAnsi="宋体"/>
                <w:color w:val="auto"/>
                <w:kern w:val="0"/>
                <w:highlight w:val="none"/>
              </w:rPr>
            </w:pPr>
          </w:p>
        </w:tc>
        <w:tc>
          <w:tcPr>
            <w:tcW w:w="851" w:type="dxa"/>
            <w:noWrap/>
            <w:vAlign w:val="top"/>
          </w:tcPr>
          <w:p w14:paraId="7B65A792">
            <w:pPr>
              <w:spacing w:line="460" w:lineRule="exact"/>
              <w:rPr>
                <w:rFonts w:ascii="宋体" w:hAnsi="宋体"/>
                <w:color w:val="auto"/>
                <w:kern w:val="0"/>
                <w:highlight w:val="none"/>
              </w:rPr>
            </w:pPr>
          </w:p>
        </w:tc>
        <w:tc>
          <w:tcPr>
            <w:tcW w:w="851" w:type="dxa"/>
            <w:noWrap/>
            <w:vAlign w:val="top"/>
          </w:tcPr>
          <w:p w14:paraId="02F4A497">
            <w:pPr>
              <w:spacing w:line="460" w:lineRule="exact"/>
              <w:rPr>
                <w:rFonts w:ascii="宋体" w:hAnsi="宋体"/>
                <w:color w:val="auto"/>
                <w:kern w:val="0"/>
                <w:highlight w:val="none"/>
              </w:rPr>
            </w:pPr>
          </w:p>
        </w:tc>
      </w:tr>
      <w:tr w14:paraId="4AA8B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54E85536">
            <w:pPr>
              <w:spacing w:line="460" w:lineRule="exact"/>
              <w:rPr>
                <w:rFonts w:ascii="宋体" w:hAnsi="宋体"/>
                <w:color w:val="auto"/>
                <w:kern w:val="0"/>
                <w:highlight w:val="none"/>
              </w:rPr>
            </w:pPr>
          </w:p>
        </w:tc>
        <w:tc>
          <w:tcPr>
            <w:tcW w:w="850" w:type="dxa"/>
            <w:noWrap/>
            <w:vAlign w:val="top"/>
          </w:tcPr>
          <w:p w14:paraId="76B5016D">
            <w:pPr>
              <w:spacing w:line="460" w:lineRule="exact"/>
              <w:rPr>
                <w:rFonts w:ascii="宋体" w:hAnsi="宋体"/>
                <w:color w:val="auto"/>
                <w:kern w:val="0"/>
                <w:highlight w:val="none"/>
              </w:rPr>
            </w:pPr>
          </w:p>
        </w:tc>
        <w:tc>
          <w:tcPr>
            <w:tcW w:w="1005" w:type="dxa"/>
            <w:noWrap/>
            <w:vAlign w:val="top"/>
          </w:tcPr>
          <w:p w14:paraId="41483FB4">
            <w:pPr>
              <w:spacing w:line="460" w:lineRule="exact"/>
              <w:rPr>
                <w:rFonts w:ascii="宋体" w:hAnsi="宋体"/>
                <w:color w:val="auto"/>
                <w:kern w:val="0"/>
                <w:highlight w:val="none"/>
              </w:rPr>
            </w:pPr>
          </w:p>
        </w:tc>
        <w:tc>
          <w:tcPr>
            <w:tcW w:w="682" w:type="dxa"/>
            <w:noWrap/>
            <w:vAlign w:val="top"/>
          </w:tcPr>
          <w:p w14:paraId="3011AD91">
            <w:pPr>
              <w:spacing w:line="460" w:lineRule="exact"/>
              <w:rPr>
                <w:rFonts w:ascii="宋体" w:hAnsi="宋体"/>
                <w:color w:val="auto"/>
                <w:kern w:val="0"/>
                <w:highlight w:val="none"/>
              </w:rPr>
            </w:pPr>
          </w:p>
        </w:tc>
        <w:tc>
          <w:tcPr>
            <w:tcW w:w="851" w:type="dxa"/>
            <w:noWrap/>
            <w:vAlign w:val="top"/>
          </w:tcPr>
          <w:p w14:paraId="184CFCDE">
            <w:pPr>
              <w:spacing w:line="460" w:lineRule="exact"/>
              <w:rPr>
                <w:rFonts w:ascii="宋体" w:hAnsi="宋体"/>
                <w:color w:val="auto"/>
                <w:kern w:val="0"/>
                <w:highlight w:val="none"/>
              </w:rPr>
            </w:pPr>
          </w:p>
        </w:tc>
        <w:tc>
          <w:tcPr>
            <w:tcW w:w="1302" w:type="dxa"/>
            <w:noWrap/>
            <w:vAlign w:val="top"/>
          </w:tcPr>
          <w:p w14:paraId="527E0A8B">
            <w:pPr>
              <w:spacing w:line="460" w:lineRule="exact"/>
              <w:rPr>
                <w:rFonts w:ascii="宋体" w:hAnsi="宋体"/>
                <w:color w:val="auto"/>
                <w:kern w:val="0"/>
                <w:highlight w:val="none"/>
              </w:rPr>
            </w:pPr>
          </w:p>
        </w:tc>
        <w:tc>
          <w:tcPr>
            <w:tcW w:w="995" w:type="dxa"/>
            <w:noWrap/>
            <w:vAlign w:val="top"/>
          </w:tcPr>
          <w:p w14:paraId="7BAADF1C">
            <w:pPr>
              <w:spacing w:line="460" w:lineRule="exact"/>
              <w:rPr>
                <w:rFonts w:ascii="宋体" w:hAnsi="宋体"/>
                <w:color w:val="auto"/>
                <w:kern w:val="0"/>
                <w:highlight w:val="none"/>
              </w:rPr>
            </w:pPr>
          </w:p>
        </w:tc>
        <w:tc>
          <w:tcPr>
            <w:tcW w:w="906" w:type="dxa"/>
            <w:noWrap/>
            <w:vAlign w:val="top"/>
          </w:tcPr>
          <w:p w14:paraId="25312DF3">
            <w:pPr>
              <w:spacing w:line="460" w:lineRule="exact"/>
              <w:rPr>
                <w:rFonts w:ascii="宋体" w:hAnsi="宋体"/>
                <w:color w:val="auto"/>
                <w:kern w:val="0"/>
                <w:highlight w:val="none"/>
              </w:rPr>
            </w:pPr>
          </w:p>
        </w:tc>
        <w:tc>
          <w:tcPr>
            <w:tcW w:w="851" w:type="dxa"/>
            <w:noWrap/>
            <w:vAlign w:val="top"/>
          </w:tcPr>
          <w:p w14:paraId="76D08D3D">
            <w:pPr>
              <w:spacing w:line="460" w:lineRule="exact"/>
              <w:rPr>
                <w:rFonts w:ascii="宋体" w:hAnsi="宋体"/>
                <w:color w:val="auto"/>
                <w:kern w:val="0"/>
                <w:highlight w:val="none"/>
              </w:rPr>
            </w:pPr>
          </w:p>
        </w:tc>
        <w:tc>
          <w:tcPr>
            <w:tcW w:w="851" w:type="dxa"/>
            <w:noWrap/>
            <w:vAlign w:val="top"/>
          </w:tcPr>
          <w:p w14:paraId="202B3343">
            <w:pPr>
              <w:spacing w:line="460" w:lineRule="exact"/>
              <w:rPr>
                <w:rFonts w:ascii="宋体" w:hAnsi="宋体"/>
                <w:color w:val="auto"/>
                <w:kern w:val="0"/>
                <w:highlight w:val="none"/>
              </w:rPr>
            </w:pPr>
          </w:p>
        </w:tc>
      </w:tr>
      <w:tr w14:paraId="46BC8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4DB0E46B">
            <w:pPr>
              <w:spacing w:line="460" w:lineRule="exact"/>
              <w:rPr>
                <w:rFonts w:ascii="宋体" w:hAnsi="宋体"/>
                <w:color w:val="auto"/>
                <w:kern w:val="0"/>
                <w:highlight w:val="none"/>
              </w:rPr>
            </w:pPr>
          </w:p>
        </w:tc>
        <w:tc>
          <w:tcPr>
            <w:tcW w:w="850" w:type="dxa"/>
            <w:noWrap/>
            <w:vAlign w:val="top"/>
          </w:tcPr>
          <w:p w14:paraId="4AC64553">
            <w:pPr>
              <w:spacing w:line="460" w:lineRule="exact"/>
              <w:rPr>
                <w:rFonts w:ascii="宋体" w:hAnsi="宋体"/>
                <w:color w:val="auto"/>
                <w:kern w:val="0"/>
                <w:highlight w:val="none"/>
              </w:rPr>
            </w:pPr>
          </w:p>
        </w:tc>
        <w:tc>
          <w:tcPr>
            <w:tcW w:w="1005" w:type="dxa"/>
            <w:noWrap/>
            <w:vAlign w:val="top"/>
          </w:tcPr>
          <w:p w14:paraId="667C8D6D">
            <w:pPr>
              <w:spacing w:line="460" w:lineRule="exact"/>
              <w:rPr>
                <w:rFonts w:ascii="宋体" w:hAnsi="宋体"/>
                <w:color w:val="auto"/>
                <w:kern w:val="0"/>
                <w:highlight w:val="none"/>
              </w:rPr>
            </w:pPr>
          </w:p>
        </w:tc>
        <w:tc>
          <w:tcPr>
            <w:tcW w:w="682" w:type="dxa"/>
            <w:noWrap/>
            <w:vAlign w:val="top"/>
          </w:tcPr>
          <w:p w14:paraId="729DC507">
            <w:pPr>
              <w:spacing w:line="460" w:lineRule="exact"/>
              <w:rPr>
                <w:rFonts w:ascii="宋体" w:hAnsi="宋体"/>
                <w:color w:val="auto"/>
                <w:kern w:val="0"/>
                <w:highlight w:val="none"/>
              </w:rPr>
            </w:pPr>
          </w:p>
        </w:tc>
        <w:tc>
          <w:tcPr>
            <w:tcW w:w="851" w:type="dxa"/>
            <w:noWrap/>
            <w:vAlign w:val="top"/>
          </w:tcPr>
          <w:p w14:paraId="7C5A6C24">
            <w:pPr>
              <w:spacing w:line="460" w:lineRule="exact"/>
              <w:rPr>
                <w:rFonts w:ascii="宋体" w:hAnsi="宋体"/>
                <w:color w:val="auto"/>
                <w:kern w:val="0"/>
                <w:highlight w:val="none"/>
              </w:rPr>
            </w:pPr>
          </w:p>
        </w:tc>
        <w:tc>
          <w:tcPr>
            <w:tcW w:w="1302" w:type="dxa"/>
            <w:noWrap/>
            <w:vAlign w:val="top"/>
          </w:tcPr>
          <w:p w14:paraId="3E170251">
            <w:pPr>
              <w:spacing w:line="460" w:lineRule="exact"/>
              <w:rPr>
                <w:rFonts w:ascii="宋体" w:hAnsi="宋体"/>
                <w:color w:val="auto"/>
                <w:kern w:val="0"/>
                <w:highlight w:val="none"/>
              </w:rPr>
            </w:pPr>
          </w:p>
        </w:tc>
        <w:tc>
          <w:tcPr>
            <w:tcW w:w="995" w:type="dxa"/>
            <w:noWrap/>
            <w:vAlign w:val="top"/>
          </w:tcPr>
          <w:p w14:paraId="1E2280F5">
            <w:pPr>
              <w:spacing w:line="460" w:lineRule="exact"/>
              <w:rPr>
                <w:rFonts w:ascii="宋体" w:hAnsi="宋体"/>
                <w:color w:val="auto"/>
                <w:kern w:val="0"/>
                <w:highlight w:val="none"/>
              </w:rPr>
            </w:pPr>
          </w:p>
        </w:tc>
        <w:tc>
          <w:tcPr>
            <w:tcW w:w="906" w:type="dxa"/>
            <w:noWrap/>
            <w:vAlign w:val="top"/>
          </w:tcPr>
          <w:p w14:paraId="5F87F519">
            <w:pPr>
              <w:spacing w:line="460" w:lineRule="exact"/>
              <w:rPr>
                <w:rFonts w:ascii="宋体" w:hAnsi="宋体"/>
                <w:color w:val="auto"/>
                <w:kern w:val="0"/>
                <w:highlight w:val="none"/>
              </w:rPr>
            </w:pPr>
          </w:p>
        </w:tc>
        <w:tc>
          <w:tcPr>
            <w:tcW w:w="851" w:type="dxa"/>
            <w:noWrap/>
            <w:vAlign w:val="top"/>
          </w:tcPr>
          <w:p w14:paraId="0F751A6A">
            <w:pPr>
              <w:spacing w:line="460" w:lineRule="exact"/>
              <w:rPr>
                <w:rFonts w:ascii="宋体" w:hAnsi="宋体"/>
                <w:color w:val="auto"/>
                <w:kern w:val="0"/>
                <w:highlight w:val="none"/>
              </w:rPr>
            </w:pPr>
          </w:p>
        </w:tc>
        <w:tc>
          <w:tcPr>
            <w:tcW w:w="851" w:type="dxa"/>
            <w:noWrap/>
            <w:vAlign w:val="top"/>
          </w:tcPr>
          <w:p w14:paraId="13F96497">
            <w:pPr>
              <w:spacing w:line="460" w:lineRule="exact"/>
              <w:rPr>
                <w:rFonts w:ascii="宋体" w:hAnsi="宋体"/>
                <w:color w:val="auto"/>
                <w:kern w:val="0"/>
                <w:highlight w:val="none"/>
              </w:rPr>
            </w:pPr>
          </w:p>
        </w:tc>
      </w:tr>
      <w:tr w14:paraId="3BE38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3C5C6D79">
            <w:pPr>
              <w:spacing w:line="460" w:lineRule="exact"/>
              <w:rPr>
                <w:rFonts w:ascii="宋体" w:hAnsi="宋体"/>
                <w:color w:val="auto"/>
                <w:kern w:val="0"/>
                <w:highlight w:val="none"/>
              </w:rPr>
            </w:pPr>
          </w:p>
        </w:tc>
        <w:tc>
          <w:tcPr>
            <w:tcW w:w="850" w:type="dxa"/>
            <w:noWrap/>
            <w:vAlign w:val="top"/>
          </w:tcPr>
          <w:p w14:paraId="67BA8ADC">
            <w:pPr>
              <w:spacing w:line="460" w:lineRule="exact"/>
              <w:rPr>
                <w:rFonts w:ascii="宋体" w:hAnsi="宋体"/>
                <w:color w:val="auto"/>
                <w:kern w:val="0"/>
                <w:highlight w:val="none"/>
              </w:rPr>
            </w:pPr>
          </w:p>
        </w:tc>
        <w:tc>
          <w:tcPr>
            <w:tcW w:w="1005" w:type="dxa"/>
            <w:noWrap/>
            <w:vAlign w:val="top"/>
          </w:tcPr>
          <w:p w14:paraId="7BBE1789">
            <w:pPr>
              <w:spacing w:line="460" w:lineRule="exact"/>
              <w:rPr>
                <w:rFonts w:ascii="宋体" w:hAnsi="宋体"/>
                <w:color w:val="auto"/>
                <w:kern w:val="0"/>
                <w:highlight w:val="none"/>
              </w:rPr>
            </w:pPr>
          </w:p>
        </w:tc>
        <w:tc>
          <w:tcPr>
            <w:tcW w:w="682" w:type="dxa"/>
            <w:noWrap/>
            <w:vAlign w:val="top"/>
          </w:tcPr>
          <w:p w14:paraId="610415D4">
            <w:pPr>
              <w:spacing w:line="460" w:lineRule="exact"/>
              <w:rPr>
                <w:rFonts w:ascii="宋体" w:hAnsi="宋体"/>
                <w:color w:val="auto"/>
                <w:kern w:val="0"/>
                <w:highlight w:val="none"/>
              </w:rPr>
            </w:pPr>
          </w:p>
        </w:tc>
        <w:tc>
          <w:tcPr>
            <w:tcW w:w="851" w:type="dxa"/>
            <w:noWrap/>
            <w:vAlign w:val="top"/>
          </w:tcPr>
          <w:p w14:paraId="0104D45F">
            <w:pPr>
              <w:spacing w:line="460" w:lineRule="exact"/>
              <w:rPr>
                <w:rFonts w:ascii="宋体" w:hAnsi="宋体"/>
                <w:color w:val="auto"/>
                <w:kern w:val="0"/>
                <w:highlight w:val="none"/>
              </w:rPr>
            </w:pPr>
          </w:p>
        </w:tc>
        <w:tc>
          <w:tcPr>
            <w:tcW w:w="1302" w:type="dxa"/>
            <w:noWrap/>
            <w:vAlign w:val="top"/>
          </w:tcPr>
          <w:p w14:paraId="164F2207">
            <w:pPr>
              <w:spacing w:line="460" w:lineRule="exact"/>
              <w:rPr>
                <w:rFonts w:ascii="宋体" w:hAnsi="宋体"/>
                <w:color w:val="auto"/>
                <w:kern w:val="0"/>
                <w:highlight w:val="none"/>
              </w:rPr>
            </w:pPr>
          </w:p>
        </w:tc>
        <w:tc>
          <w:tcPr>
            <w:tcW w:w="995" w:type="dxa"/>
            <w:noWrap/>
            <w:vAlign w:val="top"/>
          </w:tcPr>
          <w:p w14:paraId="795D84C1">
            <w:pPr>
              <w:spacing w:line="460" w:lineRule="exact"/>
              <w:rPr>
                <w:rFonts w:ascii="宋体" w:hAnsi="宋体"/>
                <w:color w:val="auto"/>
                <w:kern w:val="0"/>
                <w:highlight w:val="none"/>
              </w:rPr>
            </w:pPr>
          </w:p>
        </w:tc>
        <w:tc>
          <w:tcPr>
            <w:tcW w:w="906" w:type="dxa"/>
            <w:noWrap/>
            <w:vAlign w:val="top"/>
          </w:tcPr>
          <w:p w14:paraId="0FFFEAF2">
            <w:pPr>
              <w:spacing w:line="460" w:lineRule="exact"/>
              <w:rPr>
                <w:rFonts w:ascii="宋体" w:hAnsi="宋体"/>
                <w:color w:val="auto"/>
                <w:kern w:val="0"/>
                <w:highlight w:val="none"/>
              </w:rPr>
            </w:pPr>
          </w:p>
        </w:tc>
        <w:tc>
          <w:tcPr>
            <w:tcW w:w="851" w:type="dxa"/>
            <w:noWrap/>
            <w:vAlign w:val="top"/>
          </w:tcPr>
          <w:p w14:paraId="78BF348F">
            <w:pPr>
              <w:spacing w:line="460" w:lineRule="exact"/>
              <w:rPr>
                <w:rFonts w:ascii="宋体" w:hAnsi="宋体"/>
                <w:color w:val="auto"/>
                <w:kern w:val="0"/>
                <w:highlight w:val="none"/>
              </w:rPr>
            </w:pPr>
          </w:p>
        </w:tc>
        <w:tc>
          <w:tcPr>
            <w:tcW w:w="851" w:type="dxa"/>
            <w:noWrap/>
            <w:vAlign w:val="top"/>
          </w:tcPr>
          <w:p w14:paraId="56C3B393">
            <w:pPr>
              <w:spacing w:line="460" w:lineRule="exact"/>
              <w:rPr>
                <w:rFonts w:ascii="宋体" w:hAnsi="宋体"/>
                <w:color w:val="auto"/>
                <w:kern w:val="0"/>
                <w:highlight w:val="none"/>
              </w:rPr>
            </w:pPr>
          </w:p>
        </w:tc>
      </w:tr>
      <w:tr w14:paraId="2FFB4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4E985867">
            <w:pPr>
              <w:spacing w:line="460" w:lineRule="exact"/>
              <w:rPr>
                <w:rFonts w:ascii="宋体" w:hAnsi="宋体"/>
                <w:color w:val="auto"/>
                <w:kern w:val="0"/>
                <w:highlight w:val="none"/>
              </w:rPr>
            </w:pPr>
          </w:p>
        </w:tc>
        <w:tc>
          <w:tcPr>
            <w:tcW w:w="850" w:type="dxa"/>
            <w:noWrap/>
            <w:vAlign w:val="top"/>
          </w:tcPr>
          <w:p w14:paraId="092E34EA">
            <w:pPr>
              <w:spacing w:line="460" w:lineRule="exact"/>
              <w:rPr>
                <w:rFonts w:ascii="宋体" w:hAnsi="宋体"/>
                <w:color w:val="auto"/>
                <w:kern w:val="0"/>
                <w:highlight w:val="none"/>
              </w:rPr>
            </w:pPr>
          </w:p>
        </w:tc>
        <w:tc>
          <w:tcPr>
            <w:tcW w:w="1005" w:type="dxa"/>
            <w:noWrap/>
            <w:vAlign w:val="top"/>
          </w:tcPr>
          <w:p w14:paraId="73F765A9">
            <w:pPr>
              <w:spacing w:line="460" w:lineRule="exact"/>
              <w:rPr>
                <w:rFonts w:ascii="宋体" w:hAnsi="宋体"/>
                <w:color w:val="auto"/>
                <w:kern w:val="0"/>
                <w:highlight w:val="none"/>
              </w:rPr>
            </w:pPr>
          </w:p>
        </w:tc>
        <w:tc>
          <w:tcPr>
            <w:tcW w:w="682" w:type="dxa"/>
            <w:noWrap/>
            <w:vAlign w:val="top"/>
          </w:tcPr>
          <w:p w14:paraId="1826B480">
            <w:pPr>
              <w:spacing w:line="460" w:lineRule="exact"/>
              <w:rPr>
                <w:rFonts w:ascii="宋体" w:hAnsi="宋体"/>
                <w:color w:val="auto"/>
                <w:kern w:val="0"/>
                <w:highlight w:val="none"/>
              </w:rPr>
            </w:pPr>
          </w:p>
        </w:tc>
        <w:tc>
          <w:tcPr>
            <w:tcW w:w="851" w:type="dxa"/>
            <w:noWrap/>
            <w:vAlign w:val="top"/>
          </w:tcPr>
          <w:p w14:paraId="063A0C10">
            <w:pPr>
              <w:spacing w:line="460" w:lineRule="exact"/>
              <w:rPr>
                <w:rFonts w:ascii="宋体" w:hAnsi="宋体"/>
                <w:color w:val="auto"/>
                <w:kern w:val="0"/>
                <w:highlight w:val="none"/>
              </w:rPr>
            </w:pPr>
          </w:p>
        </w:tc>
        <w:tc>
          <w:tcPr>
            <w:tcW w:w="1302" w:type="dxa"/>
            <w:noWrap/>
            <w:vAlign w:val="top"/>
          </w:tcPr>
          <w:p w14:paraId="58ABD29E">
            <w:pPr>
              <w:spacing w:line="460" w:lineRule="exact"/>
              <w:rPr>
                <w:rFonts w:ascii="宋体" w:hAnsi="宋体"/>
                <w:color w:val="auto"/>
                <w:kern w:val="0"/>
                <w:highlight w:val="none"/>
              </w:rPr>
            </w:pPr>
          </w:p>
        </w:tc>
        <w:tc>
          <w:tcPr>
            <w:tcW w:w="995" w:type="dxa"/>
            <w:noWrap/>
            <w:vAlign w:val="top"/>
          </w:tcPr>
          <w:p w14:paraId="5B1BCD92">
            <w:pPr>
              <w:spacing w:line="460" w:lineRule="exact"/>
              <w:rPr>
                <w:rFonts w:ascii="宋体" w:hAnsi="宋体"/>
                <w:color w:val="auto"/>
                <w:kern w:val="0"/>
                <w:highlight w:val="none"/>
              </w:rPr>
            </w:pPr>
          </w:p>
        </w:tc>
        <w:tc>
          <w:tcPr>
            <w:tcW w:w="906" w:type="dxa"/>
            <w:noWrap/>
            <w:vAlign w:val="top"/>
          </w:tcPr>
          <w:p w14:paraId="58296274">
            <w:pPr>
              <w:spacing w:line="460" w:lineRule="exact"/>
              <w:rPr>
                <w:rFonts w:ascii="宋体" w:hAnsi="宋体"/>
                <w:color w:val="auto"/>
                <w:kern w:val="0"/>
                <w:highlight w:val="none"/>
              </w:rPr>
            </w:pPr>
          </w:p>
        </w:tc>
        <w:tc>
          <w:tcPr>
            <w:tcW w:w="851" w:type="dxa"/>
            <w:noWrap/>
            <w:vAlign w:val="top"/>
          </w:tcPr>
          <w:p w14:paraId="58AA6297">
            <w:pPr>
              <w:spacing w:line="460" w:lineRule="exact"/>
              <w:rPr>
                <w:rFonts w:ascii="宋体" w:hAnsi="宋体"/>
                <w:color w:val="auto"/>
                <w:kern w:val="0"/>
                <w:highlight w:val="none"/>
              </w:rPr>
            </w:pPr>
          </w:p>
        </w:tc>
        <w:tc>
          <w:tcPr>
            <w:tcW w:w="851" w:type="dxa"/>
            <w:noWrap/>
            <w:vAlign w:val="top"/>
          </w:tcPr>
          <w:p w14:paraId="3FE656B9">
            <w:pPr>
              <w:spacing w:line="460" w:lineRule="exact"/>
              <w:rPr>
                <w:rFonts w:ascii="宋体" w:hAnsi="宋体"/>
                <w:color w:val="auto"/>
                <w:kern w:val="0"/>
                <w:highlight w:val="none"/>
              </w:rPr>
            </w:pPr>
          </w:p>
        </w:tc>
      </w:tr>
      <w:tr w14:paraId="7CDC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ign w:val="top"/>
          </w:tcPr>
          <w:p w14:paraId="52BF59B3">
            <w:pPr>
              <w:spacing w:line="460" w:lineRule="exact"/>
              <w:rPr>
                <w:rFonts w:ascii="宋体" w:hAnsi="宋体"/>
                <w:color w:val="auto"/>
                <w:kern w:val="0"/>
                <w:highlight w:val="none"/>
              </w:rPr>
            </w:pPr>
          </w:p>
        </w:tc>
        <w:tc>
          <w:tcPr>
            <w:tcW w:w="850" w:type="dxa"/>
            <w:noWrap/>
            <w:vAlign w:val="top"/>
          </w:tcPr>
          <w:p w14:paraId="64A53D67">
            <w:pPr>
              <w:spacing w:line="460" w:lineRule="exact"/>
              <w:rPr>
                <w:rFonts w:ascii="宋体" w:hAnsi="宋体"/>
                <w:color w:val="auto"/>
                <w:kern w:val="0"/>
                <w:highlight w:val="none"/>
              </w:rPr>
            </w:pPr>
          </w:p>
        </w:tc>
        <w:tc>
          <w:tcPr>
            <w:tcW w:w="1005" w:type="dxa"/>
            <w:noWrap/>
            <w:vAlign w:val="top"/>
          </w:tcPr>
          <w:p w14:paraId="341ED169">
            <w:pPr>
              <w:spacing w:line="460" w:lineRule="exact"/>
              <w:rPr>
                <w:rFonts w:ascii="宋体" w:hAnsi="宋体"/>
                <w:color w:val="auto"/>
                <w:kern w:val="0"/>
                <w:highlight w:val="none"/>
              </w:rPr>
            </w:pPr>
          </w:p>
        </w:tc>
        <w:tc>
          <w:tcPr>
            <w:tcW w:w="682" w:type="dxa"/>
            <w:noWrap/>
            <w:vAlign w:val="top"/>
          </w:tcPr>
          <w:p w14:paraId="4AAEDADA">
            <w:pPr>
              <w:spacing w:line="460" w:lineRule="exact"/>
              <w:rPr>
                <w:rFonts w:ascii="宋体" w:hAnsi="宋体"/>
                <w:color w:val="auto"/>
                <w:kern w:val="0"/>
                <w:highlight w:val="none"/>
              </w:rPr>
            </w:pPr>
          </w:p>
        </w:tc>
        <w:tc>
          <w:tcPr>
            <w:tcW w:w="851" w:type="dxa"/>
            <w:noWrap/>
            <w:vAlign w:val="top"/>
          </w:tcPr>
          <w:p w14:paraId="552F4B01">
            <w:pPr>
              <w:spacing w:line="460" w:lineRule="exact"/>
              <w:rPr>
                <w:rFonts w:ascii="宋体" w:hAnsi="宋体"/>
                <w:color w:val="auto"/>
                <w:kern w:val="0"/>
                <w:highlight w:val="none"/>
              </w:rPr>
            </w:pPr>
          </w:p>
        </w:tc>
        <w:tc>
          <w:tcPr>
            <w:tcW w:w="1302" w:type="dxa"/>
            <w:noWrap/>
            <w:vAlign w:val="top"/>
          </w:tcPr>
          <w:p w14:paraId="268FF231">
            <w:pPr>
              <w:spacing w:line="460" w:lineRule="exact"/>
              <w:rPr>
                <w:rFonts w:ascii="宋体" w:hAnsi="宋体"/>
                <w:color w:val="auto"/>
                <w:kern w:val="0"/>
                <w:highlight w:val="none"/>
              </w:rPr>
            </w:pPr>
          </w:p>
        </w:tc>
        <w:tc>
          <w:tcPr>
            <w:tcW w:w="995" w:type="dxa"/>
            <w:noWrap/>
            <w:vAlign w:val="top"/>
          </w:tcPr>
          <w:p w14:paraId="564B1363">
            <w:pPr>
              <w:spacing w:line="460" w:lineRule="exact"/>
              <w:rPr>
                <w:rFonts w:ascii="宋体" w:hAnsi="宋体"/>
                <w:color w:val="auto"/>
                <w:kern w:val="0"/>
                <w:highlight w:val="none"/>
              </w:rPr>
            </w:pPr>
          </w:p>
        </w:tc>
        <w:tc>
          <w:tcPr>
            <w:tcW w:w="906" w:type="dxa"/>
            <w:noWrap/>
            <w:vAlign w:val="top"/>
          </w:tcPr>
          <w:p w14:paraId="35985A80">
            <w:pPr>
              <w:spacing w:line="460" w:lineRule="exact"/>
              <w:rPr>
                <w:rFonts w:ascii="宋体" w:hAnsi="宋体"/>
                <w:color w:val="auto"/>
                <w:kern w:val="0"/>
                <w:highlight w:val="none"/>
              </w:rPr>
            </w:pPr>
          </w:p>
        </w:tc>
        <w:tc>
          <w:tcPr>
            <w:tcW w:w="851" w:type="dxa"/>
            <w:noWrap/>
            <w:vAlign w:val="top"/>
          </w:tcPr>
          <w:p w14:paraId="222819E1">
            <w:pPr>
              <w:spacing w:line="460" w:lineRule="exact"/>
              <w:rPr>
                <w:rFonts w:ascii="宋体" w:hAnsi="宋体"/>
                <w:color w:val="auto"/>
                <w:kern w:val="0"/>
                <w:highlight w:val="none"/>
              </w:rPr>
            </w:pPr>
          </w:p>
        </w:tc>
        <w:tc>
          <w:tcPr>
            <w:tcW w:w="851" w:type="dxa"/>
            <w:noWrap/>
            <w:vAlign w:val="top"/>
          </w:tcPr>
          <w:p w14:paraId="21AB38A0">
            <w:pPr>
              <w:spacing w:line="460" w:lineRule="exact"/>
              <w:rPr>
                <w:rFonts w:ascii="宋体" w:hAnsi="宋体"/>
                <w:color w:val="auto"/>
                <w:kern w:val="0"/>
                <w:highlight w:val="none"/>
              </w:rPr>
            </w:pPr>
          </w:p>
        </w:tc>
      </w:tr>
    </w:tbl>
    <w:p w14:paraId="36206C6F">
      <w:pPr>
        <w:spacing w:line="460" w:lineRule="exact"/>
        <w:rPr>
          <w:rFonts w:ascii="宋体" w:hAnsi="宋体"/>
          <w:color w:val="auto"/>
          <w:kern w:val="0"/>
          <w:sz w:val="24"/>
          <w:szCs w:val="24"/>
          <w:highlight w:val="none"/>
        </w:rPr>
      </w:pPr>
      <w:r>
        <w:rPr>
          <w:rFonts w:ascii="宋体" w:hAnsi="宋体"/>
          <w:color w:val="auto"/>
          <w:kern w:val="0"/>
          <w:sz w:val="24"/>
          <w:szCs w:val="24"/>
          <w:highlight w:val="none"/>
        </w:rPr>
        <w:br w:type="page" w:clear="all"/>
      </w:r>
      <w:r>
        <w:rPr>
          <w:rFonts w:ascii="宋体" w:hAnsi="宋体"/>
          <w:color w:val="auto"/>
          <w:kern w:val="0"/>
          <w:sz w:val="24"/>
          <w:szCs w:val="24"/>
          <w:highlight w:val="none"/>
        </w:rPr>
        <w:t>附件2：</w:t>
      </w:r>
    </w:p>
    <w:p w14:paraId="249497E5">
      <w:pPr>
        <w:spacing w:line="460" w:lineRule="exact"/>
        <w:jc w:val="center"/>
        <w:rPr>
          <w:rFonts w:ascii="宋体" w:hAnsi="宋体"/>
          <w:color w:val="auto"/>
          <w:kern w:val="0"/>
          <w:sz w:val="24"/>
          <w:szCs w:val="24"/>
          <w:highlight w:val="none"/>
        </w:rPr>
      </w:pPr>
      <w:r>
        <w:rPr>
          <w:rFonts w:ascii="宋体" w:hAnsi="宋体"/>
          <w:b/>
          <w:color w:val="auto"/>
          <w:kern w:val="0"/>
          <w:sz w:val="28"/>
          <w:szCs w:val="28"/>
          <w:highlight w:val="none"/>
        </w:rPr>
        <w:t>发包人供应材料设备一览表</w:t>
      </w:r>
    </w:p>
    <w:tbl>
      <w:tblPr>
        <w:tblStyle w:val="51"/>
        <w:tblW w:w="906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14:paraId="5BD67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center"/>
          </w:tcPr>
          <w:p w14:paraId="53F33DD3">
            <w:pPr>
              <w:spacing w:line="460" w:lineRule="exact"/>
              <w:jc w:val="center"/>
              <w:rPr>
                <w:rFonts w:ascii="宋体" w:hAnsi="宋体"/>
                <w:color w:val="auto"/>
                <w:kern w:val="0"/>
                <w:highlight w:val="none"/>
              </w:rPr>
            </w:pPr>
            <w:r>
              <w:rPr>
                <w:rFonts w:ascii="宋体" w:hAnsi="宋体"/>
                <w:color w:val="auto"/>
                <w:kern w:val="0"/>
                <w:highlight w:val="none"/>
              </w:rPr>
              <w:t>序号</w:t>
            </w:r>
          </w:p>
        </w:tc>
        <w:tc>
          <w:tcPr>
            <w:tcW w:w="1179" w:type="dxa"/>
            <w:noWrap/>
            <w:vAlign w:val="center"/>
          </w:tcPr>
          <w:p w14:paraId="38281799">
            <w:pPr>
              <w:spacing w:line="460" w:lineRule="exact"/>
              <w:jc w:val="center"/>
              <w:rPr>
                <w:rFonts w:ascii="宋体" w:hAnsi="宋体"/>
                <w:color w:val="auto"/>
                <w:kern w:val="0"/>
                <w:highlight w:val="none"/>
              </w:rPr>
            </w:pPr>
            <w:r>
              <w:rPr>
                <w:rFonts w:ascii="宋体" w:hAnsi="宋体"/>
                <w:color w:val="auto"/>
                <w:kern w:val="0"/>
                <w:highlight w:val="none"/>
              </w:rPr>
              <w:t>材料、设备品种</w:t>
            </w:r>
          </w:p>
        </w:tc>
        <w:tc>
          <w:tcPr>
            <w:tcW w:w="983" w:type="dxa"/>
            <w:noWrap/>
            <w:vAlign w:val="center"/>
          </w:tcPr>
          <w:p w14:paraId="588081FF">
            <w:pPr>
              <w:spacing w:line="460" w:lineRule="exact"/>
              <w:jc w:val="center"/>
              <w:rPr>
                <w:rFonts w:ascii="宋体" w:hAnsi="宋体"/>
                <w:color w:val="auto"/>
                <w:kern w:val="0"/>
                <w:highlight w:val="none"/>
              </w:rPr>
            </w:pPr>
            <w:r>
              <w:rPr>
                <w:rFonts w:ascii="宋体" w:hAnsi="宋体"/>
                <w:color w:val="auto"/>
                <w:kern w:val="0"/>
                <w:highlight w:val="none"/>
              </w:rPr>
              <w:t>规格型号</w:t>
            </w:r>
          </w:p>
        </w:tc>
        <w:tc>
          <w:tcPr>
            <w:tcW w:w="682" w:type="dxa"/>
            <w:noWrap/>
            <w:vAlign w:val="center"/>
          </w:tcPr>
          <w:p w14:paraId="5DAA185A">
            <w:pPr>
              <w:spacing w:line="460" w:lineRule="exact"/>
              <w:jc w:val="center"/>
              <w:rPr>
                <w:rFonts w:ascii="宋体" w:hAnsi="宋体"/>
                <w:color w:val="auto"/>
                <w:kern w:val="0"/>
                <w:highlight w:val="none"/>
              </w:rPr>
            </w:pPr>
            <w:r>
              <w:rPr>
                <w:rFonts w:ascii="宋体" w:hAnsi="宋体"/>
                <w:color w:val="auto"/>
                <w:kern w:val="0"/>
                <w:highlight w:val="none"/>
              </w:rPr>
              <w:t>单位</w:t>
            </w:r>
          </w:p>
        </w:tc>
        <w:tc>
          <w:tcPr>
            <w:tcW w:w="852" w:type="dxa"/>
            <w:noWrap/>
            <w:vAlign w:val="center"/>
          </w:tcPr>
          <w:p w14:paraId="0133B3FC">
            <w:pPr>
              <w:spacing w:line="460" w:lineRule="exact"/>
              <w:jc w:val="center"/>
              <w:rPr>
                <w:rFonts w:ascii="宋体" w:hAnsi="宋体"/>
                <w:color w:val="auto"/>
                <w:kern w:val="0"/>
                <w:highlight w:val="none"/>
              </w:rPr>
            </w:pPr>
            <w:r>
              <w:rPr>
                <w:rFonts w:ascii="宋体" w:hAnsi="宋体"/>
                <w:color w:val="auto"/>
                <w:kern w:val="0"/>
                <w:highlight w:val="none"/>
              </w:rPr>
              <w:t>数量</w:t>
            </w:r>
          </w:p>
        </w:tc>
        <w:tc>
          <w:tcPr>
            <w:tcW w:w="1037" w:type="dxa"/>
            <w:noWrap/>
            <w:vAlign w:val="center"/>
          </w:tcPr>
          <w:p w14:paraId="1799348F">
            <w:pPr>
              <w:spacing w:line="460" w:lineRule="exact"/>
              <w:jc w:val="center"/>
              <w:rPr>
                <w:rFonts w:ascii="宋体" w:hAnsi="宋体"/>
                <w:color w:val="auto"/>
                <w:kern w:val="0"/>
                <w:highlight w:val="none"/>
              </w:rPr>
            </w:pPr>
            <w:r>
              <w:rPr>
                <w:rFonts w:ascii="宋体" w:hAnsi="宋体"/>
                <w:color w:val="auto"/>
                <w:kern w:val="0"/>
                <w:highlight w:val="none"/>
              </w:rPr>
              <w:t>单价</w:t>
            </w:r>
          </w:p>
          <w:p w14:paraId="799BFD50">
            <w:pPr>
              <w:spacing w:line="460" w:lineRule="exact"/>
              <w:jc w:val="center"/>
              <w:rPr>
                <w:rFonts w:ascii="宋体" w:hAnsi="宋体"/>
                <w:color w:val="auto"/>
                <w:kern w:val="0"/>
                <w:highlight w:val="none"/>
              </w:rPr>
            </w:pPr>
            <w:r>
              <w:rPr>
                <w:rFonts w:ascii="宋体" w:hAnsi="宋体"/>
                <w:color w:val="auto"/>
                <w:kern w:val="0"/>
                <w:highlight w:val="none"/>
              </w:rPr>
              <w:t>（元）</w:t>
            </w:r>
          </w:p>
        </w:tc>
        <w:tc>
          <w:tcPr>
            <w:tcW w:w="996" w:type="dxa"/>
            <w:noWrap/>
            <w:vAlign w:val="center"/>
          </w:tcPr>
          <w:p w14:paraId="093221F9">
            <w:pPr>
              <w:spacing w:line="460" w:lineRule="exact"/>
              <w:jc w:val="center"/>
              <w:rPr>
                <w:rFonts w:ascii="宋体" w:hAnsi="宋体"/>
                <w:color w:val="auto"/>
                <w:kern w:val="0"/>
                <w:highlight w:val="none"/>
              </w:rPr>
            </w:pPr>
            <w:r>
              <w:rPr>
                <w:rFonts w:ascii="宋体" w:hAnsi="宋体"/>
                <w:color w:val="auto"/>
                <w:kern w:val="0"/>
                <w:highlight w:val="none"/>
              </w:rPr>
              <w:t>质量等级</w:t>
            </w:r>
          </w:p>
        </w:tc>
        <w:tc>
          <w:tcPr>
            <w:tcW w:w="852" w:type="dxa"/>
            <w:noWrap/>
            <w:vAlign w:val="center"/>
          </w:tcPr>
          <w:p w14:paraId="52DA732A">
            <w:pPr>
              <w:spacing w:line="460" w:lineRule="exact"/>
              <w:jc w:val="center"/>
              <w:rPr>
                <w:rFonts w:ascii="宋体" w:hAnsi="宋体"/>
                <w:color w:val="auto"/>
                <w:kern w:val="0"/>
                <w:highlight w:val="none"/>
              </w:rPr>
            </w:pPr>
            <w:r>
              <w:rPr>
                <w:rFonts w:ascii="宋体" w:hAnsi="宋体"/>
                <w:color w:val="auto"/>
                <w:kern w:val="0"/>
                <w:highlight w:val="none"/>
              </w:rPr>
              <w:t>供应</w:t>
            </w:r>
          </w:p>
          <w:p w14:paraId="28E9EFF4">
            <w:pPr>
              <w:spacing w:line="460" w:lineRule="exact"/>
              <w:jc w:val="center"/>
              <w:rPr>
                <w:rFonts w:ascii="宋体" w:hAnsi="宋体"/>
                <w:color w:val="auto"/>
                <w:kern w:val="0"/>
                <w:highlight w:val="none"/>
              </w:rPr>
            </w:pPr>
            <w:r>
              <w:rPr>
                <w:rFonts w:ascii="宋体" w:hAnsi="宋体"/>
                <w:color w:val="auto"/>
                <w:kern w:val="0"/>
                <w:highlight w:val="none"/>
              </w:rPr>
              <w:t>时间</w:t>
            </w:r>
          </w:p>
        </w:tc>
        <w:tc>
          <w:tcPr>
            <w:tcW w:w="852" w:type="dxa"/>
            <w:noWrap/>
            <w:vAlign w:val="center"/>
          </w:tcPr>
          <w:p w14:paraId="61D092C5">
            <w:pPr>
              <w:spacing w:line="460" w:lineRule="exact"/>
              <w:jc w:val="center"/>
              <w:rPr>
                <w:rFonts w:ascii="宋体" w:hAnsi="宋体"/>
                <w:color w:val="auto"/>
                <w:kern w:val="0"/>
                <w:highlight w:val="none"/>
              </w:rPr>
            </w:pPr>
            <w:r>
              <w:rPr>
                <w:rFonts w:ascii="宋体" w:hAnsi="宋体"/>
                <w:color w:val="auto"/>
                <w:kern w:val="0"/>
                <w:highlight w:val="none"/>
              </w:rPr>
              <w:t>送达地点</w:t>
            </w:r>
          </w:p>
        </w:tc>
        <w:tc>
          <w:tcPr>
            <w:tcW w:w="852" w:type="dxa"/>
            <w:noWrap/>
            <w:vAlign w:val="center"/>
          </w:tcPr>
          <w:p w14:paraId="7A32C510">
            <w:pPr>
              <w:spacing w:line="460" w:lineRule="exact"/>
              <w:jc w:val="center"/>
              <w:rPr>
                <w:rFonts w:ascii="宋体" w:hAnsi="宋体"/>
                <w:color w:val="auto"/>
                <w:kern w:val="0"/>
                <w:highlight w:val="none"/>
              </w:rPr>
            </w:pPr>
            <w:r>
              <w:rPr>
                <w:rFonts w:ascii="宋体" w:hAnsi="宋体"/>
                <w:color w:val="auto"/>
                <w:kern w:val="0"/>
                <w:highlight w:val="none"/>
              </w:rPr>
              <w:t>备注</w:t>
            </w:r>
          </w:p>
        </w:tc>
      </w:tr>
      <w:tr w14:paraId="7F542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6AB42345">
            <w:pPr>
              <w:spacing w:line="460" w:lineRule="exact"/>
              <w:rPr>
                <w:rFonts w:ascii="宋体" w:hAnsi="宋体"/>
                <w:color w:val="auto"/>
                <w:kern w:val="0"/>
                <w:highlight w:val="none"/>
              </w:rPr>
            </w:pPr>
          </w:p>
        </w:tc>
        <w:tc>
          <w:tcPr>
            <w:tcW w:w="1179" w:type="dxa"/>
            <w:noWrap/>
            <w:vAlign w:val="top"/>
          </w:tcPr>
          <w:p w14:paraId="6FB0F3D6">
            <w:pPr>
              <w:spacing w:line="460" w:lineRule="exact"/>
              <w:rPr>
                <w:rFonts w:ascii="宋体" w:hAnsi="宋体"/>
                <w:color w:val="auto"/>
                <w:kern w:val="0"/>
                <w:highlight w:val="none"/>
              </w:rPr>
            </w:pPr>
          </w:p>
        </w:tc>
        <w:tc>
          <w:tcPr>
            <w:tcW w:w="983" w:type="dxa"/>
            <w:noWrap/>
            <w:vAlign w:val="top"/>
          </w:tcPr>
          <w:p w14:paraId="719CB905">
            <w:pPr>
              <w:spacing w:line="460" w:lineRule="exact"/>
              <w:rPr>
                <w:rFonts w:ascii="宋体" w:hAnsi="宋体"/>
                <w:color w:val="auto"/>
                <w:kern w:val="0"/>
                <w:highlight w:val="none"/>
              </w:rPr>
            </w:pPr>
          </w:p>
        </w:tc>
        <w:tc>
          <w:tcPr>
            <w:tcW w:w="682" w:type="dxa"/>
            <w:noWrap/>
            <w:vAlign w:val="top"/>
          </w:tcPr>
          <w:p w14:paraId="357310E7">
            <w:pPr>
              <w:spacing w:line="460" w:lineRule="exact"/>
              <w:rPr>
                <w:rFonts w:ascii="宋体" w:hAnsi="宋体"/>
                <w:color w:val="auto"/>
                <w:kern w:val="0"/>
                <w:highlight w:val="none"/>
              </w:rPr>
            </w:pPr>
          </w:p>
        </w:tc>
        <w:tc>
          <w:tcPr>
            <w:tcW w:w="852" w:type="dxa"/>
            <w:noWrap/>
            <w:vAlign w:val="top"/>
          </w:tcPr>
          <w:p w14:paraId="2727ABFA">
            <w:pPr>
              <w:spacing w:line="460" w:lineRule="exact"/>
              <w:rPr>
                <w:rFonts w:ascii="宋体" w:hAnsi="宋体"/>
                <w:color w:val="auto"/>
                <w:kern w:val="0"/>
                <w:highlight w:val="none"/>
              </w:rPr>
            </w:pPr>
          </w:p>
        </w:tc>
        <w:tc>
          <w:tcPr>
            <w:tcW w:w="1037" w:type="dxa"/>
            <w:noWrap/>
            <w:vAlign w:val="top"/>
          </w:tcPr>
          <w:p w14:paraId="354446A3">
            <w:pPr>
              <w:spacing w:line="460" w:lineRule="exact"/>
              <w:rPr>
                <w:rFonts w:ascii="宋体" w:hAnsi="宋体"/>
                <w:color w:val="auto"/>
                <w:kern w:val="0"/>
                <w:highlight w:val="none"/>
              </w:rPr>
            </w:pPr>
          </w:p>
        </w:tc>
        <w:tc>
          <w:tcPr>
            <w:tcW w:w="996" w:type="dxa"/>
            <w:noWrap/>
            <w:vAlign w:val="top"/>
          </w:tcPr>
          <w:p w14:paraId="3011AD05">
            <w:pPr>
              <w:spacing w:line="460" w:lineRule="exact"/>
              <w:rPr>
                <w:rFonts w:ascii="宋体" w:hAnsi="宋体"/>
                <w:color w:val="auto"/>
                <w:kern w:val="0"/>
                <w:highlight w:val="none"/>
              </w:rPr>
            </w:pPr>
          </w:p>
        </w:tc>
        <w:tc>
          <w:tcPr>
            <w:tcW w:w="852" w:type="dxa"/>
            <w:noWrap/>
            <w:vAlign w:val="top"/>
          </w:tcPr>
          <w:p w14:paraId="76C7D1FF">
            <w:pPr>
              <w:spacing w:line="460" w:lineRule="exact"/>
              <w:rPr>
                <w:rFonts w:ascii="宋体" w:hAnsi="宋体"/>
                <w:color w:val="auto"/>
                <w:kern w:val="0"/>
                <w:highlight w:val="none"/>
              </w:rPr>
            </w:pPr>
          </w:p>
        </w:tc>
        <w:tc>
          <w:tcPr>
            <w:tcW w:w="852" w:type="dxa"/>
            <w:noWrap/>
            <w:vAlign w:val="top"/>
          </w:tcPr>
          <w:p w14:paraId="7A786099">
            <w:pPr>
              <w:spacing w:line="460" w:lineRule="exact"/>
              <w:rPr>
                <w:rFonts w:ascii="宋体" w:hAnsi="宋体"/>
                <w:color w:val="auto"/>
                <w:kern w:val="0"/>
                <w:highlight w:val="none"/>
              </w:rPr>
            </w:pPr>
          </w:p>
        </w:tc>
        <w:tc>
          <w:tcPr>
            <w:tcW w:w="852" w:type="dxa"/>
            <w:noWrap/>
            <w:vAlign w:val="top"/>
          </w:tcPr>
          <w:p w14:paraId="38D88BE6">
            <w:pPr>
              <w:spacing w:line="460" w:lineRule="exact"/>
              <w:rPr>
                <w:rFonts w:ascii="宋体" w:hAnsi="宋体"/>
                <w:color w:val="auto"/>
                <w:kern w:val="0"/>
                <w:highlight w:val="none"/>
              </w:rPr>
            </w:pPr>
          </w:p>
        </w:tc>
      </w:tr>
      <w:tr w14:paraId="5967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2E561B1C">
            <w:pPr>
              <w:spacing w:line="460" w:lineRule="exact"/>
              <w:rPr>
                <w:rFonts w:ascii="宋体" w:hAnsi="宋体"/>
                <w:color w:val="auto"/>
                <w:kern w:val="0"/>
                <w:highlight w:val="none"/>
              </w:rPr>
            </w:pPr>
          </w:p>
        </w:tc>
        <w:tc>
          <w:tcPr>
            <w:tcW w:w="1179" w:type="dxa"/>
            <w:noWrap/>
            <w:vAlign w:val="top"/>
          </w:tcPr>
          <w:p w14:paraId="3234F41A">
            <w:pPr>
              <w:spacing w:line="460" w:lineRule="exact"/>
              <w:rPr>
                <w:rFonts w:ascii="宋体" w:hAnsi="宋体"/>
                <w:color w:val="auto"/>
                <w:kern w:val="0"/>
                <w:highlight w:val="none"/>
              </w:rPr>
            </w:pPr>
          </w:p>
        </w:tc>
        <w:tc>
          <w:tcPr>
            <w:tcW w:w="983" w:type="dxa"/>
            <w:noWrap/>
            <w:vAlign w:val="top"/>
          </w:tcPr>
          <w:p w14:paraId="4DB6D25E">
            <w:pPr>
              <w:spacing w:line="460" w:lineRule="exact"/>
              <w:rPr>
                <w:rFonts w:ascii="宋体" w:hAnsi="宋体"/>
                <w:color w:val="auto"/>
                <w:kern w:val="0"/>
                <w:highlight w:val="none"/>
              </w:rPr>
            </w:pPr>
          </w:p>
        </w:tc>
        <w:tc>
          <w:tcPr>
            <w:tcW w:w="682" w:type="dxa"/>
            <w:noWrap/>
            <w:vAlign w:val="top"/>
          </w:tcPr>
          <w:p w14:paraId="2B7671E0">
            <w:pPr>
              <w:spacing w:line="460" w:lineRule="exact"/>
              <w:rPr>
                <w:rFonts w:ascii="宋体" w:hAnsi="宋体"/>
                <w:color w:val="auto"/>
                <w:kern w:val="0"/>
                <w:highlight w:val="none"/>
              </w:rPr>
            </w:pPr>
          </w:p>
        </w:tc>
        <w:tc>
          <w:tcPr>
            <w:tcW w:w="852" w:type="dxa"/>
            <w:noWrap/>
            <w:vAlign w:val="top"/>
          </w:tcPr>
          <w:p w14:paraId="671FFDA9">
            <w:pPr>
              <w:spacing w:line="460" w:lineRule="exact"/>
              <w:rPr>
                <w:rFonts w:ascii="宋体" w:hAnsi="宋体"/>
                <w:color w:val="auto"/>
                <w:kern w:val="0"/>
                <w:highlight w:val="none"/>
              </w:rPr>
            </w:pPr>
          </w:p>
        </w:tc>
        <w:tc>
          <w:tcPr>
            <w:tcW w:w="1037" w:type="dxa"/>
            <w:noWrap/>
            <w:vAlign w:val="top"/>
          </w:tcPr>
          <w:p w14:paraId="783569E7">
            <w:pPr>
              <w:spacing w:line="460" w:lineRule="exact"/>
              <w:rPr>
                <w:rFonts w:ascii="宋体" w:hAnsi="宋体"/>
                <w:color w:val="auto"/>
                <w:kern w:val="0"/>
                <w:highlight w:val="none"/>
              </w:rPr>
            </w:pPr>
          </w:p>
        </w:tc>
        <w:tc>
          <w:tcPr>
            <w:tcW w:w="996" w:type="dxa"/>
            <w:noWrap/>
            <w:vAlign w:val="top"/>
          </w:tcPr>
          <w:p w14:paraId="57EBCB1D">
            <w:pPr>
              <w:spacing w:line="460" w:lineRule="exact"/>
              <w:rPr>
                <w:rFonts w:ascii="宋体" w:hAnsi="宋体"/>
                <w:color w:val="auto"/>
                <w:kern w:val="0"/>
                <w:highlight w:val="none"/>
              </w:rPr>
            </w:pPr>
          </w:p>
        </w:tc>
        <w:tc>
          <w:tcPr>
            <w:tcW w:w="852" w:type="dxa"/>
            <w:noWrap/>
            <w:vAlign w:val="top"/>
          </w:tcPr>
          <w:p w14:paraId="7A3A13BE">
            <w:pPr>
              <w:spacing w:line="460" w:lineRule="exact"/>
              <w:rPr>
                <w:rFonts w:ascii="宋体" w:hAnsi="宋体"/>
                <w:color w:val="auto"/>
                <w:kern w:val="0"/>
                <w:highlight w:val="none"/>
              </w:rPr>
            </w:pPr>
          </w:p>
        </w:tc>
        <w:tc>
          <w:tcPr>
            <w:tcW w:w="852" w:type="dxa"/>
            <w:noWrap/>
            <w:vAlign w:val="top"/>
          </w:tcPr>
          <w:p w14:paraId="16452EF2">
            <w:pPr>
              <w:spacing w:line="460" w:lineRule="exact"/>
              <w:rPr>
                <w:rFonts w:ascii="宋体" w:hAnsi="宋体"/>
                <w:color w:val="auto"/>
                <w:kern w:val="0"/>
                <w:highlight w:val="none"/>
              </w:rPr>
            </w:pPr>
          </w:p>
        </w:tc>
        <w:tc>
          <w:tcPr>
            <w:tcW w:w="852" w:type="dxa"/>
            <w:noWrap/>
            <w:vAlign w:val="top"/>
          </w:tcPr>
          <w:p w14:paraId="76ABA74D">
            <w:pPr>
              <w:spacing w:line="460" w:lineRule="exact"/>
              <w:rPr>
                <w:rFonts w:ascii="宋体" w:hAnsi="宋体"/>
                <w:color w:val="auto"/>
                <w:kern w:val="0"/>
                <w:highlight w:val="none"/>
              </w:rPr>
            </w:pPr>
          </w:p>
        </w:tc>
      </w:tr>
      <w:tr w14:paraId="1DBEF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0C2D5018">
            <w:pPr>
              <w:spacing w:line="460" w:lineRule="exact"/>
              <w:rPr>
                <w:rFonts w:ascii="宋体" w:hAnsi="宋体"/>
                <w:color w:val="auto"/>
                <w:kern w:val="0"/>
                <w:highlight w:val="none"/>
              </w:rPr>
            </w:pPr>
          </w:p>
        </w:tc>
        <w:tc>
          <w:tcPr>
            <w:tcW w:w="1179" w:type="dxa"/>
            <w:noWrap/>
            <w:vAlign w:val="top"/>
          </w:tcPr>
          <w:p w14:paraId="1ABD1ED5">
            <w:pPr>
              <w:spacing w:line="460" w:lineRule="exact"/>
              <w:rPr>
                <w:rFonts w:ascii="宋体" w:hAnsi="宋体"/>
                <w:color w:val="auto"/>
                <w:kern w:val="0"/>
                <w:highlight w:val="none"/>
              </w:rPr>
            </w:pPr>
          </w:p>
        </w:tc>
        <w:tc>
          <w:tcPr>
            <w:tcW w:w="983" w:type="dxa"/>
            <w:noWrap/>
            <w:vAlign w:val="top"/>
          </w:tcPr>
          <w:p w14:paraId="10DEE209">
            <w:pPr>
              <w:spacing w:line="460" w:lineRule="exact"/>
              <w:rPr>
                <w:rFonts w:ascii="宋体" w:hAnsi="宋体"/>
                <w:color w:val="auto"/>
                <w:kern w:val="0"/>
                <w:highlight w:val="none"/>
              </w:rPr>
            </w:pPr>
          </w:p>
        </w:tc>
        <w:tc>
          <w:tcPr>
            <w:tcW w:w="682" w:type="dxa"/>
            <w:noWrap/>
            <w:vAlign w:val="top"/>
          </w:tcPr>
          <w:p w14:paraId="31A30866">
            <w:pPr>
              <w:spacing w:line="460" w:lineRule="exact"/>
              <w:rPr>
                <w:rFonts w:ascii="宋体" w:hAnsi="宋体"/>
                <w:color w:val="auto"/>
                <w:kern w:val="0"/>
                <w:highlight w:val="none"/>
              </w:rPr>
            </w:pPr>
          </w:p>
        </w:tc>
        <w:tc>
          <w:tcPr>
            <w:tcW w:w="852" w:type="dxa"/>
            <w:noWrap/>
            <w:vAlign w:val="top"/>
          </w:tcPr>
          <w:p w14:paraId="73FC978F">
            <w:pPr>
              <w:spacing w:line="460" w:lineRule="exact"/>
              <w:rPr>
                <w:rFonts w:ascii="宋体" w:hAnsi="宋体"/>
                <w:color w:val="auto"/>
                <w:kern w:val="0"/>
                <w:highlight w:val="none"/>
              </w:rPr>
            </w:pPr>
          </w:p>
        </w:tc>
        <w:tc>
          <w:tcPr>
            <w:tcW w:w="1037" w:type="dxa"/>
            <w:noWrap/>
            <w:vAlign w:val="top"/>
          </w:tcPr>
          <w:p w14:paraId="21F45D54">
            <w:pPr>
              <w:spacing w:line="460" w:lineRule="exact"/>
              <w:rPr>
                <w:rFonts w:ascii="宋体" w:hAnsi="宋体"/>
                <w:color w:val="auto"/>
                <w:kern w:val="0"/>
                <w:highlight w:val="none"/>
              </w:rPr>
            </w:pPr>
          </w:p>
        </w:tc>
        <w:tc>
          <w:tcPr>
            <w:tcW w:w="996" w:type="dxa"/>
            <w:noWrap/>
            <w:vAlign w:val="top"/>
          </w:tcPr>
          <w:p w14:paraId="0F3A2FA0">
            <w:pPr>
              <w:spacing w:line="460" w:lineRule="exact"/>
              <w:rPr>
                <w:rFonts w:ascii="宋体" w:hAnsi="宋体"/>
                <w:color w:val="auto"/>
                <w:kern w:val="0"/>
                <w:highlight w:val="none"/>
              </w:rPr>
            </w:pPr>
          </w:p>
        </w:tc>
        <w:tc>
          <w:tcPr>
            <w:tcW w:w="852" w:type="dxa"/>
            <w:noWrap/>
            <w:vAlign w:val="top"/>
          </w:tcPr>
          <w:p w14:paraId="5A0E8BC9">
            <w:pPr>
              <w:spacing w:line="460" w:lineRule="exact"/>
              <w:rPr>
                <w:rFonts w:ascii="宋体" w:hAnsi="宋体"/>
                <w:color w:val="auto"/>
                <w:kern w:val="0"/>
                <w:highlight w:val="none"/>
              </w:rPr>
            </w:pPr>
          </w:p>
        </w:tc>
        <w:tc>
          <w:tcPr>
            <w:tcW w:w="852" w:type="dxa"/>
            <w:noWrap/>
            <w:vAlign w:val="top"/>
          </w:tcPr>
          <w:p w14:paraId="790FCA88">
            <w:pPr>
              <w:spacing w:line="460" w:lineRule="exact"/>
              <w:rPr>
                <w:rFonts w:ascii="宋体" w:hAnsi="宋体"/>
                <w:color w:val="auto"/>
                <w:kern w:val="0"/>
                <w:highlight w:val="none"/>
              </w:rPr>
            </w:pPr>
          </w:p>
        </w:tc>
        <w:tc>
          <w:tcPr>
            <w:tcW w:w="852" w:type="dxa"/>
            <w:noWrap/>
            <w:vAlign w:val="top"/>
          </w:tcPr>
          <w:p w14:paraId="101C174A">
            <w:pPr>
              <w:spacing w:line="460" w:lineRule="exact"/>
              <w:rPr>
                <w:rFonts w:ascii="宋体" w:hAnsi="宋体"/>
                <w:color w:val="auto"/>
                <w:kern w:val="0"/>
                <w:highlight w:val="none"/>
              </w:rPr>
            </w:pPr>
          </w:p>
        </w:tc>
      </w:tr>
      <w:tr w14:paraId="10B1A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02DF0CD9">
            <w:pPr>
              <w:spacing w:line="460" w:lineRule="exact"/>
              <w:rPr>
                <w:rFonts w:ascii="宋体" w:hAnsi="宋体"/>
                <w:color w:val="auto"/>
                <w:kern w:val="0"/>
                <w:highlight w:val="none"/>
              </w:rPr>
            </w:pPr>
          </w:p>
        </w:tc>
        <w:tc>
          <w:tcPr>
            <w:tcW w:w="1179" w:type="dxa"/>
            <w:noWrap/>
            <w:vAlign w:val="top"/>
          </w:tcPr>
          <w:p w14:paraId="005BC856">
            <w:pPr>
              <w:spacing w:line="460" w:lineRule="exact"/>
              <w:rPr>
                <w:rFonts w:ascii="宋体" w:hAnsi="宋体"/>
                <w:color w:val="auto"/>
                <w:kern w:val="0"/>
                <w:highlight w:val="none"/>
              </w:rPr>
            </w:pPr>
          </w:p>
        </w:tc>
        <w:tc>
          <w:tcPr>
            <w:tcW w:w="983" w:type="dxa"/>
            <w:noWrap/>
            <w:vAlign w:val="top"/>
          </w:tcPr>
          <w:p w14:paraId="26042CAA">
            <w:pPr>
              <w:spacing w:line="460" w:lineRule="exact"/>
              <w:rPr>
                <w:rFonts w:ascii="宋体" w:hAnsi="宋体"/>
                <w:color w:val="auto"/>
                <w:kern w:val="0"/>
                <w:highlight w:val="none"/>
              </w:rPr>
            </w:pPr>
          </w:p>
        </w:tc>
        <w:tc>
          <w:tcPr>
            <w:tcW w:w="682" w:type="dxa"/>
            <w:noWrap/>
            <w:vAlign w:val="top"/>
          </w:tcPr>
          <w:p w14:paraId="20BD7B71">
            <w:pPr>
              <w:spacing w:line="460" w:lineRule="exact"/>
              <w:rPr>
                <w:rFonts w:ascii="宋体" w:hAnsi="宋体"/>
                <w:color w:val="auto"/>
                <w:kern w:val="0"/>
                <w:highlight w:val="none"/>
              </w:rPr>
            </w:pPr>
          </w:p>
        </w:tc>
        <w:tc>
          <w:tcPr>
            <w:tcW w:w="852" w:type="dxa"/>
            <w:noWrap/>
            <w:vAlign w:val="top"/>
          </w:tcPr>
          <w:p w14:paraId="6710D064">
            <w:pPr>
              <w:spacing w:line="460" w:lineRule="exact"/>
              <w:rPr>
                <w:rFonts w:ascii="宋体" w:hAnsi="宋体"/>
                <w:color w:val="auto"/>
                <w:kern w:val="0"/>
                <w:highlight w:val="none"/>
              </w:rPr>
            </w:pPr>
          </w:p>
        </w:tc>
        <w:tc>
          <w:tcPr>
            <w:tcW w:w="1037" w:type="dxa"/>
            <w:noWrap/>
            <w:vAlign w:val="top"/>
          </w:tcPr>
          <w:p w14:paraId="5C7A3B81">
            <w:pPr>
              <w:spacing w:line="460" w:lineRule="exact"/>
              <w:rPr>
                <w:rFonts w:ascii="宋体" w:hAnsi="宋体"/>
                <w:color w:val="auto"/>
                <w:kern w:val="0"/>
                <w:highlight w:val="none"/>
              </w:rPr>
            </w:pPr>
          </w:p>
        </w:tc>
        <w:tc>
          <w:tcPr>
            <w:tcW w:w="996" w:type="dxa"/>
            <w:noWrap/>
            <w:vAlign w:val="top"/>
          </w:tcPr>
          <w:p w14:paraId="1DE69B2E">
            <w:pPr>
              <w:spacing w:line="460" w:lineRule="exact"/>
              <w:rPr>
                <w:rFonts w:ascii="宋体" w:hAnsi="宋体"/>
                <w:color w:val="auto"/>
                <w:kern w:val="0"/>
                <w:highlight w:val="none"/>
              </w:rPr>
            </w:pPr>
          </w:p>
        </w:tc>
        <w:tc>
          <w:tcPr>
            <w:tcW w:w="852" w:type="dxa"/>
            <w:noWrap/>
            <w:vAlign w:val="top"/>
          </w:tcPr>
          <w:p w14:paraId="1383F826">
            <w:pPr>
              <w:spacing w:line="460" w:lineRule="exact"/>
              <w:rPr>
                <w:rFonts w:ascii="宋体" w:hAnsi="宋体"/>
                <w:color w:val="auto"/>
                <w:kern w:val="0"/>
                <w:highlight w:val="none"/>
              </w:rPr>
            </w:pPr>
          </w:p>
        </w:tc>
        <w:tc>
          <w:tcPr>
            <w:tcW w:w="852" w:type="dxa"/>
            <w:noWrap/>
            <w:vAlign w:val="top"/>
          </w:tcPr>
          <w:p w14:paraId="288704CC">
            <w:pPr>
              <w:spacing w:line="460" w:lineRule="exact"/>
              <w:rPr>
                <w:rFonts w:ascii="宋体" w:hAnsi="宋体"/>
                <w:color w:val="auto"/>
                <w:kern w:val="0"/>
                <w:highlight w:val="none"/>
              </w:rPr>
            </w:pPr>
          </w:p>
        </w:tc>
        <w:tc>
          <w:tcPr>
            <w:tcW w:w="852" w:type="dxa"/>
            <w:noWrap/>
            <w:vAlign w:val="top"/>
          </w:tcPr>
          <w:p w14:paraId="5919C60F">
            <w:pPr>
              <w:spacing w:line="460" w:lineRule="exact"/>
              <w:rPr>
                <w:rFonts w:ascii="宋体" w:hAnsi="宋体"/>
                <w:color w:val="auto"/>
                <w:kern w:val="0"/>
                <w:highlight w:val="none"/>
              </w:rPr>
            </w:pPr>
          </w:p>
        </w:tc>
      </w:tr>
      <w:tr w14:paraId="795EA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37B612BC">
            <w:pPr>
              <w:spacing w:line="460" w:lineRule="exact"/>
              <w:rPr>
                <w:rFonts w:ascii="宋体" w:hAnsi="宋体"/>
                <w:color w:val="auto"/>
                <w:kern w:val="0"/>
                <w:highlight w:val="none"/>
              </w:rPr>
            </w:pPr>
          </w:p>
        </w:tc>
        <w:tc>
          <w:tcPr>
            <w:tcW w:w="1179" w:type="dxa"/>
            <w:noWrap/>
            <w:vAlign w:val="top"/>
          </w:tcPr>
          <w:p w14:paraId="01053019">
            <w:pPr>
              <w:spacing w:line="460" w:lineRule="exact"/>
              <w:rPr>
                <w:rFonts w:ascii="宋体" w:hAnsi="宋体"/>
                <w:color w:val="auto"/>
                <w:kern w:val="0"/>
                <w:highlight w:val="none"/>
              </w:rPr>
            </w:pPr>
          </w:p>
        </w:tc>
        <w:tc>
          <w:tcPr>
            <w:tcW w:w="983" w:type="dxa"/>
            <w:noWrap/>
            <w:vAlign w:val="top"/>
          </w:tcPr>
          <w:p w14:paraId="3C18F7DA">
            <w:pPr>
              <w:spacing w:line="460" w:lineRule="exact"/>
              <w:rPr>
                <w:rFonts w:ascii="宋体" w:hAnsi="宋体"/>
                <w:color w:val="auto"/>
                <w:kern w:val="0"/>
                <w:highlight w:val="none"/>
              </w:rPr>
            </w:pPr>
          </w:p>
        </w:tc>
        <w:tc>
          <w:tcPr>
            <w:tcW w:w="682" w:type="dxa"/>
            <w:noWrap/>
            <w:vAlign w:val="top"/>
          </w:tcPr>
          <w:p w14:paraId="43B42476">
            <w:pPr>
              <w:spacing w:line="460" w:lineRule="exact"/>
              <w:rPr>
                <w:rFonts w:ascii="宋体" w:hAnsi="宋体"/>
                <w:color w:val="auto"/>
                <w:kern w:val="0"/>
                <w:highlight w:val="none"/>
              </w:rPr>
            </w:pPr>
          </w:p>
        </w:tc>
        <w:tc>
          <w:tcPr>
            <w:tcW w:w="852" w:type="dxa"/>
            <w:noWrap/>
            <w:vAlign w:val="top"/>
          </w:tcPr>
          <w:p w14:paraId="05DB146F">
            <w:pPr>
              <w:spacing w:line="460" w:lineRule="exact"/>
              <w:rPr>
                <w:rFonts w:ascii="宋体" w:hAnsi="宋体"/>
                <w:color w:val="auto"/>
                <w:kern w:val="0"/>
                <w:highlight w:val="none"/>
              </w:rPr>
            </w:pPr>
          </w:p>
        </w:tc>
        <w:tc>
          <w:tcPr>
            <w:tcW w:w="1037" w:type="dxa"/>
            <w:noWrap/>
            <w:vAlign w:val="top"/>
          </w:tcPr>
          <w:p w14:paraId="24B96036">
            <w:pPr>
              <w:spacing w:line="460" w:lineRule="exact"/>
              <w:rPr>
                <w:rFonts w:ascii="宋体" w:hAnsi="宋体"/>
                <w:color w:val="auto"/>
                <w:kern w:val="0"/>
                <w:highlight w:val="none"/>
              </w:rPr>
            </w:pPr>
          </w:p>
        </w:tc>
        <w:tc>
          <w:tcPr>
            <w:tcW w:w="996" w:type="dxa"/>
            <w:noWrap/>
            <w:vAlign w:val="top"/>
          </w:tcPr>
          <w:p w14:paraId="2FC47DAD">
            <w:pPr>
              <w:spacing w:line="460" w:lineRule="exact"/>
              <w:rPr>
                <w:rFonts w:ascii="宋体" w:hAnsi="宋体"/>
                <w:color w:val="auto"/>
                <w:kern w:val="0"/>
                <w:highlight w:val="none"/>
              </w:rPr>
            </w:pPr>
          </w:p>
        </w:tc>
        <w:tc>
          <w:tcPr>
            <w:tcW w:w="852" w:type="dxa"/>
            <w:noWrap/>
            <w:vAlign w:val="top"/>
          </w:tcPr>
          <w:p w14:paraId="011703DA">
            <w:pPr>
              <w:spacing w:line="460" w:lineRule="exact"/>
              <w:rPr>
                <w:rFonts w:ascii="宋体" w:hAnsi="宋体"/>
                <w:color w:val="auto"/>
                <w:kern w:val="0"/>
                <w:highlight w:val="none"/>
              </w:rPr>
            </w:pPr>
          </w:p>
        </w:tc>
        <w:tc>
          <w:tcPr>
            <w:tcW w:w="852" w:type="dxa"/>
            <w:noWrap/>
            <w:vAlign w:val="top"/>
          </w:tcPr>
          <w:p w14:paraId="0375E33A">
            <w:pPr>
              <w:spacing w:line="460" w:lineRule="exact"/>
              <w:rPr>
                <w:rFonts w:ascii="宋体" w:hAnsi="宋体"/>
                <w:color w:val="auto"/>
                <w:kern w:val="0"/>
                <w:highlight w:val="none"/>
              </w:rPr>
            </w:pPr>
          </w:p>
        </w:tc>
        <w:tc>
          <w:tcPr>
            <w:tcW w:w="852" w:type="dxa"/>
            <w:noWrap/>
            <w:vAlign w:val="top"/>
          </w:tcPr>
          <w:p w14:paraId="36E31502">
            <w:pPr>
              <w:spacing w:line="460" w:lineRule="exact"/>
              <w:rPr>
                <w:rFonts w:ascii="宋体" w:hAnsi="宋体"/>
                <w:color w:val="auto"/>
                <w:kern w:val="0"/>
                <w:highlight w:val="none"/>
              </w:rPr>
            </w:pPr>
          </w:p>
        </w:tc>
      </w:tr>
      <w:tr w14:paraId="1225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1E715D33">
            <w:pPr>
              <w:spacing w:line="460" w:lineRule="exact"/>
              <w:rPr>
                <w:rFonts w:ascii="宋体" w:hAnsi="宋体"/>
                <w:color w:val="auto"/>
                <w:kern w:val="0"/>
                <w:highlight w:val="none"/>
              </w:rPr>
            </w:pPr>
          </w:p>
        </w:tc>
        <w:tc>
          <w:tcPr>
            <w:tcW w:w="1179" w:type="dxa"/>
            <w:noWrap/>
            <w:vAlign w:val="top"/>
          </w:tcPr>
          <w:p w14:paraId="6EF9E5EA">
            <w:pPr>
              <w:spacing w:line="460" w:lineRule="exact"/>
              <w:rPr>
                <w:rFonts w:ascii="宋体" w:hAnsi="宋体"/>
                <w:color w:val="auto"/>
                <w:kern w:val="0"/>
                <w:highlight w:val="none"/>
              </w:rPr>
            </w:pPr>
          </w:p>
        </w:tc>
        <w:tc>
          <w:tcPr>
            <w:tcW w:w="983" w:type="dxa"/>
            <w:noWrap/>
            <w:vAlign w:val="top"/>
          </w:tcPr>
          <w:p w14:paraId="2176C688">
            <w:pPr>
              <w:spacing w:line="460" w:lineRule="exact"/>
              <w:rPr>
                <w:rFonts w:ascii="宋体" w:hAnsi="宋体"/>
                <w:color w:val="auto"/>
                <w:kern w:val="0"/>
                <w:highlight w:val="none"/>
              </w:rPr>
            </w:pPr>
          </w:p>
        </w:tc>
        <w:tc>
          <w:tcPr>
            <w:tcW w:w="682" w:type="dxa"/>
            <w:noWrap/>
            <w:vAlign w:val="top"/>
          </w:tcPr>
          <w:p w14:paraId="2AA32F52">
            <w:pPr>
              <w:spacing w:line="460" w:lineRule="exact"/>
              <w:rPr>
                <w:rFonts w:ascii="宋体" w:hAnsi="宋体"/>
                <w:color w:val="auto"/>
                <w:kern w:val="0"/>
                <w:highlight w:val="none"/>
              </w:rPr>
            </w:pPr>
          </w:p>
        </w:tc>
        <w:tc>
          <w:tcPr>
            <w:tcW w:w="852" w:type="dxa"/>
            <w:noWrap/>
            <w:vAlign w:val="top"/>
          </w:tcPr>
          <w:p w14:paraId="15CAD5A3">
            <w:pPr>
              <w:spacing w:line="460" w:lineRule="exact"/>
              <w:rPr>
                <w:rFonts w:ascii="宋体" w:hAnsi="宋体"/>
                <w:color w:val="auto"/>
                <w:kern w:val="0"/>
                <w:highlight w:val="none"/>
              </w:rPr>
            </w:pPr>
          </w:p>
        </w:tc>
        <w:tc>
          <w:tcPr>
            <w:tcW w:w="1037" w:type="dxa"/>
            <w:noWrap/>
            <w:vAlign w:val="top"/>
          </w:tcPr>
          <w:p w14:paraId="07EA1E11">
            <w:pPr>
              <w:spacing w:line="460" w:lineRule="exact"/>
              <w:rPr>
                <w:rFonts w:ascii="宋体" w:hAnsi="宋体"/>
                <w:color w:val="auto"/>
                <w:kern w:val="0"/>
                <w:highlight w:val="none"/>
              </w:rPr>
            </w:pPr>
          </w:p>
        </w:tc>
        <w:tc>
          <w:tcPr>
            <w:tcW w:w="996" w:type="dxa"/>
            <w:noWrap/>
            <w:vAlign w:val="top"/>
          </w:tcPr>
          <w:p w14:paraId="6CC9DCF8">
            <w:pPr>
              <w:spacing w:line="460" w:lineRule="exact"/>
              <w:rPr>
                <w:rFonts w:ascii="宋体" w:hAnsi="宋体"/>
                <w:color w:val="auto"/>
                <w:kern w:val="0"/>
                <w:highlight w:val="none"/>
              </w:rPr>
            </w:pPr>
          </w:p>
        </w:tc>
        <w:tc>
          <w:tcPr>
            <w:tcW w:w="852" w:type="dxa"/>
            <w:noWrap/>
            <w:vAlign w:val="top"/>
          </w:tcPr>
          <w:p w14:paraId="1E410496">
            <w:pPr>
              <w:spacing w:line="460" w:lineRule="exact"/>
              <w:rPr>
                <w:rFonts w:ascii="宋体" w:hAnsi="宋体"/>
                <w:color w:val="auto"/>
                <w:kern w:val="0"/>
                <w:highlight w:val="none"/>
              </w:rPr>
            </w:pPr>
          </w:p>
        </w:tc>
        <w:tc>
          <w:tcPr>
            <w:tcW w:w="852" w:type="dxa"/>
            <w:noWrap/>
            <w:vAlign w:val="top"/>
          </w:tcPr>
          <w:p w14:paraId="42AFDD16">
            <w:pPr>
              <w:spacing w:line="460" w:lineRule="exact"/>
              <w:rPr>
                <w:rFonts w:ascii="宋体" w:hAnsi="宋体"/>
                <w:color w:val="auto"/>
                <w:kern w:val="0"/>
                <w:highlight w:val="none"/>
              </w:rPr>
            </w:pPr>
          </w:p>
        </w:tc>
        <w:tc>
          <w:tcPr>
            <w:tcW w:w="852" w:type="dxa"/>
            <w:noWrap/>
            <w:vAlign w:val="top"/>
          </w:tcPr>
          <w:p w14:paraId="0BDA7153">
            <w:pPr>
              <w:spacing w:line="460" w:lineRule="exact"/>
              <w:rPr>
                <w:rFonts w:ascii="宋体" w:hAnsi="宋体"/>
                <w:color w:val="auto"/>
                <w:kern w:val="0"/>
                <w:highlight w:val="none"/>
              </w:rPr>
            </w:pPr>
          </w:p>
        </w:tc>
      </w:tr>
      <w:tr w14:paraId="0CA41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330BBB87">
            <w:pPr>
              <w:spacing w:line="460" w:lineRule="exact"/>
              <w:rPr>
                <w:rFonts w:ascii="宋体" w:hAnsi="宋体"/>
                <w:color w:val="auto"/>
                <w:kern w:val="0"/>
                <w:highlight w:val="none"/>
              </w:rPr>
            </w:pPr>
          </w:p>
        </w:tc>
        <w:tc>
          <w:tcPr>
            <w:tcW w:w="1179" w:type="dxa"/>
            <w:noWrap/>
            <w:vAlign w:val="top"/>
          </w:tcPr>
          <w:p w14:paraId="7B4AD320">
            <w:pPr>
              <w:spacing w:line="460" w:lineRule="exact"/>
              <w:rPr>
                <w:rFonts w:ascii="宋体" w:hAnsi="宋体"/>
                <w:color w:val="auto"/>
                <w:kern w:val="0"/>
                <w:highlight w:val="none"/>
              </w:rPr>
            </w:pPr>
          </w:p>
        </w:tc>
        <w:tc>
          <w:tcPr>
            <w:tcW w:w="983" w:type="dxa"/>
            <w:noWrap/>
            <w:vAlign w:val="top"/>
          </w:tcPr>
          <w:p w14:paraId="5E87FA5C">
            <w:pPr>
              <w:spacing w:line="460" w:lineRule="exact"/>
              <w:rPr>
                <w:rFonts w:ascii="宋体" w:hAnsi="宋体"/>
                <w:color w:val="auto"/>
                <w:kern w:val="0"/>
                <w:highlight w:val="none"/>
              </w:rPr>
            </w:pPr>
          </w:p>
        </w:tc>
        <w:tc>
          <w:tcPr>
            <w:tcW w:w="682" w:type="dxa"/>
            <w:noWrap/>
            <w:vAlign w:val="top"/>
          </w:tcPr>
          <w:p w14:paraId="3825F27D">
            <w:pPr>
              <w:spacing w:line="460" w:lineRule="exact"/>
              <w:rPr>
                <w:rFonts w:ascii="宋体" w:hAnsi="宋体"/>
                <w:color w:val="auto"/>
                <w:kern w:val="0"/>
                <w:highlight w:val="none"/>
              </w:rPr>
            </w:pPr>
          </w:p>
        </w:tc>
        <w:tc>
          <w:tcPr>
            <w:tcW w:w="852" w:type="dxa"/>
            <w:noWrap/>
            <w:vAlign w:val="top"/>
          </w:tcPr>
          <w:p w14:paraId="5179FD0D">
            <w:pPr>
              <w:spacing w:line="460" w:lineRule="exact"/>
              <w:rPr>
                <w:rFonts w:ascii="宋体" w:hAnsi="宋体"/>
                <w:color w:val="auto"/>
                <w:kern w:val="0"/>
                <w:highlight w:val="none"/>
              </w:rPr>
            </w:pPr>
          </w:p>
        </w:tc>
        <w:tc>
          <w:tcPr>
            <w:tcW w:w="1037" w:type="dxa"/>
            <w:noWrap/>
            <w:vAlign w:val="top"/>
          </w:tcPr>
          <w:p w14:paraId="07E4E885">
            <w:pPr>
              <w:spacing w:line="460" w:lineRule="exact"/>
              <w:rPr>
                <w:rFonts w:ascii="宋体" w:hAnsi="宋体"/>
                <w:color w:val="auto"/>
                <w:kern w:val="0"/>
                <w:highlight w:val="none"/>
              </w:rPr>
            </w:pPr>
          </w:p>
        </w:tc>
        <w:tc>
          <w:tcPr>
            <w:tcW w:w="996" w:type="dxa"/>
            <w:noWrap/>
            <w:vAlign w:val="top"/>
          </w:tcPr>
          <w:p w14:paraId="67E129CB">
            <w:pPr>
              <w:spacing w:line="460" w:lineRule="exact"/>
              <w:rPr>
                <w:rFonts w:ascii="宋体" w:hAnsi="宋体"/>
                <w:color w:val="auto"/>
                <w:kern w:val="0"/>
                <w:highlight w:val="none"/>
              </w:rPr>
            </w:pPr>
          </w:p>
        </w:tc>
        <w:tc>
          <w:tcPr>
            <w:tcW w:w="852" w:type="dxa"/>
            <w:noWrap/>
            <w:vAlign w:val="top"/>
          </w:tcPr>
          <w:p w14:paraId="5BD9F22C">
            <w:pPr>
              <w:spacing w:line="460" w:lineRule="exact"/>
              <w:rPr>
                <w:rFonts w:ascii="宋体" w:hAnsi="宋体"/>
                <w:color w:val="auto"/>
                <w:kern w:val="0"/>
                <w:highlight w:val="none"/>
              </w:rPr>
            </w:pPr>
          </w:p>
        </w:tc>
        <w:tc>
          <w:tcPr>
            <w:tcW w:w="852" w:type="dxa"/>
            <w:noWrap/>
            <w:vAlign w:val="top"/>
          </w:tcPr>
          <w:p w14:paraId="3F331B46">
            <w:pPr>
              <w:spacing w:line="460" w:lineRule="exact"/>
              <w:rPr>
                <w:rFonts w:ascii="宋体" w:hAnsi="宋体"/>
                <w:color w:val="auto"/>
                <w:kern w:val="0"/>
                <w:highlight w:val="none"/>
              </w:rPr>
            </w:pPr>
          </w:p>
        </w:tc>
        <w:tc>
          <w:tcPr>
            <w:tcW w:w="852" w:type="dxa"/>
            <w:noWrap/>
            <w:vAlign w:val="top"/>
          </w:tcPr>
          <w:p w14:paraId="68C84174">
            <w:pPr>
              <w:spacing w:line="460" w:lineRule="exact"/>
              <w:rPr>
                <w:rFonts w:ascii="宋体" w:hAnsi="宋体"/>
                <w:color w:val="auto"/>
                <w:kern w:val="0"/>
                <w:highlight w:val="none"/>
              </w:rPr>
            </w:pPr>
          </w:p>
        </w:tc>
      </w:tr>
      <w:tr w14:paraId="768D6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7B0EB96F">
            <w:pPr>
              <w:spacing w:line="460" w:lineRule="exact"/>
              <w:rPr>
                <w:rFonts w:ascii="宋体" w:hAnsi="宋体"/>
                <w:color w:val="auto"/>
                <w:kern w:val="0"/>
                <w:highlight w:val="none"/>
              </w:rPr>
            </w:pPr>
          </w:p>
        </w:tc>
        <w:tc>
          <w:tcPr>
            <w:tcW w:w="1179" w:type="dxa"/>
            <w:noWrap/>
            <w:vAlign w:val="top"/>
          </w:tcPr>
          <w:p w14:paraId="2CF6E8A5">
            <w:pPr>
              <w:spacing w:line="460" w:lineRule="exact"/>
              <w:rPr>
                <w:rFonts w:ascii="宋体" w:hAnsi="宋体"/>
                <w:color w:val="auto"/>
                <w:kern w:val="0"/>
                <w:highlight w:val="none"/>
              </w:rPr>
            </w:pPr>
          </w:p>
        </w:tc>
        <w:tc>
          <w:tcPr>
            <w:tcW w:w="983" w:type="dxa"/>
            <w:noWrap/>
            <w:vAlign w:val="top"/>
          </w:tcPr>
          <w:p w14:paraId="783A1135">
            <w:pPr>
              <w:spacing w:line="460" w:lineRule="exact"/>
              <w:rPr>
                <w:rFonts w:ascii="宋体" w:hAnsi="宋体"/>
                <w:color w:val="auto"/>
                <w:kern w:val="0"/>
                <w:highlight w:val="none"/>
              </w:rPr>
            </w:pPr>
          </w:p>
        </w:tc>
        <w:tc>
          <w:tcPr>
            <w:tcW w:w="682" w:type="dxa"/>
            <w:noWrap/>
            <w:vAlign w:val="top"/>
          </w:tcPr>
          <w:p w14:paraId="26FEF662">
            <w:pPr>
              <w:spacing w:line="460" w:lineRule="exact"/>
              <w:rPr>
                <w:rFonts w:ascii="宋体" w:hAnsi="宋体"/>
                <w:color w:val="auto"/>
                <w:kern w:val="0"/>
                <w:highlight w:val="none"/>
              </w:rPr>
            </w:pPr>
          </w:p>
        </w:tc>
        <w:tc>
          <w:tcPr>
            <w:tcW w:w="852" w:type="dxa"/>
            <w:noWrap/>
            <w:vAlign w:val="top"/>
          </w:tcPr>
          <w:p w14:paraId="334B11BC">
            <w:pPr>
              <w:spacing w:line="460" w:lineRule="exact"/>
              <w:rPr>
                <w:rFonts w:ascii="宋体" w:hAnsi="宋体"/>
                <w:color w:val="auto"/>
                <w:kern w:val="0"/>
                <w:highlight w:val="none"/>
              </w:rPr>
            </w:pPr>
          </w:p>
        </w:tc>
        <w:tc>
          <w:tcPr>
            <w:tcW w:w="1037" w:type="dxa"/>
            <w:noWrap/>
            <w:vAlign w:val="top"/>
          </w:tcPr>
          <w:p w14:paraId="0A4824FC">
            <w:pPr>
              <w:spacing w:line="460" w:lineRule="exact"/>
              <w:rPr>
                <w:rFonts w:ascii="宋体" w:hAnsi="宋体"/>
                <w:color w:val="auto"/>
                <w:kern w:val="0"/>
                <w:highlight w:val="none"/>
              </w:rPr>
            </w:pPr>
          </w:p>
        </w:tc>
        <w:tc>
          <w:tcPr>
            <w:tcW w:w="996" w:type="dxa"/>
            <w:noWrap/>
            <w:vAlign w:val="top"/>
          </w:tcPr>
          <w:p w14:paraId="574E93C8">
            <w:pPr>
              <w:spacing w:line="460" w:lineRule="exact"/>
              <w:rPr>
                <w:rFonts w:ascii="宋体" w:hAnsi="宋体"/>
                <w:color w:val="auto"/>
                <w:kern w:val="0"/>
                <w:highlight w:val="none"/>
              </w:rPr>
            </w:pPr>
          </w:p>
        </w:tc>
        <w:tc>
          <w:tcPr>
            <w:tcW w:w="852" w:type="dxa"/>
            <w:noWrap/>
            <w:vAlign w:val="top"/>
          </w:tcPr>
          <w:p w14:paraId="6E0BC8CF">
            <w:pPr>
              <w:spacing w:line="460" w:lineRule="exact"/>
              <w:rPr>
                <w:rFonts w:ascii="宋体" w:hAnsi="宋体"/>
                <w:color w:val="auto"/>
                <w:kern w:val="0"/>
                <w:highlight w:val="none"/>
              </w:rPr>
            </w:pPr>
          </w:p>
        </w:tc>
        <w:tc>
          <w:tcPr>
            <w:tcW w:w="852" w:type="dxa"/>
            <w:noWrap/>
            <w:vAlign w:val="top"/>
          </w:tcPr>
          <w:p w14:paraId="37DDC7D5">
            <w:pPr>
              <w:spacing w:line="460" w:lineRule="exact"/>
              <w:rPr>
                <w:rFonts w:ascii="宋体" w:hAnsi="宋体"/>
                <w:color w:val="auto"/>
                <w:kern w:val="0"/>
                <w:highlight w:val="none"/>
              </w:rPr>
            </w:pPr>
          </w:p>
        </w:tc>
        <w:tc>
          <w:tcPr>
            <w:tcW w:w="852" w:type="dxa"/>
            <w:noWrap/>
            <w:vAlign w:val="top"/>
          </w:tcPr>
          <w:p w14:paraId="6D5E0CC5">
            <w:pPr>
              <w:spacing w:line="460" w:lineRule="exact"/>
              <w:rPr>
                <w:rFonts w:ascii="宋体" w:hAnsi="宋体"/>
                <w:color w:val="auto"/>
                <w:kern w:val="0"/>
                <w:highlight w:val="none"/>
              </w:rPr>
            </w:pPr>
          </w:p>
        </w:tc>
      </w:tr>
      <w:tr w14:paraId="350DE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034AF87A">
            <w:pPr>
              <w:spacing w:line="460" w:lineRule="exact"/>
              <w:rPr>
                <w:rFonts w:ascii="宋体" w:hAnsi="宋体"/>
                <w:color w:val="auto"/>
                <w:kern w:val="0"/>
                <w:highlight w:val="none"/>
              </w:rPr>
            </w:pPr>
          </w:p>
        </w:tc>
        <w:tc>
          <w:tcPr>
            <w:tcW w:w="1179" w:type="dxa"/>
            <w:noWrap/>
            <w:vAlign w:val="top"/>
          </w:tcPr>
          <w:p w14:paraId="2B9C8B72">
            <w:pPr>
              <w:spacing w:line="460" w:lineRule="exact"/>
              <w:rPr>
                <w:rFonts w:ascii="宋体" w:hAnsi="宋体"/>
                <w:color w:val="auto"/>
                <w:kern w:val="0"/>
                <w:highlight w:val="none"/>
              </w:rPr>
            </w:pPr>
          </w:p>
        </w:tc>
        <w:tc>
          <w:tcPr>
            <w:tcW w:w="983" w:type="dxa"/>
            <w:noWrap/>
            <w:vAlign w:val="top"/>
          </w:tcPr>
          <w:p w14:paraId="5E59D95A">
            <w:pPr>
              <w:spacing w:line="460" w:lineRule="exact"/>
              <w:rPr>
                <w:rFonts w:ascii="宋体" w:hAnsi="宋体"/>
                <w:color w:val="auto"/>
                <w:kern w:val="0"/>
                <w:highlight w:val="none"/>
              </w:rPr>
            </w:pPr>
          </w:p>
        </w:tc>
        <w:tc>
          <w:tcPr>
            <w:tcW w:w="682" w:type="dxa"/>
            <w:noWrap/>
            <w:vAlign w:val="top"/>
          </w:tcPr>
          <w:p w14:paraId="0895AC8E">
            <w:pPr>
              <w:spacing w:line="460" w:lineRule="exact"/>
              <w:rPr>
                <w:rFonts w:ascii="宋体" w:hAnsi="宋体"/>
                <w:color w:val="auto"/>
                <w:kern w:val="0"/>
                <w:highlight w:val="none"/>
              </w:rPr>
            </w:pPr>
          </w:p>
        </w:tc>
        <w:tc>
          <w:tcPr>
            <w:tcW w:w="852" w:type="dxa"/>
            <w:noWrap/>
            <w:vAlign w:val="top"/>
          </w:tcPr>
          <w:p w14:paraId="497ED97F">
            <w:pPr>
              <w:spacing w:line="460" w:lineRule="exact"/>
              <w:rPr>
                <w:rFonts w:ascii="宋体" w:hAnsi="宋体"/>
                <w:color w:val="auto"/>
                <w:kern w:val="0"/>
                <w:highlight w:val="none"/>
              </w:rPr>
            </w:pPr>
          </w:p>
        </w:tc>
        <w:tc>
          <w:tcPr>
            <w:tcW w:w="1037" w:type="dxa"/>
            <w:noWrap/>
            <w:vAlign w:val="top"/>
          </w:tcPr>
          <w:p w14:paraId="3D22EB59">
            <w:pPr>
              <w:spacing w:line="460" w:lineRule="exact"/>
              <w:rPr>
                <w:rFonts w:ascii="宋体" w:hAnsi="宋体"/>
                <w:color w:val="auto"/>
                <w:kern w:val="0"/>
                <w:highlight w:val="none"/>
              </w:rPr>
            </w:pPr>
          </w:p>
        </w:tc>
        <w:tc>
          <w:tcPr>
            <w:tcW w:w="996" w:type="dxa"/>
            <w:noWrap/>
            <w:vAlign w:val="top"/>
          </w:tcPr>
          <w:p w14:paraId="46E5746C">
            <w:pPr>
              <w:spacing w:line="460" w:lineRule="exact"/>
              <w:rPr>
                <w:rFonts w:ascii="宋体" w:hAnsi="宋体"/>
                <w:color w:val="auto"/>
                <w:kern w:val="0"/>
                <w:highlight w:val="none"/>
              </w:rPr>
            </w:pPr>
          </w:p>
        </w:tc>
        <w:tc>
          <w:tcPr>
            <w:tcW w:w="852" w:type="dxa"/>
            <w:noWrap/>
            <w:vAlign w:val="top"/>
          </w:tcPr>
          <w:p w14:paraId="046373A6">
            <w:pPr>
              <w:spacing w:line="460" w:lineRule="exact"/>
              <w:rPr>
                <w:rFonts w:ascii="宋体" w:hAnsi="宋体"/>
                <w:color w:val="auto"/>
                <w:kern w:val="0"/>
                <w:highlight w:val="none"/>
              </w:rPr>
            </w:pPr>
          </w:p>
        </w:tc>
        <w:tc>
          <w:tcPr>
            <w:tcW w:w="852" w:type="dxa"/>
            <w:noWrap/>
            <w:vAlign w:val="top"/>
          </w:tcPr>
          <w:p w14:paraId="778029EC">
            <w:pPr>
              <w:spacing w:line="460" w:lineRule="exact"/>
              <w:rPr>
                <w:rFonts w:ascii="宋体" w:hAnsi="宋体"/>
                <w:color w:val="auto"/>
                <w:kern w:val="0"/>
                <w:highlight w:val="none"/>
              </w:rPr>
            </w:pPr>
          </w:p>
        </w:tc>
        <w:tc>
          <w:tcPr>
            <w:tcW w:w="852" w:type="dxa"/>
            <w:noWrap/>
            <w:vAlign w:val="top"/>
          </w:tcPr>
          <w:p w14:paraId="02AD0BEE">
            <w:pPr>
              <w:spacing w:line="460" w:lineRule="exact"/>
              <w:rPr>
                <w:rFonts w:ascii="宋体" w:hAnsi="宋体"/>
                <w:color w:val="auto"/>
                <w:kern w:val="0"/>
                <w:highlight w:val="none"/>
              </w:rPr>
            </w:pPr>
          </w:p>
        </w:tc>
      </w:tr>
      <w:tr w14:paraId="42A9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18BA4292">
            <w:pPr>
              <w:spacing w:line="460" w:lineRule="exact"/>
              <w:rPr>
                <w:rFonts w:ascii="宋体" w:hAnsi="宋体"/>
                <w:color w:val="auto"/>
                <w:kern w:val="0"/>
                <w:highlight w:val="none"/>
              </w:rPr>
            </w:pPr>
          </w:p>
        </w:tc>
        <w:tc>
          <w:tcPr>
            <w:tcW w:w="1179" w:type="dxa"/>
            <w:noWrap/>
            <w:vAlign w:val="top"/>
          </w:tcPr>
          <w:p w14:paraId="46798BCC">
            <w:pPr>
              <w:spacing w:line="460" w:lineRule="exact"/>
              <w:rPr>
                <w:rFonts w:ascii="宋体" w:hAnsi="宋体"/>
                <w:color w:val="auto"/>
                <w:kern w:val="0"/>
                <w:highlight w:val="none"/>
              </w:rPr>
            </w:pPr>
          </w:p>
        </w:tc>
        <w:tc>
          <w:tcPr>
            <w:tcW w:w="983" w:type="dxa"/>
            <w:noWrap/>
            <w:vAlign w:val="top"/>
          </w:tcPr>
          <w:p w14:paraId="5AD099B9">
            <w:pPr>
              <w:spacing w:line="460" w:lineRule="exact"/>
              <w:rPr>
                <w:rFonts w:ascii="宋体" w:hAnsi="宋体"/>
                <w:color w:val="auto"/>
                <w:kern w:val="0"/>
                <w:highlight w:val="none"/>
              </w:rPr>
            </w:pPr>
          </w:p>
        </w:tc>
        <w:tc>
          <w:tcPr>
            <w:tcW w:w="682" w:type="dxa"/>
            <w:noWrap/>
            <w:vAlign w:val="top"/>
          </w:tcPr>
          <w:p w14:paraId="7B4153AE">
            <w:pPr>
              <w:spacing w:line="460" w:lineRule="exact"/>
              <w:rPr>
                <w:rFonts w:ascii="宋体" w:hAnsi="宋体"/>
                <w:color w:val="auto"/>
                <w:kern w:val="0"/>
                <w:highlight w:val="none"/>
              </w:rPr>
            </w:pPr>
          </w:p>
        </w:tc>
        <w:tc>
          <w:tcPr>
            <w:tcW w:w="852" w:type="dxa"/>
            <w:noWrap/>
            <w:vAlign w:val="top"/>
          </w:tcPr>
          <w:p w14:paraId="6F876CE4">
            <w:pPr>
              <w:spacing w:line="460" w:lineRule="exact"/>
              <w:rPr>
                <w:rFonts w:ascii="宋体" w:hAnsi="宋体"/>
                <w:color w:val="auto"/>
                <w:kern w:val="0"/>
                <w:highlight w:val="none"/>
              </w:rPr>
            </w:pPr>
          </w:p>
        </w:tc>
        <w:tc>
          <w:tcPr>
            <w:tcW w:w="1037" w:type="dxa"/>
            <w:noWrap/>
            <w:vAlign w:val="top"/>
          </w:tcPr>
          <w:p w14:paraId="31EE4FE0">
            <w:pPr>
              <w:spacing w:line="460" w:lineRule="exact"/>
              <w:rPr>
                <w:rFonts w:ascii="宋体" w:hAnsi="宋体"/>
                <w:color w:val="auto"/>
                <w:kern w:val="0"/>
                <w:highlight w:val="none"/>
              </w:rPr>
            </w:pPr>
          </w:p>
        </w:tc>
        <w:tc>
          <w:tcPr>
            <w:tcW w:w="996" w:type="dxa"/>
            <w:noWrap/>
            <w:vAlign w:val="top"/>
          </w:tcPr>
          <w:p w14:paraId="394A6413">
            <w:pPr>
              <w:spacing w:line="460" w:lineRule="exact"/>
              <w:rPr>
                <w:rFonts w:ascii="宋体" w:hAnsi="宋体"/>
                <w:color w:val="auto"/>
                <w:kern w:val="0"/>
                <w:highlight w:val="none"/>
              </w:rPr>
            </w:pPr>
          </w:p>
        </w:tc>
        <w:tc>
          <w:tcPr>
            <w:tcW w:w="852" w:type="dxa"/>
            <w:noWrap/>
            <w:vAlign w:val="top"/>
          </w:tcPr>
          <w:p w14:paraId="6B5EF357">
            <w:pPr>
              <w:spacing w:line="460" w:lineRule="exact"/>
              <w:rPr>
                <w:rFonts w:ascii="宋体" w:hAnsi="宋体"/>
                <w:color w:val="auto"/>
                <w:kern w:val="0"/>
                <w:highlight w:val="none"/>
              </w:rPr>
            </w:pPr>
          </w:p>
        </w:tc>
        <w:tc>
          <w:tcPr>
            <w:tcW w:w="852" w:type="dxa"/>
            <w:noWrap/>
            <w:vAlign w:val="top"/>
          </w:tcPr>
          <w:p w14:paraId="4EC93A7E">
            <w:pPr>
              <w:spacing w:line="460" w:lineRule="exact"/>
              <w:rPr>
                <w:rFonts w:ascii="宋体" w:hAnsi="宋体"/>
                <w:color w:val="auto"/>
                <w:kern w:val="0"/>
                <w:highlight w:val="none"/>
              </w:rPr>
            </w:pPr>
          </w:p>
        </w:tc>
        <w:tc>
          <w:tcPr>
            <w:tcW w:w="852" w:type="dxa"/>
            <w:noWrap/>
            <w:vAlign w:val="top"/>
          </w:tcPr>
          <w:p w14:paraId="081F5AD7">
            <w:pPr>
              <w:spacing w:line="460" w:lineRule="exact"/>
              <w:rPr>
                <w:rFonts w:ascii="宋体" w:hAnsi="宋体"/>
                <w:color w:val="auto"/>
                <w:kern w:val="0"/>
                <w:highlight w:val="none"/>
              </w:rPr>
            </w:pPr>
          </w:p>
        </w:tc>
      </w:tr>
      <w:tr w14:paraId="70E12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7526B2E0">
            <w:pPr>
              <w:spacing w:line="460" w:lineRule="exact"/>
              <w:rPr>
                <w:rFonts w:ascii="宋体" w:hAnsi="宋体"/>
                <w:color w:val="auto"/>
                <w:kern w:val="0"/>
                <w:highlight w:val="none"/>
              </w:rPr>
            </w:pPr>
          </w:p>
        </w:tc>
        <w:tc>
          <w:tcPr>
            <w:tcW w:w="1179" w:type="dxa"/>
            <w:noWrap/>
            <w:vAlign w:val="top"/>
          </w:tcPr>
          <w:p w14:paraId="0BC1C8B6">
            <w:pPr>
              <w:spacing w:line="460" w:lineRule="exact"/>
              <w:rPr>
                <w:rFonts w:ascii="宋体" w:hAnsi="宋体"/>
                <w:color w:val="auto"/>
                <w:kern w:val="0"/>
                <w:highlight w:val="none"/>
              </w:rPr>
            </w:pPr>
          </w:p>
        </w:tc>
        <w:tc>
          <w:tcPr>
            <w:tcW w:w="983" w:type="dxa"/>
            <w:noWrap/>
            <w:vAlign w:val="top"/>
          </w:tcPr>
          <w:p w14:paraId="305866BA">
            <w:pPr>
              <w:spacing w:line="460" w:lineRule="exact"/>
              <w:rPr>
                <w:rFonts w:ascii="宋体" w:hAnsi="宋体"/>
                <w:color w:val="auto"/>
                <w:kern w:val="0"/>
                <w:highlight w:val="none"/>
              </w:rPr>
            </w:pPr>
          </w:p>
        </w:tc>
        <w:tc>
          <w:tcPr>
            <w:tcW w:w="682" w:type="dxa"/>
            <w:noWrap/>
            <w:vAlign w:val="top"/>
          </w:tcPr>
          <w:p w14:paraId="18700FAA">
            <w:pPr>
              <w:spacing w:line="460" w:lineRule="exact"/>
              <w:rPr>
                <w:rFonts w:ascii="宋体" w:hAnsi="宋体"/>
                <w:color w:val="auto"/>
                <w:kern w:val="0"/>
                <w:highlight w:val="none"/>
              </w:rPr>
            </w:pPr>
          </w:p>
        </w:tc>
        <w:tc>
          <w:tcPr>
            <w:tcW w:w="852" w:type="dxa"/>
            <w:noWrap/>
            <w:vAlign w:val="top"/>
          </w:tcPr>
          <w:p w14:paraId="5FEA0437">
            <w:pPr>
              <w:spacing w:line="460" w:lineRule="exact"/>
              <w:rPr>
                <w:rFonts w:ascii="宋体" w:hAnsi="宋体"/>
                <w:color w:val="auto"/>
                <w:kern w:val="0"/>
                <w:highlight w:val="none"/>
              </w:rPr>
            </w:pPr>
          </w:p>
        </w:tc>
        <w:tc>
          <w:tcPr>
            <w:tcW w:w="1037" w:type="dxa"/>
            <w:noWrap/>
            <w:vAlign w:val="top"/>
          </w:tcPr>
          <w:p w14:paraId="0B330E23">
            <w:pPr>
              <w:spacing w:line="460" w:lineRule="exact"/>
              <w:rPr>
                <w:rFonts w:ascii="宋体" w:hAnsi="宋体"/>
                <w:color w:val="auto"/>
                <w:kern w:val="0"/>
                <w:highlight w:val="none"/>
              </w:rPr>
            </w:pPr>
          </w:p>
        </w:tc>
        <w:tc>
          <w:tcPr>
            <w:tcW w:w="996" w:type="dxa"/>
            <w:noWrap/>
            <w:vAlign w:val="top"/>
          </w:tcPr>
          <w:p w14:paraId="51A2F515">
            <w:pPr>
              <w:spacing w:line="460" w:lineRule="exact"/>
              <w:rPr>
                <w:rFonts w:ascii="宋体" w:hAnsi="宋体"/>
                <w:color w:val="auto"/>
                <w:kern w:val="0"/>
                <w:highlight w:val="none"/>
              </w:rPr>
            </w:pPr>
          </w:p>
        </w:tc>
        <w:tc>
          <w:tcPr>
            <w:tcW w:w="852" w:type="dxa"/>
            <w:noWrap/>
            <w:vAlign w:val="top"/>
          </w:tcPr>
          <w:p w14:paraId="7876E67F">
            <w:pPr>
              <w:spacing w:line="460" w:lineRule="exact"/>
              <w:rPr>
                <w:rFonts w:ascii="宋体" w:hAnsi="宋体"/>
                <w:color w:val="auto"/>
                <w:kern w:val="0"/>
                <w:highlight w:val="none"/>
              </w:rPr>
            </w:pPr>
          </w:p>
        </w:tc>
        <w:tc>
          <w:tcPr>
            <w:tcW w:w="852" w:type="dxa"/>
            <w:noWrap/>
            <w:vAlign w:val="top"/>
          </w:tcPr>
          <w:p w14:paraId="742E1DCF">
            <w:pPr>
              <w:spacing w:line="460" w:lineRule="exact"/>
              <w:rPr>
                <w:rFonts w:ascii="宋体" w:hAnsi="宋体"/>
                <w:color w:val="auto"/>
                <w:kern w:val="0"/>
                <w:highlight w:val="none"/>
              </w:rPr>
            </w:pPr>
          </w:p>
        </w:tc>
        <w:tc>
          <w:tcPr>
            <w:tcW w:w="852" w:type="dxa"/>
            <w:noWrap/>
            <w:vAlign w:val="top"/>
          </w:tcPr>
          <w:p w14:paraId="1DF7A882">
            <w:pPr>
              <w:spacing w:line="460" w:lineRule="exact"/>
              <w:rPr>
                <w:rFonts w:ascii="宋体" w:hAnsi="宋体"/>
                <w:color w:val="auto"/>
                <w:kern w:val="0"/>
                <w:highlight w:val="none"/>
              </w:rPr>
            </w:pPr>
          </w:p>
        </w:tc>
      </w:tr>
      <w:tr w14:paraId="089A6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5C827491">
            <w:pPr>
              <w:spacing w:line="460" w:lineRule="exact"/>
              <w:rPr>
                <w:rFonts w:ascii="宋体" w:hAnsi="宋体"/>
                <w:color w:val="auto"/>
                <w:kern w:val="0"/>
                <w:highlight w:val="none"/>
              </w:rPr>
            </w:pPr>
          </w:p>
        </w:tc>
        <w:tc>
          <w:tcPr>
            <w:tcW w:w="1179" w:type="dxa"/>
            <w:noWrap/>
            <w:vAlign w:val="top"/>
          </w:tcPr>
          <w:p w14:paraId="7156B20F">
            <w:pPr>
              <w:spacing w:line="460" w:lineRule="exact"/>
              <w:rPr>
                <w:rFonts w:ascii="宋体" w:hAnsi="宋体"/>
                <w:color w:val="auto"/>
                <w:kern w:val="0"/>
                <w:highlight w:val="none"/>
              </w:rPr>
            </w:pPr>
          </w:p>
        </w:tc>
        <w:tc>
          <w:tcPr>
            <w:tcW w:w="983" w:type="dxa"/>
            <w:noWrap/>
            <w:vAlign w:val="top"/>
          </w:tcPr>
          <w:p w14:paraId="5B491C49">
            <w:pPr>
              <w:spacing w:line="460" w:lineRule="exact"/>
              <w:rPr>
                <w:rFonts w:ascii="宋体" w:hAnsi="宋体"/>
                <w:color w:val="auto"/>
                <w:kern w:val="0"/>
                <w:highlight w:val="none"/>
              </w:rPr>
            </w:pPr>
          </w:p>
        </w:tc>
        <w:tc>
          <w:tcPr>
            <w:tcW w:w="682" w:type="dxa"/>
            <w:noWrap/>
            <w:vAlign w:val="top"/>
          </w:tcPr>
          <w:p w14:paraId="727626D5">
            <w:pPr>
              <w:spacing w:line="460" w:lineRule="exact"/>
              <w:rPr>
                <w:rFonts w:ascii="宋体" w:hAnsi="宋体"/>
                <w:color w:val="auto"/>
                <w:kern w:val="0"/>
                <w:highlight w:val="none"/>
              </w:rPr>
            </w:pPr>
          </w:p>
        </w:tc>
        <w:tc>
          <w:tcPr>
            <w:tcW w:w="852" w:type="dxa"/>
            <w:noWrap/>
            <w:vAlign w:val="top"/>
          </w:tcPr>
          <w:p w14:paraId="7392DF3F">
            <w:pPr>
              <w:spacing w:line="460" w:lineRule="exact"/>
              <w:rPr>
                <w:rFonts w:ascii="宋体" w:hAnsi="宋体"/>
                <w:color w:val="auto"/>
                <w:kern w:val="0"/>
                <w:highlight w:val="none"/>
              </w:rPr>
            </w:pPr>
          </w:p>
        </w:tc>
        <w:tc>
          <w:tcPr>
            <w:tcW w:w="1037" w:type="dxa"/>
            <w:noWrap/>
            <w:vAlign w:val="top"/>
          </w:tcPr>
          <w:p w14:paraId="70D191DF">
            <w:pPr>
              <w:spacing w:line="460" w:lineRule="exact"/>
              <w:rPr>
                <w:rFonts w:ascii="宋体" w:hAnsi="宋体"/>
                <w:color w:val="auto"/>
                <w:kern w:val="0"/>
                <w:highlight w:val="none"/>
              </w:rPr>
            </w:pPr>
          </w:p>
        </w:tc>
        <w:tc>
          <w:tcPr>
            <w:tcW w:w="996" w:type="dxa"/>
            <w:noWrap/>
            <w:vAlign w:val="top"/>
          </w:tcPr>
          <w:p w14:paraId="77D71A15">
            <w:pPr>
              <w:spacing w:line="460" w:lineRule="exact"/>
              <w:rPr>
                <w:rFonts w:ascii="宋体" w:hAnsi="宋体"/>
                <w:color w:val="auto"/>
                <w:kern w:val="0"/>
                <w:highlight w:val="none"/>
              </w:rPr>
            </w:pPr>
          </w:p>
        </w:tc>
        <w:tc>
          <w:tcPr>
            <w:tcW w:w="852" w:type="dxa"/>
            <w:noWrap/>
            <w:vAlign w:val="top"/>
          </w:tcPr>
          <w:p w14:paraId="18B3F352">
            <w:pPr>
              <w:spacing w:line="460" w:lineRule="exact"/>
              <w:rPr>
                <w:rFonts w:ascii="宋体" w:hAnsi="宋体"/>
                <w:color w:val="auto"/>
                <w:kern w:val="0"/>
                <w:highlight w:val="none"/>
              </w:rPr>
            </w:pPr>
          </w:p>
        </w:tc>
        <w:tc>
          <w:tcPr>
            <w:tcW w:w="852" w:type="dxa"/>
            <w:noWrap/>
            <w:vAlign w:val="top"/>
          </w:tcPr>
          <w:p w14:paraId="3B78ACED">
            <w:pPr>
              <w:spacing w:line="460" w:lineRule="exact"/>
              <w:rPr>
                <w:rFonts w:ascii="宋体" w:hAnsi="宋体"/>
                <w:color w:val="auto"/>
                <w:kern w:val="0"/>
                <w:highlight w:val="none"/>
              </w:rPr>
            </w:pPr>
          </w:p>
        </w:tc>
        <w:tc>
          <w:tcPr>
            <w:tcW w:w="852" w:type="dxa"/>
            <w:noWrap/>
            <w:vAlign w:val="top"/>
          </w:tcPr>
          <w:p w14:paraId="592A85AA">
            <w:pPr>
              <w:spacing w:line="460" w:lineRule="exact"/>
              <w:rPr>
                <w:rFonts w:ascii="宋体" w:hAnsi="宋体"/>
                <w:color w:val="auto"/>
                <w:kern w:val="0"/>
                <w:highlight w:val="none"/>
              </w:rPr>
            </w:pPr>
          </w:p>
        </w:tc>
      </w:tr>
      <w:tr w14:paraId="0244E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5E7D631D">
            <w:pPr>
              <w:spacing w:line="460" w:lineRule="exact"/>
              <w:rPr>
                <w:rFonts w:ascii="宋体" w:hAnsi="宋体"/>
                <w:color w:val="auto"/>
                <w:kern w:val="0"/>
                <w:highlight w:val="none"/>
              </w:rPr>
            </w:pPr>
          </w:p>
        </w:tc>
        <w:tc>
          <w:tcPr>
            <w:tcW w:w="1179" w:type="dxa"/>
            <w:noWrap/>
            <w:vAlign w:val="top"/>
          </w:tcPr>
          <w:p w14:paraId="02FA49CC">
            <w:pPr>
              <w:spacing w:line="460" w:lineRule="exact"/>
              <w:rPr>
                <w:rFonts w:ascii="宋体" w:hAnsi="宋体"/>
                <w:color w:val="auto"/>
                <w:kern w:val="0"/>
                <w:highlight w:val="none"/>
              </w:rPr>
            </w:pPr>
          </w:p>
        </w:tc>
        <w:tc>
          <w:tcPr>
            <w:tcW w:w="983" w:type="dxa"/>
            <w:noWrap/>
            <w:vAlign w:val="top"/>
          </w:tcPr>
          <w:p w14:paraId="23F7B3EE">
            <w:pPr>
              <w:spacing w:line="460" w:lineRule="exact"/>
              <w:rPr>
                <w:rFonts w:ascii="宋体" w:hAnsi="宋体"/>
                <w:color w:val="auto"/>
                <w:kern w:val="0"/>
                <w:highlight w:val="none"/>
              </w:rPr>
            </w:pPr>
          </w:p>
        </w:tc>
        <w:tc>
          <w:tcPr>
            <w:tcW w:w="682" w:type="dxa"/>
            <w:noWrap/>
            <w:vAlign w:val="top"/>
          </w:tcPr>
          <w:p w14:paraId="272B6BF1">
            <w:pPr>
              <w:spacing w:line="460" w:lineRule="exact"/>
              <w:rPr>
                <w:rFonts w:ascii="宋体" w:hAnsi="宋体"/>
                <w:color w:val="auto"/>
                <w:kern w:val="0"/>
                <w:highlight w:val="none"/>
              </w:rPr>
            </w:pPr>
          </w:p>
        </w:tc>
        <w:tc>
          <w:tcPr>
            <w:tcW w:w="852" w:type="dxa"/>
            <w:noWrap/>
            <w:vAlign w:val="top"/>
          </w:tcPr>
          <w:p w14:paraId="52C27642">
            <w:pPr>
              <w:spacing w:line="460" w:lineRule="exact"/>
              <w:rPr>
                <w:rFonts w:ascii="宋体" w:hAnsi="宋体"/>
                <w:color w:val="auto"/>
                <w:kern w:val="0"/>
                <w:highlight w:val="none"/>
              </w:rPr>
            </w:pPr>
          </w:p>
        </w:tc>
        <w:tc>
          <w:tcPr>
            <w:tcW w:w="1037" w:type="dxa"/>
            <w:noWrap/>
            <w:vAlign w:val="top"/>
          </w:tcPr>
          <w:p w14:paraId="1353263C">
            <w:pPr>
              <w:spacing w:line="460" w:lineRule="exact"/>
              <w:rPr>
                <w:rFonts w:ascii="宋体" w:hAnsi="宋体"/>
                <w:color w:val="auto"/>
                <w:kern w:val="0"/>
                <w:highlight w:val="none"/>
              </w:rPr>
            </w:pPr>
          </w:p>
        </w:tc>
        <w:tc>
          <w:tcPr>
            <w:tcW w:w="996" w:type="dxa"/>
            <w:noWrap/>
            <w:vAlign w:val="top"/>
          </w:tcPr>
          <w:p w14:paraId="57CA69FC">
            <w:pPr>
              <w:spacing w:line="460" w:lineRule="exact"/>
              <w:rPr>
                <w:rFonts w:ascii="宋体" w:hAnsi="宋体"/>
                <w:color w:val="auto"/>
                <w:kern w:val="0"/>
                <w:highlight w:val="none"/>
              </w:rPr>
            </w:pPr>
          </w:p>
        </w:tc>
        <w:tc>
          <w:tcPr>
            <w:tcW w:w="852" w:type="dxa"/>
            <w:noWrap/>
            <w:vAlign w:val="top"/>
          </w:tcPr>
          <w:p w14:paraId="106F21CA">
            <w:pPr>
              <w:spacing w:line="460" w:lineRule="exact"/>
              <w:rPr>
                <w:rFonts w:ascii="宋体" w:hAnsi="宋体"/>
                <w:color w:val="auto"/>
                <w:kern w:val="0"/>
                <w:highlight w:val="none"/>
              </w:rPr>
            </w:pPr>
          </w:p>
        </w:tc>
        <w:tc>
          <w:tcPr>
            <w:tcW w:w="852" w:type="dxa"/>
            <w:noWrap/>
            <w:vAlign w:val="top"/>
          </w:tcPr>
          <w:p w14:paraId="7293E196">
            <w:pPr>
              <w:spacing w:line="460" w:lineRule="exact"/>
              <w:rPr>
                <w:rFonts w:ascii="宋体" w:hAnsi="宋体"/>
                <w:color w:val="auto"/>
                <w:kern w:val="0"/>
                <w:highlight w:val="none"/>
              </w:rPr>
            </w:pPr>
          </w:p>
        </w:tc>
        <w:tc>
          <w:tcPr>
            <w:tcW w:w="852" w:type="dxa"/>
            <w:noWrap/>
            <w:vAlign w:val="top"/>
          </w:tcPr>
          <w:p w14:paraId="4691EE9B">
            <w:pPr>
              <w:spacing w:line="460" w:lineRule="exact"/>
              <w:rPr>
                <w:rFonts w:ascii="宋体" w:hAnsi="宋体"/>
                <w:color w:val="auto"/>
                <w:kern w:val="0"/>
                <w:highlight w:val="none"/>
              </w:rPr>
            </w:pPr>
          </w:p>
        </w:tc>
      </w:tr>
      <w:tr w14:paraId="25931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696E2104">
            <w:pPr>
              <w:spacing w:line="460" w:lineRule="exact"/>
              <w:rPr>
                <w:rFonts w:ascii="宋体" w:hAnsi="宋体"/>
                <w:color w:val="auto"/>
                <w:kern w:val="0"/>
                <w:highlight w:val="none"/>
              </w:rPr>
            </w:pPr>
          </w:p>
        </w:tc>
        <w:tc>
          <w:tcPr>
            <w:tcW w:w="1179" w:type="dxa"/>
            <w:noWrap/>
            <w:vAlign w:val="top"/>
          </w:tcPr>
          <w:p w14:paraId="537E8E70">
            <w:pPr>
              <w:spacing w:line="460" w:lineRule="exact"/>
              <w:rPr>
                <w:rFonts w:ascii="宋体" w:hAnsi="宋体"/>
                <w:color w:val="auto"/>
                <w:kern w:val="0"/>
                <w:highlight w:val="none"/>
              </w:rPr>
            </w:pPr>
          </w:p>
        </w:tc>
        <w:tc>
          <w:tcPr>
            <w:tcW w:w="983" w:type="dxa"/>
            <w:noWrap/>
            <w:vAlign w:val="top"/>
          </w:tcPr>
          <w:p w14:paraId="78C8DD1E">
            <w:pPr>
              <w:spacing w:line="460" w:lineRule="exact"/>
              <w:rPr>
                <w:rFonts w:ascii="宋体" w:hAnsi="宋体"/>
                <w:color w:val="auto"/>
                <w:kern w:val="0"/>
                <w:highlight w:val="none"/>
              </w:rPr>
            </w:pPr>
          </w:p>
        </w:tc>
        <w:tc>
          <w:tcPr>
            <w:tcW w:w="682" w:type="dxa"/>
            <w:noWrap/>
            <w:vAlign w:val="top"/>
          </w:tcPr>
          <w:p w14:paraId="084B5F75">
            <w:pPr>
              <w:spacing w:line="460" w:lineRule="exact"/>
              <w:rPr>
                <w:rFonts w:ascii="宋体" w:hAnsi="宋体"/>
                <w:color w:val="auto"/>
                <w:kern w:val="0"/>
                <w:highlight w:val="none"/>
              </w:rPr>
            </w:pPr>
          </w:p>
        </w:tc>
        <w:tc>
          <w:tcPr>
            <w:tcW w:w="852" w:type="dxa"/>
            <w:noWrap/>
            <w:vAlign w:val="top"/>
          </w:tcPr>
          <w:p w14:paraId="3D3CE8DA">
            <w:pPr>
              <w:spacing w:line="460" w:lineRule="exact"/>
              <w:rPr>
                <w:rFonts w:ascii="宋体" w:hAnsi="宋体"/>
                <w:color w:val="auto"/>
                <w:kern w:val="0"/>
                <w:highlight w:val="none"/>
              </w:rPr>
            </w:pPr>
          </w:p>
        </w:tc>
        <w:tc>
          <w:tcPr>
            <w:tcW w:w="1037" w:type="dxa"/>
            <w:noWrap/>
            <w:vAlign w:val="top"/>
          </w:tcPr>
          <w:p w14:paraId="5320EE12">
            <w:pPr>
              <w:spacing w:line="460" w:lineRule="exact"/>
              <w:rPr>
                <w:rFonts w:ascii="宋体" w:hAnsi="宋体"/>
                <w:color w:val="auto"/>
                <w:kern w:val="0"/>
                <w:highlight w:val="none"/>
              </w:rPr>
            </w:pPr>
          </w:p>
        </w:tc>
        <w:tc>
          <w:tcPr>
            <w:tcW w:w="996" w:type="dxa"/>
            <w:noWrap/>
            <w:vAlign w:val="top"/>
          </w:tcPr>
          <w:p w14:paraId="3101F512">
            <w:pPr>
              <w:spacing w:line="460" w:lineRule="exact"/>
              <w:rPr>
                <w:rFonts w:ascii="宋体" w:hAnsi="宋体"/>
                <w:color w:val="auto"/>
                <w:kern w:val="0"/>
                <w:highlight w:val="none"/>
              </w:rPr>
            </w:pPr>
          </w:p>
        </w:tc>
        <w:tc>
          <w:tcPr>
            <w:tcW w:w="852" w:type="dxa"/>
            <w:noWrap/>
            <w:vAlign w:val="top"/>
          </w:tcPr>
          <w:p w14:paraId="4445D35A">
            <w:pPr>
              <w:spacing w:line="460" w:lineRule="exact"/>
              <w:rPr>
                <w:rFonts w:ascii="宋体" w:hAnsi="宋体"/>
                <w:color w:val="auto"/>
                <w:kern w:val="0"/>
                <w:highlight w:val="none"/>
              </w:rPr>
            </w:pPr>
          </w:p>
        </w:tc>
        <w:tc>
          <w:tcPr>
            <w:tcW w:w="852" w:type="dxa"/>
            <w:noWrap/>
            <w:vAlign w:val="top"/>
          </w:tcPr>
          <w:p w14:paraId="3EE69FDE">
            <w:pPr>
              <w:spacing w:line="460" w:lineRule="exact"/>
              <w:rPr>
                <w:rFonts w:ascii="宋体" w:hAnsi="宋体"/>
                <w:color w:val="auto"/>
                <w:kern w:val="0"/>
                <w:highlight w:val="none"/>
              </w:rPr>
            </w:pPr>
          </w:p>
        </w:tc>
        <w:tc>
          <w:tcPr>
            <w:tcW w:w="852" w:type="dxa"/>
            <w:noWrap/>
            <w:vAlign w:val="top"/>
          </w:tcPr>
          <w:p w14:paraId="1246F907">
            <w:pPr>
              <w:spacing w:line="460" w:lineRule="exact"/>
              <w:rPr>
                <w:rFonts w:ascii="宋体" w:hAnsi="宋体"/>
                <w:color w:val="auto"/>
                <w:kern w:val="0"/>
                <w:highlight w:val="none"/>
              </w:rPr>
            </w:pPr>
          </w:p>
        </w:tc>
      </w:tr>
      <w:tr w14:paraId="0B509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0FEAE5D9">
            <w:pPr>
              <w:spacing w:line="460" w:lineRule="exact"/>
              <w:rPr>
                <w:rFonts w:ascii="宋体" w:hAnsi="宋体"/>
                <w:color w:val="auto"/>
                <w:kern w:val="0"/>
                <w:highlight w:val="none"/>
              </w:rPr>
            </w:pPr>
          </w:p>
        </w:tc>
        <w:tc>
          <w:tcPr>
            <w:tcW w:w="1179" w:type="dxa"/>
            <w:noWrap/>
            <w:vAlign w:val="top"/>
          </w:tcPr>
          <w:p w14:paraId="1AB2978F">
            <w:pPr>
              <w:spacing w:line="460" w:lineRule="exact"/>
              <w:rPr>
                <w:rFonts w:ascii="宋体" w:hAnsi="宋体"/>
                <w:color w:val="auto"/>
                <w:kern w:val="0"/>
                <w:highlight w:val="none"/>
              </w:rPr>
            </w:pPr>
          </w:p>
        </w:tc>
        <w:tc>
          <w:tcPr>
            <w:tcW w:w="983" w:type="dxa"/>
            <w:noWrap/>
            <w:vAlign w:val="top"/>
          </w:tcPr>
          <w:p w14:paraId="5A15808F">
            <w:pPr>
              <w:spacing w:line="460" w:lineRule="exact"/>
              <w:rPr>
                <w:rFonts w:ascii="宋体" w:hAnsi="宋体"/>
                <w:color w:val="auto"/>
                <w:kern w:val="0"/>
                <w:highlight w:val="none"/>
              </w:rPr>
            </w:pPr>
          </w:p>
        </w:tc>
        <w:tc>
          <w:tcPr>
            <w:tcW w:w="682" w:type="dxa"/>
            <w:noWrap/>
            <w:vAlign w:val="top"/>
          </w:tcPr>
          <w:p w14:paraId="2D781363">
            <w:pPr>
              <w:spacing w:line="460" w:lineRule="exact"/>
              <w:rPr>
                <w:rFonts w:ascii="宋体" w:hAnsi="宋体"/>
                <w:color w:val="auto"/>
                <w:kern w:val="0"/>
                <w:highlight w:val="none"/>
              </w:rPr>
            </w:pPr>
          </w:p>
        </w:tc>
        <w:tc>
          <w:tcPr>
            <w:tcW w:w="852" w:type="dxa"/>
            <w:noWrap/>
            <w:vAlign w:val="top"/>
          </w:tcPr>
          <w:p w14:paraId="49376673">
            <w:pPr>
              <w:spacing w:line="460" w:lineRule="exact"/>
              <w:rPr>
                <w:rFonts w:ascii="宋体" w:hAnsi="宋体"/>
                <w:color w:val="auto"/>
                <w:kern w:val="0"/>
                <w:highlight w:val="none"/>
              </w:rPr>
            </w:pPr>
          </w:p>
        </w:tc>
        <w:tc>
          <w:tcPr>
            <w:tcW w:w="1037" w:type="dxa"/>
            <w:noWrap/>
            <w:vAlign w:val="top"/>
          </w:tcPr>
          <w:p w14:paraId="07D4011B">
            <w:pPr>
              <w:spacing w:line="460" w:lineRule="exact"/>
              <w:rPr>
                <w:rFonts w:ascii="宋体" w:hAnsi="宋体"/>
                <w:color w:val="auto"/>
                <w:kern w:val="0"/>
                <w:highlight w:val="none"/>
              </w:rPr>
            </w:pPr>
          </w:p>
        </w:tc>
        <w:tc>
          <w:tcPr>
            <w:tcW w:w="996" w:type="dxa"/>
            <w:noWrap/>
            <w:vAlign w:val="top"/>
          </w:tcPr>
          <w:p w14:paraId="7ECAA54E">
            <w:pPr>
              <w:spacing w:line="460" w:lineRule="exact"/>
              <w:rPr>
                <w:rFonts w:ascii="宋体" w:hAnsi="宋体"/>
                <w:color w:val="auto"/>
                <w:kern w:val="0"/>
                <w:highlight w:val="none"/>
              </w:rPr>
            </w:pPr>
          </w:p>
        </w:tc>
        <w:tc>
          <w:tcPr>
            <w:tcW w:w="852" w:type="dxa"/>
            <w:noWrap/>
            <w:vAlign w:val="top"/>
          </w:tcPr>
          <w:p w14:paraId="5B008287">
            <w:pPr>
              <w:spacing w:line="460" w:lineRule="exact"/>
              <w:rPr>
                <w:rFonts w:ascii="宋体" w:hAnsi="宋体"/>
                <w:color w:val="auto"/>
                <w:kern w:val="0"/>
                <w:highlight w:val="none"/>
              </w:rPr>
            </w:pPr>
          </w:p>
        </w:tc>
        <w:tc>
          <w:tcPr>
            <w:tcW w:w="852" w:type="dxa"/>
            <w:noWrap/>
            <w:vAlign w:val="top"/>
          </w:tcPr>
          <w:p w14:paraId="62F52B80">
            <w:pPr>
              <w:spacing w:line="460" w:lineRule="exact"/>
              <w:rPr>
                <w:rFonts w:ascii="宋体" w:hAnsi="宋体"/>
                <w:color w:val="auto"/>
                <w:kern w:val="0"/>
                <w:highlight w:val="none"/>
              </w:rPr>
            </w:pPr>
          </w:p>
        </w:tc>
        <w:tc>
          <w:tcPr>
            <w:tcW w:w="852" w:type="dxa"/>
            <w:noWrap/>
            <w:vAlign w:val="top"/>
          </w:tcPr>
          <w:p w14:paraId="4A45862F">
            <w:pPr>
              <w:spacing w:line="460" w:lineRule="exact"/>
              <w:rPr>
                <w:rFonts w:ascii="宋体" w:hAnsi="宋体"/>
                <w:color w:val="auto"/>
                <w:kern w:val="0"/>
                <w:highlight w:val="none"/>
              </w:rPr>
            </w:pPr>
          </w:p>
        </w:tc>
      </w:tr>
      <w:tr w14:paraId="093B0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ign w:val="top"/>
          </w:tcPr>
          <w:p w14:paraId="58652377">
            <w:pPr>
              <w:spacing w:line="460" w:lineRule="exact"/>
              <w:rPr>
                <w:rFonts w:ascii="宋体" w:hAnsi="宋体"/>
                <w:color w:val="auto"/>
                <w:kern w:val="0"/>
                <w:highlight w:val="none"/>
              </w:rPr>
            </w:pPr>
          </w:p>
        </w:tc>
        <w:tc>
          <w:tcPr>
            <w:tcW w:w="1179" w:type="dxa"/>
            <w:noWrap/>
            <w:vAlign w:val="top"/>
          </w:tcPr>
          <w:p w14:paraId="3987E141">
            <w:pPr>
              <w:spacing w:line="460" w:lineRule="exact"/>
              <w:rPr>
                <w:rFonts w:ascii="宋体" w:hAnsi="宋体"/>
                <w:color w:val="auto"/>
                <w:kern w:val="0"/>
                <w:highlight w:val="none"/>
              </w:rPr>
            </w:pPr>
          </w:p>
        </w:tc>
        <w:tc>
          <w:tcPr>
            <w:tcW w:w="983" w:type="dxa"/>
            <w:noWrap/>
            <w:vAlign w:val="top"/>
          </w:tcPr>
          <w:p w14:paraId="0014A136">
            <w:pPr>
              <w:spacing w:line="460" w:lineRule="exact"/>
              <w:rPr>
                <w:rFonts w:ascii="宋体" w:hAnsi="宋体"/>
                <w:color w:val="auto"/>
                <w:kern w:val="0"/>
                <w:highlight w:val="none"/>
              </w:rPr>
            </w:pPr>
          </w:p>
        </w:tc>
        <w:tc>
          <w:tcPr>
            <w:tcW w:w="682" w:type="dxa"/>
            <w:noWrap/>
            <w:vAlign w:val="top"/>
          </w:tcPr>
          <w:p w14:paraId="7E11E909">
            <w:pPr>
              <w:spacing w:line="460" w:lineRule="exact"/>
              <w:rPr>
                <w:rFonts w:ascii="宋体" w:hAnsi="宋体"/>
                <w:color w:val="auto"/>
                <w:kern w:val="0"/>
                <w:highlight w:val="none"/>
              </w:rPr>
            </w:pPr>
          </w:p>
        </w:tc>
        <w:tc>
          <w:tcPr>
            <w:tcW w:w="852" w:type="dxa"/>
            <w:noWrap/>
            <w:vAlign w:val="top"/>
          </w:tcPr>
          <w:p w14:paraId="1ADFC56F">
            <w:pPr>
              <w:spacing w:line="460" w:lineRule="exact"/>
              <w:rPr>
                <w:rFonts w:ascii="宋体" w:hAnsi="宋体"/>
                <w:color w:val="auto"/>
                <w:kern w:val="0"/>
                <w:highlight w:val="none"/>
              </w:rPr>
            </w:pPr>
          </w:p>
        </w:tc>
        <w:tc>
          <w:tcPr>
            <w:tcW w:w="1037" w:type="dxa"/>
            <w:noWrap/>
            <w:vAlign w:val="top"/>
          </w:tcPr>
          <w:p w14:paraId="08A24E43">
            <w:pPr>
              <w:spacing w:line="460" w:lineRule="exact"/>
              <w:rPr>
                <w:rFonts w:ascii="宋体" w:hAnsi="宋体"/>
                <w:color w:val="auto"/>
                <w:kern w:val="0"/>
                <w:highlight w:val="none"/>
              </w:rPr>
            </w:pPr>
          </w:p>
        </w:tc>
        <w:tc>
          <w:tcPr>
            <w:tcW w:w="996" w:type="dxa"/>
            <w:noWrap/>
            <w:vAlign w:val="top"/>
          </w:tcPr>
          <w:p w14:paraId="17E70F72">
            <w:pPr>
              <w:spacing w:line="460" w:lineRule="exact"/>
              <w:rPr>
                <w:rFonts w:ascii="宋体" w:hAnsi="宋体"/>
                <w:color w:val="auto"/>
                <w:kern w:val="0"/>
                <w:highlight w:val="none"/>
              </w:rPr>
            </w:pPr>
          </w:p>
        </w:tc>
        <w:tc>
          <w:tcPr>
            <w:tcW w:w="852" w:type="dxa"/>
            <w:noWrap/>
            <w:vAlign w:val="top"/>
          </w:tcPr>
          <w:p w14:paraId="0598F509">
            <w:pPr>
              <w:spacing w:line="460" w:lineRule="exact"/>
              <w:rPr>
                <w:rFonts w:ascii="宋体" w:hAnsi="宋体"/>
                <w:color w:val="auto"/>
                <w:kern w:val="0"/>
                <w:highlight w:val="none"/>
              </w:rPr>
            </w:pPr>
          </w:p>
        </w:tc>
        <w:tc>
          <w:tcPr>
            <w:tcW w:w="852" w:type="dxa"/>
            <w:noWrap/>
            <w:vAlign w:val="top"/>
          </w:tcPr>
          <w:p w14:paraId="49E31A40">
            <w:pPr>
              <w:spacing w:line="460" w:lineRule="exact"/>
              <w:rPr>
                <w:rFonts w:ascii="宋体" w:hAnsi="宋体"/>
                <w:color w:val="auto"/>
                <w:kern w:val="0"/>
                <w:highlight w:val="none"/>
              </w:rPr>
            </w:pPr>
          </w:p>
        </w:tc>
        <w:tc>
          <w:tcPr>
            <w:tcW w:w="852" w:type="dxa"/>
            <w:noWrap/>
            <w:vAlign w:val="top"/>
          </w:tcPr>
          <w:p w14:paraId="239A88D4">
            <w:pPr>
              <w:spacing w:line="460" w:lineRule="exact"/>
              <w:rPr>
                <w:rFonts w:ascii="宋体" w:hAnsi="宋体"/>
                <w:color w:val="auto"/>
                <w:kern w:val="0"/>
                <w:highlight w:val="none"/>
              </w:rPr>
            </w:pPr>
          </w:p>
        </w:tc>
      </w:tr>
    </w:tbl>
    <w:p w14:paraId="55BCC407">
      <w:pPr>
        <w:spacing w:line="460" w:lineRule="exact"/>
        <w:rPr>
          <w:rFonts w:ascii="宋体" w:hAnsi="宋体"/>
          <w:color w:val="auto"/>
          <w:kern w:val="0"/>
          <w:sz w:val="24"/>
          <w:szCs w:val="24"/>
          <w:highlight w:val="none"/>
        </w:rPr>
      </w:pPr>
      <w:r>
        <w:rPr>
          <w:rFonts w:ascii="宋体" w:hAnsi="宋体"/>
          <w:color w:val="auto"/>
          <w:kern w:val="0"/>
          <w:sz w:val="24"/>
          <w:szCs w:val="24"/>
          <w:highlight w:val="none"/>
        </w:rPr>
        <w:br w:type="page" w:clear="all"/>
      </w:r>
      <w:r>
        <w:rPr>
          <w:rFonts w:hint="eastAsia" w:ascii="宋体" w:hAnsi="宋体"/>
          <w:color w:val="auto"/>
          <w:kern w:val="0"/>
          <w:sz w:val="24"/>
          <w:szCs w:val="24"/>
          <w:highlight w:val="none"/>
        </w:rPr>
        <w:t>附件</w:t>
      </w:r>
      <w:r>
        <w:rPr>
          <w:rFonts w:ascii="宋体" w:hAnsi="宋体"/>
          <w:color w:val="auto"/>
          <w:kern w:val="0"/>
          <w:sz w:val="24"/>
          <w:szCs w:val="24"/>
          <w:highlight w:val="none"/>
        </w:rPr>
        <w:t>3</w:t>
      </w:r>
      <w:r>
        <w:rPr>
          <w:rFonts w:hint="eastAsia" w:ascii="宋体" w:hAnsi="宋体"/>
          <w:color w:val="auto"/>
          <w:kern w:val="0"/>
          <w:sz w:val="24"/>
          <w:szCs w:val="24"/>
          <w:highlight w:val="none"/>
        </w:rPr>
        <w:t>：</w:t>
      </w:r>
    </w:p>
    <w:p w14:paraId="20E8C4F3">
      <w:pPr>
        <w:spacing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工程质量保修书</w:t>
      </w:r>
    </w:p>
    <w:p w14:paraId="556C6978">
      <w:pPr>
        <w:spacing w:line="360" w:lineRule="auto"/>
        <w:ind w:firstLine="480"/>
        <w:rPr>
          <w:rFonts w:hint="default" w:ascii="宋体" w:hAnsi="宋体" w:eastAsia="宋体"/>
          <w:color w:val="auto"/>
          <w:kern w:val="0"/>
          <w:sz w:val="24"/>
          <w:szCs w:val="24"/>
          <w:highlight w:val="none"/>
          <w:u w:val="single"/>
          <w:lang w:val="en-US" w:eastAsia="zh-CN"/>
        </w:rPr>
      </w:pPr>
      <w:r>
        <w:rPr>
          <w:rFonts w:hint="eastAsia" w:ascii="宋体" w:hAnsi="宋体"/>
          <w:color w:val="auto"/>
          <w:kern w:val="0"/>
          <w:sz w:val="24"/>
          <w:szCs w:val="24"/>
          <w:highlight w:val="none"/>
        </w:rPr>
        <w:t>发包人：</w:t>
      </w:r>
      <w:r>
        <w:rPr>
          <w:rFonts w:hint="eastAsia" w:ascii="宋体" w:hAnsi="宋体"/>
          <w:b/>
          <w:color w:val="auto"/>
          <w:kern w:val="0"/>
          <w:sz w:val="24"/>
          <w:szCs w:val="24"/>
          <w:highlight w:val="none"/>
          <w:u w:val="single"/>
          <w:lang w:eastAsia="zh-CN"/>
        </w:rPr>
        <w:t>南通博物苑</w:t>
      </w:r>
      <w:r>
        <w:rPr>
          <w:rFonts w:hint="eastAsia" w:ascii="宋体" w:hAnsi="宋体"/>
          <w:b/>
          <w:color w:val="auto"/>
          <w:kern w:val="0"/>
          <w:sz w:val="24"/>
          <w:szCs w:val="24"/>
          <w:highlight w:val="none"/>
          <w:u w:val="single"/>
          <w:lang w:val="en-US" w:eastAsia="zh-CN"/>
        </w:rPr>
        <w:t xml:space="preserve">           </w:t>
      </w:r>
    </w:p>
    <w:p w14:paraId="6DAE39A5">
      <w:pPr>
        <w:tabs>
          <w:tab w:val="left" w:pos="4176"/>
        </w:tabs>
        <w:spacing w:line="360" w:lineRule="auto"/>
        <w:ind w:firstLine="480"/>
        <w:rPr>
          <w:rFonts w:ascii="宋体" w:hAnsi="宋体"/>
          <w:color w:val="auto"/>
          <w:kern w:val="0"/>
          <w:sz w:val="24"/>
          <w:szCs w:val="24"/>
          <w:highlight w:val="none"/>
          <w:u w:val="single"/>
        </w:rPr>
      </w:pPr>
      <w:r>
        <w:rPr>
          <w:rFonts w:hint="eastAsia" w:ascii="宋体" w:hAnsi="宋体"/>
          <w:color w:val="auto"/>
          <w:kern w:val="0"/>
          <w:sz w:val="24"/>
          <w:szCs w:val="24"/>
          <w:highlight w:val="none"/>
        </w:rPr>
        <w:t>承包人：</w:t>
      </w:r>
      <w:r>
        <w:rPr>
          <w:rFonts w:ascii="宋体" w:hAnsi="宋体"/>
          <w:color w:val="auto"/>
          <w:kern w:val="0"/>
          <w:sz w:val="24"/>
          <w:szCs w:val="24"/>
          <w:highlight w:val="none"/>
          <w:u w:val="single"/>
        </w:rPr>
        <w:tab/>
      </w:r>
    </w:p>
    <w:p w14:paraId="12F93126">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 xml:space="preserve">发包人和承包人根据《中华人民共和国建筑法》和《建设工程质量管理条例》，经协商一致就  </w:t>
      </w:r>
      <w:r>
        <w:rPr>
          <w:rFonts w:hint="eastAsia" w:ascii="宋体" w:hAnsi="宋体"/>
          <w:color w:val="auto"/>
          <w:kern w:val="0"/>
          <w:sz w:val="24"/>
          <w:szCs w:val="24"/>
          <w:highlight w:val="none"/>
          <w:u w:val="single"/>
        </w:rPr>
        <w:t xml:space="preserve">                       （工程全称）</w:t>
      </w:r>
      <w:r>
        <w:rPr>
          <w:rFonts w:hint="eastAsia" w:ascii="宋体" w:hAnsi="宋体"/>
          <w:color w:val="auto"/>
          <w:kern w:val="0"/>
          <w:sz w:val="24"/>
          <w:szCs w:val="24"/>
          <w:highlight w:val="none"/>
        </w:rPr>
        <w:t>签订工程质量保修书。</w:t>
      </w:r>
    </w:p>
    <w:p w14:paraId="2B42BA43">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一、工程质量保修范围和内容</w:t>
      </w:r>
    </w:p>
    <w:p w14:paraId="7155BD60">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承包人在质量保修期内，按照有关法律规定和合同约定，承担工程质量保修责任。</w:t>
      </w:r>
    </w:p>
    <w:p w14:paraId="78F5F3C8">
      <w:pPr>
        <w:spacing w:line="360" w:lineRule="auto"/>
        <w:ind w:firstLine="480"/>
        <w:rPr>
          <w:rFonts w:ascii="宋体" w:hAnsi="宋体"/>
          <w:b/>
          <w:color w:val="auto"/>
          <w:kern w:val="0"/>
          <w:sz w:val="24"/>
          <w:szCs w:val="24"/>
          <w:highlight w:val="none"/>
          <w:u w:val="single"/>
        </w:rPr>
      </w:pPr>
      <w:r>
        <w:rPr>
          <w:rFonts w:hint="eastAsia" w:ascii="宋体" w:hAnsi="宋体"/>
          <w:color w:val="auto"/>
          <w:kern w:val="0"/>
          <w:sz w:val="24"/>
          <w:szCs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b/>
          <w:color w:val="auto"/>
          <w:kern w:val="0"/>
          <w:sz w:val="24"/>
          <w:szCs w:val="24"/>
          <w:highlight w:val="none"/>
          <w:u w:val="single"/>
        </w:rPr>
        <w:t>承包人所施工的内容。</w:t>
      </w:r>
    </w:p>
    <w:p w14:paraId="1148B7FB">
      <w:pPr>
        <w:spacing w:line="360" w:lineRule="auto"/>
        <w:ind w:firstLine="480"/>
        <w:rPr>
          <w:rFonts w:ascii="宋体" w:hAnsi="宋体"/>
          <w:color w:val="auto"/>
          <w:kern w:val="0"/>
          <w:sz w:val="24"/>
          <w:szCs w:val="24"/>
          <w:highlight w:val="none"/>
        </w:rPr>
      </w:pPr>
      <w:bookmarkStart w:id="207" w:name="_Hlk97559287"/>
      <w:r>
        <w:rPr>
          <w:rFonts w:hint="eastAsia" w:ascii="宋体" w:hAnsi="宋体"/>
          <w:color w:val="auto"/>
          <w:kern w:val="0"/>
          <w:sz w:val="24"/>
          <w:szCs w:val="24"/>
          <w:highlight w:val="none"/>
        </w:rPr>
        <w:t>二、质量保修期</w:t>
      </w:r>
    </w:p>
    <w:p w14:paraId="7D0333F1">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根据《建设工程质量管理条例》及有关规定，工程的质量保修期如下：</w:t>
      </w:r>
    </w:p>
    <w:p w14:paraId="1F9C4122">
      <w:pPr>
        <w:spacing w:line="360" w:lineRule="auto"/>
        <w:ind w:firstLine="480"/>
        <w:rPr>
          <w:rFonts w:ascii="宋体" w:hAnsi="宋体" w:cs="宋体"/>
          <w:color w:val="auto"/>
          <w:kern w:val="0"/>
          <w:sz w:val="24"/>
          <w:szCs w:val="20"/>
          <w:highlight w:val="none"/>
        </w:rPr>
      </w:pPr>
      <w:r>
        <w:rPr>
          <w:rFonts w:ascii="宋体" w:hAnsi="宋体" w:cs="宋体"/>
          <w:color w:val="auto"/>
          <w:kern w:val="0"/>
          <w:sz w:val="24"/>
          <w:szCs w:val="20"/>
          <w:highlight w:val="none"/>
        </w:rPr>
        <w:t>1</w:t>
      </w:r>
      <w:r>
        <w:rPr>
          <w:rFonts w:hint="eastAsia" w:ascii="宋体" w:hAnsi="宋体" w:cs="宋体"/>
          <w:color w:val="auto"/>
          <w:kern w:val="0"/>
          <w:sz w:val="24"/>
          <w:szCs w:val="20"/>
          <w:highlight w:val="none"/>
        </w:rPr>
        <w:t>．屋面防水工程、有防水要求的卫生间、房间和外墙面的防渗为</w:t>
      </w:r>
      <w:r>
        <w:rPr>
          <w:rFonts w:hint="eastAsia" w:ascii="宋体" w:hAnsi="宋体" w:cs="宋体"/>
          <w:color w:val="auto"/>
          <w:kern w:val="0"/>
          <w:sz w:val="24"/>
          <w:szCs w:val="20"/>
          <w:highlight w:val="none"/>
          <w:u w:val="single"/>
        </w:rPr>
        <w:t>5</w:t>
      </w:r>
      <w:r>
        <w:rPr>
          <w:rFonts w:hint="eastAsia" w:ascii="宋体" w:hAnsi="宋体" w:cs="宋体"/>
          <w:color w:val="auto"/>
          <w:kern w:val="0"/>
          <w:sz w:val="24"/>
          <w:szCs w:val="20"/>
          <w:highlight w:val="none"/>
        </w:rPr>
        <w:t>年；</w:t>
      </w:r>
    </w:p>
    <w:p w14:paraId="7C240EB8">
      <w:pPr>
        <w:spacing w:line="360" w:lineRule="auto"/>
        <w:ind w:firstLine="480"/>
        <w:rPr>
          <w:rFonts w:ascii="宋体" w:hAnsi="宋体" w:cs="宋体"/>
          <w:color w:val="auto"/>
          <w:kern w:val="0"/>
          <w:sz w:val="24"/>
          <w:szCs w:val="20"/>
          <w:highlight w:val="none"/>
        </w:rPr>
      </w:pPr>
      <w:r>
        <w:rPr>
          <w:rFonts w:ascii="宋体" w:hAnsi="宋体" w:cs="宋体"/>
          <w:color w:val="auto"/>
          <w:kern w:val="0"/>
          <w:sz w:val="24"/>
          <w:szCs w:val="20"/>
          <w:highlight w:val="none"/>
        </w:rPr>
        <w:t>2</w:t>
      </w:r>
      <w:r>
        <w:rPr>
          <w:rFonts w:hint="eastAsia" w:ascii="宋体" w:hAnsi="宋体" w:cs="宋体"/>
          <w:color w:val="auto"/>
          <w:kern w:val="0"/>
          <w:sz w:val="24"/>
          <w:szCs w:val="20"/>
          <w:highlight w:val="none"/>
        </w:rPr>
        <w:t>．装修工程为</w:t>
      </w:r>
      <w:r>
        <w:rPr>
          <w:rFonts w:hint="eastAsia" w:ascii="宋体" w:hAnsi="宋体" w:cs="宋体"/>
          <w:color w:val="auto"/>
          <w:kern w:val="0"/>
          <w:sz w:val="24"/>
          <w:szCs w:val="20"/>
          <w:highlight w:val="none"/>
          <w:u w:val="single"/>
        </w:rPr>
        <w:t>2</w:t>
      </w:r>
      <w:r>
        <w:rPr>
          <w:rFonts w:hint="eastAsia" w:ascii="宋体" w:hAnsi="宋体" w:cs="宋体"/>
          <w:color w:val="auto"/>
          <w:kern w:val="0"/>
          <w:sz w:val="24"/>
          <w:szCs w:val="20"/>
          <w:highlight w:val="none"/>
        </w:rPr>
        <w:t>年；</w:t>
      </w:r>
    </w:p>
    <w:p w14:paraId="197D608A">
      <w:pPr>
        <w:spacing w:line="360" w:lineRule="auto"/>
        <w:ind w:firstLine="480"/>
        <w:rPr>
          <w:rFonts w:ascii="宋体" w:hAnsi="宋体" w:cs="宋体"/>
          <w:color w:val="auto"/>
          <w:kern w:val="0"/>
          <w:sz w:val="24"/>
          <w:szCs w:val="20"/>
          <w:highlight w:val="none"/>
        </w:rPr>
      </w:pPr>
      <w:r>
        <w:rPr>
          <w:rFonts w:ascii="宋体" w:hAnsi="宋体" w:cs="宋体"/>
          <w:color w:val="auto"/>
          <w:kern w:val="0"/>
          <w:sz w:val="24"/>
          <w:szCs w:val="20"/>
          <w:highlight w:val="none"/>
        </w:rPr>
        <w:t>3</w:t>
      </w:r>
      <w:r>
        <w:rPr>
          <w:rFonts w:hint="eastAsia" w:ascii="宋体" w:hAnsi="宋体" w:cs="宋体"/>
          <w:color w:val="auto"/>
          <w:kern w:val="0"/>
          <w:sz w:val="24"/>
          <w:szCs w:val="20"/>
          <w:highlight w:val="none"/>
        </w:rPr>
        <w:t>．电气管线、给排水管道、设备安装工程为</w:t>
      </w:r>
      <w:r>
        <w:rPr>
          <w:rFonts w:hint="eastAsia" w:ascii="宋体" w:hAnsi="宋体" w:cs="宋体"/>
          <w:color w:val="auto"/>
          <w:kern w:val="0"/>
          <w:sz w:val="24"/>
          <w:szCs w:val="20"/>
          <w:highlight w:val="none"/>
          <w:u w:val="single"/>
        </w:rPr>
        <w:t>2</w:t>
      </w:r>
      <w:r>
        <w:rPr>
          <w:rFonts w:hint="eastAsia" w:ascii="宋体" w:hAnsi="宋体" w:cs="宋体"/>
          <w:color w:val="auto"/>
          <w:kern w:val="0"/>
          <w:sz w:val="24"/>
          <w:szCs w:val="20"/>
          <w:highlight w:val="none"/>
        </w:rPr>
        <w:t>年；</w:t>
      </w:r>
    </w:p>
    <w:p w14:paraId="7C297EAD">
      <w:pPr>
        <w:spacing w:line="360" w:lineRule="auto"/>
        <w:ind w:firstLine="480"/>
        <w:rPr>
          <w:rFonts w:ascii="宋体" w:hAnsi="宋体" w:cs="宋体"/>
          <w:color w:val="auto"/>
          <w:kern w:val="0"/>
          <w:sz w:val="24"/>
          <w:szCs w:val="20"/>
          <w:highlight w:val="none"/>
        </w:rPr>
      </w:pPr>
      <w:r>
        <w:rPr>
          <w:rFonts w:ascii="宋体" w:hAnsi="宋体" w:cs="宋体"/>
          <w:color w:val="auto"/>
          <w:kern w:val="0"/>
          <w:sz w:val="24"/>
          <w:szCs w:val="20"/>
          <w:highlight w:val="none"/>
        </w:rPr>
        <w:t>4</w:t>
      </w:r>
      <w:r>
        <w:rPr>
          <w:rFonts w:hint="eastAsia" w:ascii="宋体" w:hAnsi="宋体" w:cs="宋体"/>
          <w:color w:val="auto"/>
          <w:kern w:val="0"/>
          <w:sz w:val="24"/>
          <w:szCs w:val="20"/>
          <w:highlight w:val="none"/>
        </w:rPr>
        <w:t>．其他项目保修期限约定如下：</w:t>
      </w:r>
      <w:r>
        <w:rPr>
          <w:rFonts w:hint="eastAsia" w:ascii="宋体" w:hAnsi="宋体" w:cs="宋体"/>
          <w:b/>
          <w:bCs/>
          <w:color w:val="auto"/>
          <w:kern w:val="0"/>
          <w:sz w:val="24"/>
          <w:szCs w:val="20"/>
          <w:highlight w:val="none"/>
          <w:u w:val="single"/>
        </w:rPr>
        <w:t>本项目质保期为2年。</w:t>
      </w:r>
    </w:p>
    <w:p w14:paraId="45482C80">
      <w:pPr>
        <w:spacing w:line="360" w:lineRule="auto"/>
        <w:ind w:firstLine="482"/>
        <w:rPr>
          <w:rFonts w:ascii="宋体" w:hAnsi="宋体" w:cs="宋体"/>
          <w:color w:val="auto"/>
          <w:kern w:val="0"/>
          <w:sz w:val="24"/>
          <w:szCs w:val="20"/>
          <w:highlight w:val="none"/>
        </w:rPr>
      </w:pPr>
      <w:r>
        <w:rPr>
          <w:rFonts w:hint="eastAsia" w:ascii="宋体" w:hAnsi="宋体" w:cs="宋体"/>
          <w:b/>
          <w:color w:val="auto"/>
          <w:kern w:val="0"/>
          <w:sz w:val="24"/>
          <w:szCs w:val="20"/>
          <w:highlight w:val="none"/>
        </w:rPr>
        <w:t>质量保修期自工程竣工验收合格之日起计算。</w:t>
      </w:r>
    </w:p>
    <w:p w14:paraId="49F8B069">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三、缺陷责任期</w:t>
      </w:r>
    </w:p>
    <w:p w14:paraId="1897AEAF">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工程缺陷责任期为</w:t>
      </w:r>
      <w:r>
        <w:rPr>
          <w:rFonts w:hint="eastAsia" w:ascii="宋体" w:hAnsi="宋体"/>
          <w:b/>
          <w:color w:val="auto"/>
          <w:kern w:val="0"/>
          <w:sz w:val="24"/>
          <w:szCs w:val="24"/>
          <w:highlight w:val="none"/>
          <w:u w:val="single"/>
        </w:rPr>
        <w:t>24</w:t>
      </w:r>
      <w:r>
        <w:rPr>
          <w:rFonts w:hint="eastAsia" w:ascii="宋体" w:hAnsi="宋体"/>
          <w:color w:val="auto"/>
          <w:kern w:val="0"/>
          <w:sz w:val="24"/>
          <w:szCs w:val="24"/>
          <w:highlight w:val="none"/>
        </w:rPr>
        <w:t>个月，缺陷责任期自工程竣工验收合格之日起计算。单位工程先于全部工程进行验收，单位工程缺陷责任期自单位工程验收合格之日起算。</w:t>
      </w:r>
      <w:bookmarkEnd w:id="207"/>
    </w:p>
    <w:p w14:paraId="7816967F">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四、质量保修责任</w:t>
      </w:r>
    </w:p>
    <w:p w14:paraId="5409C811">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1．属于保修范围、内容的项目，承包人应当在接到保修通知之日起7天内派人</w:t>
      </w:r>
      <w:r>
        <w:rPr>
          <w:rFonts w:hint="eastAsia" w:ascii="宋体" w:hAnsi="宋体"/>
          <w:color w:val="auto"/>
          <w:kern w:val="0"/>
          <w:sz w:val="24"/>
          <w:szCs w:val="24"/>
          <w:highlight w:val="none"/>
          <w:lang w:val="en-US" w:eastAsia="zh-CN"/>
        </w:rPr>
        <w:t>维修，并于7日内完成修复</w:t>
      </w:r>
      <w:r>
        <w:rPr>
          <w:rFonts w:hint="eastAsia" w:ascii="宋体" w:hAnsi="宋体"/>
          <w:color w:val="auto"/>
          <w:kern w:val="0"/>
          <w:sz w:val="24"/>
          <w:szCs w:val="24"/>
          <w:highlight w:val="none"/>
        </w:rPr>
        <w:t>。承包人</w:t>
      </w:r>
      <w:r>
        <w:rPr>
          <w:rFonts w:hint="eastAsia" w:ascii="宋体" w:hAnsi="宋体"/>
          <w:color w:val="auto"/>
          <w:kern w:val="0"/>
          <w:sz w:val="24"/>
          <w:szCs w:val="24"/>
          <w:highlight w:val="none"/>
          <w:lang w:val="en-US" w:eastAsia="zh-CN"/>
        </w:rPr>
        <w:t>未</w:t>
      </w:r>
      <w:r>
        <w:rPr>
          <w:rFonts w:hint="eastAsia" w:ascii="宋体" w:hAnsi="宋体"/>
          <w:color w:val="auto"/>
          <w:kern w:val="0"/>
          <w:sz w:val="24"/>
          <w:szCs w:val="24"/>
          <w:highlight w:val="none"/>
        </w:rPr>
        <w:t>在约定期限内派人保修</w:t>
      </w:r>
      <w:r>
        <w:rPr>
          <w:rFonts w:hint="eastAsia" w:ascii="宋体" w:hAnsi="宋体"/>
          <w:color w:val="auto"/>
          <w:kern w:val="0"/>
          <w:sz w:val="24"/>
          <w:szCs w:val="24"/>
          <w:highlight w:val="none"/>
          <w:lang w:val="en-US" w:eastAsia="zh-CN"/>
        </w:rPr>
        <w:t>并完成修复</w:t>
      </w:r>
      <w:r>
        <w:rPr>
          <w:rFonts w:hint="eastAsia" w:ascii="宋体" w:hAnsi="宋体"/>
          <w:color w:val="auto"/>
          <w:kern w:val="0"/>
          <w:sz w:val="24"/>
          <w:szCs w:val="24"/>
          <w:highlight w:val="none"/>
        </w:rPr>
        <w:t>的，发包人可以委托他人修理，由此产生的费用由承包人承担。此外，承包人每延迟一天响应或修复，应按每天</w:t>
      </w:r>
      <w:r>
        <w:rPr>
          <w:rFonts w:hint="eastAsia" w:ascii="宋体" w:hAnsi="宋体"/>
          <w:color w:val="auto"/>
          <w:kern w:val="0"/>
          <w:sz w:val="24"/>
          <w:szCs w:val="24"/>
          <w:highlight w:val="none"/>
          <w:lang w:val="en-US" w:eastAsia="zh-CN"/>
        </w:rPr>
        <w:t>1000</w:t>
      </w:r>
      <w:r>
        <w:rPr>
          <w:rFonts w:hint="eastAsia" w:ascii="宋体" w:hAnsi="宋体"/>
          <w:color w:val="auto"/>
          <w:kern w:val="0"/>
          <w:sz w:val="24"/>
          <w:szCs w:val="24"/>
          <w:highlight w:val="none"/>
        </w:rPr>
        <w:t>元的标准向发包人支付违约金，直至承包人完成修复或发包人完成修理。</w:t>
      </w:r>
    </w:p>
    <w:p w14:paraId="5D677B5D">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2．发生紧急事故需抢修的，承包人在接到事故通知后，应当立即到达事故现场抢修。</w:t>
      </w:r>
    </w:p>
    <w:p w14:paraId="2A9B58BB">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31602A">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4．在工程设计使用期内，承包人确保地基基础工程和主体结构的质量。因承包人原因致使工程在设计使用期内造成人身和财产损害的，承包人应承担损害赔偿责任。</w:t>
      </w:r>
    </w:p>
    <w:p w14:paraId="0D2F4B5F">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5.质量保修完成后，由发包人组织验收。</w:t>
      </w:r>
    </w:p>
    <w:p w14:paraId="4965E41C">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　五、保修费用</w:t>
      </w:r>
    </w:p>
    <w:p w14:paraId="3CD3BFE3">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保修费用由造成质量缺陷的责任方承担。</w:t>
      </w:r>
    </w:p>
    <w:p w14:paraId="06FBA4D8">
      <w:pPr>
        <w:spacing w:line="360" w:lineRule="auto"/>
        <w:ind w:firstLine="482"/>
        <w:rPr>
          <w:rFonts w:ascii="宋体" w:hAnsi="宋体"/>
          <w:color w:val="auto"/>
          <w:kern w:val="0"/>
          <w:sz w:val="24"/>
          <w:szCs w:val="24"/>
          <w:highlight w:val="none"/>
        </w:rPr>
      </w:pPr>
      <w:r>
        <w:rPr>
          <w:rFonts w:hint="eastAsia" w:ascii="宋体" w:hAnsi="宋体"/>
          <w:b/>
          <w:color w:val="auto"/>
          <w:kern w:val="0"/>
          <w:sz w:val="24"/>
          <w:szCs w:val="24"/>
          <w:highlight w:val="none"/>
        </w:rPr>
        <w:t>六</w:t>
      </w:r>
      <w:r>
        <w:rPr>
          <w:rFonts w:hint="eastAsia" w:ascii="宋体" w:hAnsi="宋体"/>
          <w:color w:val="auto"/>
          <w:kern w:val="0"/>
          <w:sz w:val="24"/>
          <w:szCs w:val="24"/>
          <w:highlight w:val="none"/>
        </w:rPr>
        <w:t>、双方约定的其他工程质量保修事项：</w:t>
      </w:r>
    </w:p>
    <w:p w14:paraId="22ABD297">
      <w:pPr>
        <w:spacing w:line="360" w:lineRule="auto"/>
        <w:ind w:firstLine="480"/>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（1）工程保修期内，承包人委托一名代表专职处理本工程的维修工作。</w:t>
      </w:r>
    </w:p>
    <w:p w14:paraId="36402D4C">
      <w:pPr>
        <w:spacing w:line="360" w:lineRule="auto"/>
        <w:ind w:firstLine="480"/>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w:t>
      </w:r>
      <w:r>
        <w:rPr>
          <w:rFonts w:hint="eastAsia" w:ascii="宋体" w:hAnsi="宋体"/>
          <w:color w:val="auto"/>
          <w:kern w:val="0"/>
          <w:sz w:val="24"/>
          <w:szCs w:val="24"/>
          <w:highlight w:val="none"/>
          <w:u w:val="single"/>
          <w:lang w:val="en-US" w:eastAsia="zh-CN"/>
        </w:rPr>
        <w:t>2</w:t>
      </w:r>
      <w:r>
        <w:rPr>
          <w:rFonts w:hint="eastAsia" w:ascii="宋体" w:hAnsi="宋体"/>
          <w:color w:val="auto"/>
          <w:kern w:val="0"/>
          <w:sz w:val="24"/>
          <w:szCs w:val="24"/>
          <w:highlight w:val="none"/>
          <w:u w:val="single"/>
        </w:rPr>
        <w:t>）承包人实施工程质量保修须遵守有关规定。</w:t>
      </w:r>
    </w:p>
    <w:p w14:paraId="18EA9BD2">
      <w:pPr>
        <w:spacing w:line="360" w:lineRule="auto"/>
        <w:ind w:firstLine="480"/>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w:t>
      </w:r>
      <w:r>
        <w:rPr>
          <w:rFonts w:hint="eastAsia" w:ascii="宋体" w:hAnsi="宋体"/>
          <w:color w:val="auto"/>
          <w:kern w:val="0"/>
          <w:sz w:val="24"/>
          <w:szCs w:val="24"/>
          <w:highlight w:val="none"/>
          <w:u w:val="single"/>
          <w:lang w:val="en-US" w:eastAsia="zh-CN"/>
        </w:rPr>
        <w:t>3</w:t>
      </w:r>
      <w:r>
        <w:rPr>
          <w:rFonts w:hint="eastAsia" w:ascii="宋体" w:hAnsi="宋体"/>
          <w:color w:val="auto"/>
          <w:kern w:val="0"/>
          <w:sz w:val="24"/>
          <w:szCs w:val="24"/>
          <w:highlight w:val="none"/>
          <w:u w:val="single"/>
        </w:rPr>
        <w:t>）因承包人未能及时履行保修责任引起发包人的一切损失，均由承包人承担。</w:t>
      </w:r>
    </w:p>
    <w:p w14:paraId="5B3CD386">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 xml:space="preserve"> 本工程质量保修书，由施工合同发包人、承包人三方在竣工验收前共同签署，作为施工合同附件，其有效期限至保修期满。</w:t>
      </w:r>
    </w:p>
    <w:p w14:paraId="637E7788">
      <w:pPr>
        <w:spacing w:line="360" w:lineRule="auto"/>
        <w:ind w:firstLine="480"/>
        <w:rPr>
          <w:rFonts w:ascii="宋体" w:hAnsi="宋体"/>
          <w:color w:val="auto"/>
          <w:kern w:val="0"/>
          <w:sz w:val="24"/>
          <w:szCs w:val="24"/>
          <w:highlight w:val="none"/>
        </w:rPr>
      </w:pPr>
    </w:p>
    <w:p w14:paraId="1FDB7BB6">
      <w:pPr>
        <w:spacing w:line="360" w:lineRule="auto"/>
        <w:ind w:firstLine="480"/>
        <w:rPr>
          <w:rFonts w:ascii="宋体" w:hAnsi="宋体"/>
          <w:color w:val="auto"/>
          <w:kern w:val="0"/>
          <w:sz w:val="24"/>
          <w:szCs w:val="24"/>
          <w:highlight w:val="none"/>
        </w:rPr>
      </w:pPr>
    </w:p>
    <w:p w14:paraId="38CB22E5">
      <w:pPr>
        <w:spacing w:line="360" w:lineRule="auto"/>
        <w:ind w:firstLine="480"/>
        <w:rPr>
          <w:rFonts w:ascii="宋体" w:hAnsi="宋体"/>
          <w:color w:val="auto"/>
          <w:kern w:val="0"/>
          <w:sz w:val="24"/>
          <w:szCs w:val="24"/>
          <w:highlight w:val="none"/>
        </w:rPr>
      </w:pPr>
      <w:r>
        <w:rPr>
          <w:rFonts w:hint="eastAsia" w:ascii="宋体" w:hAnsi="宋体"/>
          <w:color w:val="auto"/>
          <w:kern w:val="0"/>
          <w:sz w:val="24"/>
          <w:szCs w:val="24"/>
          <w:highlight w:val="none"/>
        </w:rPr>
        <w:t xml:space="preserve">发包人（公章）：                   承包人（公章）：            </w:t>
      </w:r>
    </w:p>
    <w:p w14:paraId="66939401">
      <w:pPr>
        <w:spacing w:line="460" w:lineRule="exact"/>
        <w:ind w:firstLine="480"/>
        <w:rPr>
          <w:rFonts w:ascii="宋体" w:hAnsi="宋体"/>
          <w:color w:val="auto"/>
          <w:kern w:val="0"/>
          <w:sz w:val="24"/>
          <w:szCs w:val="24"/>
          <w:highlight w:val="none"/>
        </w:rPr>
      </w:pPr>
    </w:p>
    <w:p w14:paraId="16587405">
      <w:pPr>
        <w:spacing w:line="460" w:lineRule="exact"/>
        <w:ind w:firstLine="480"/>
        <w:rPr>
          <w:rFonts w:ascii="宋体" w:hAnsi="宋体"/>
          <w:color w:val="auto"/>
          <w:kern w:val="0"/>
          <w:sz w:val="24"/>
          <w:szCs w:val="24"/>
          <w:highlight w:val="none"/>
        </w:rPr>
      </w:pPr>
      <w:r>
        <w:rPr>
          <w:rFonts w:hint="eastAsia" w:ascii="宋体" w:hAnsi="宋体"/>
          <w:color w:val="auto"/>
          <w:kern w:val="0"/>
          <w:sz w:val="24"/>
          <w:szCs w:val="24"/>
          <w:highlight w:val="none"/>
        </w:rPr>
        <w:t xml:space="preserve">法定代表人（签字或盖章）：         法定代表人（签字或盖章）： </w:t>
      </w:r>
    </w:p>
    <w:p w14:paraId="16321CCE">
      <w:pPr>
        <w:spacing w:line="460" w:lineRule="exact"/>
        <w:ind w:firstLine="480"/>
        <w:rPr>
          <w:rFonts w:ascii="宋体" w:hAnsi="宋体"/>
          <w:color w:val="auto"/>
          <w:kern w:val="0"/>
          <w:sz w:val="24"/>
          <w:szCs w:val="24"/>
          <w:highlight w:val="none"/>
        </w:rPr>
      </w:pPr>
    </w:p>
    <w:p w14:paraId="61E914DA">
      <w:pPr>
        <w:spacing w:line="460" w:lineRule="exact"/>
        <w:ind w:firstLine="1440" w:firstLineChars="600"/>
        <w:rPr>
          <w:rFonts w:ascii="宋体" w:hAnsi="宋体"/>
          <w:color w:val="auto"/>
          <w:kern w:val="0"/>
          <w:sz w:val="24"/>
          <w:szCs w:val="24"/>
          <w:highlight w:val="none"/>
        </w:rPr>
      </w:pPr>
      <w:r>
        <w:rPr>
          <w:rFonts w:hint="eastAsia" w:ascii="宋体" w:hAnsi="宋体"/>
          <w:color w:val="auto"/>
          <w:kern w:val="0"/>
          <w:sz w:val="24"/>
          <w:szCs w:val="24"/>
          <w:highlight w:val="none"/>
        </w:rPr>
        <w:t xml:space="preserve">年   月  日   </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 xml:space="preserve"> </w:t>
      </w:r>
      <w:r>
        <w:rPr>
          <w:rFonts w:hint="eastAsia" w:ascii="宋体" w:hAnsi="宋体"/>
          <w:color w:val="auto"/>
          <w:kern w:val="0"/>
          <w:sz w:val="24"/>
          <w:szCs w:val="24"/>
          <w:highlight w:val="none"/>
          <w:lang w:val="en-US" w:eastAsia="zh-CN"/>
        </w:rPr>
        <w:t xml:space="preserve">              </w:t>
      </w:r>
      <w:r>
        <w:rPr>
          <w:rFonts w:hint="eastAsia" w:ascii="宋体" w:hAnsi="宋体"/>
          <w:color w:val="auto"/>
          <w:kern w:val="0"/>
          <w:sz w:val="24"/>
          <w:szCs w:val="24"/>
          <w:highlight w:val="none"/>
        </w:rPr>
        <w:t xml:space="preserve">年   月  日   </w:t>
      </w:r>
    </w:p>
    <w:p w14:paraId="1BE44EE0">
      <w:pPr>
        <w:spacing w:line="460" w:lineRule="exact"/>
        <w:rPr>
          <w:rFonts w:ascii="宋体" w:hAnsi="宋体"/>
          <w:color w:val="auto"/>
          <w:kern w:val="0"/>
          <w:sz w:val="24"/>
          <w:szCs w:val="24"/>
          <w:highlight w:val="none"/>
        </w:rPr>
      </w:pPr>
    </w:p>
    <w:p w14:paraId="104DC476">
      <w:pPr>
        <w:spacing w:line="460" w:lineRule="exact"/>
        <w:rPr>
          <w:rFonts w:hint="eastAsia" w:ascii="宋体" w:hAnsi="宋体"/>
          <w:color w:val="auto"/>
          <w:kern w:val="0"/>
          <w:sz w:val="24"/>
          <w:szCs w:val="24"/>
          <w:highlight w:val="none"/>
        </w:rPr>
      </w:pPr>
      <w:r>
        <w:rPr>
          <w:rFonts w:hint="eastAsia" w:ascii="宋体" w:hAnsi="宋体"/>
          <w:color w:val="auto"/>
          <w:kern w:val="0"/>
          <w:sz w:val="24"/>
          <w:szCs w:val="24"/>
          <w:highlight w:val="none"/>
        </w:rPr>
        <w:t xml:space="preserve">                       </w:t>
      </w:r>
    </w:p>
    <w:p w14:paraId="751CCD66">
      <w:pPr>
        <w:spacing w:line="460" w:lineRule="exact"/>
        <w:rPr>
          <w:rFonts w:ascii="宋体" w:hAnsi="宋体"/>
          <w:color w:val="auto"/>
          <w:kern w:val="0"/>
          <w:sz w:val="24"/>
          <w:szCs w:val="24"/>
          <w:highlight w:val="none"/>
        </w:rPr>
      </w:pPr>
      <w:r>
        <w:rPr>
          <w:rFonts w:hint="eastAsia" w:ascii="宋体" w:hAnsi="宋体"/>
          <w:color w:val="auto"/>
          <w:kern w:val="0"/>
          <w:sz w:val="24"/>
          <w:szCs w:val="24"/>
          <w:highlight w:val="none"/>
        </w:rPr>
        <w:br w:type="page"/>
      </w:r>
      <w:r>
        <w:rPr>
          <w:rFonts w:ascii="宋体" w:hAnsi="宋体"/>
          <w:color w:val="auto"/>
          <w:kern w:val="0"/>
          <w:sz w:val="24"/>
          <w:szCs w:val="24"/>
          <w:highlight w:val="none"/>
        </w:rPr>
        <w:t>附件</w:t>
      </w:r>
      <w:r>
        <w:rPr>
          <w:rFonts w:hint="eastAsia" w:ascii="宋体" w:hAnsi="宋体"/>
          <w:color w:val="auto"/>
          <w:kern w:val="0"/>
          <w:sz w:val="24"/>
          <w:szCs w:val="24"/>
          <w:highlight w:val="none"/>
        </w:rPr>
        <w:t>4</w:t>
      </w:r>
      <w:r>
        <w:rPr>
          <w:rFonts w:ascii="宋体" w:hAnsi="宋体"/>
          <w:color w:val="auto"/>
          <w:kern w:val="0"/>
          <w:sz w:val="24"/>
          <w:szCs w:val="24"/>
          <w:highlight w:val="none"/>
        </w:rPr>
        <w:t>：</w:t>
      </w:r>
    </w:p>
    <w:p w14:paraId="34BA28C0">
      <w:pPr>
        <w:spacing w:before="120" w:after="120" w:line="460" w:lineRule="exact"/>
        <w:jc w:val="center"/>
        <w:rPr>
          <w:rFonts w:ascii="宋体" w:hAnsi="宋体"/>
          <w:b/>
          <w:color w:val="auto"/>
          <w:kern w:val="0"/>
          <w:sz w:val="32"/>
          <w:szCs w:val="32"/>
          <w:highlight w:val="none"/>
        </w:rPr>
      </w:pPr>
      <w:r>
        <w:rPr>
          <w:rFonts w:ascii="宋体" w:hAnsi="宋体"/>
          <w:b/>
          <w:color w:val="auto"/>
          <w:kern w:val="0"/>
          <w:sz w:val="32"/>
          <w:szCs w:val="32"/>
          <w:highlight w:val="none"/>
        </w:rPr>
        <w:t>承包人用于本工程施工的机械设备表</w:t>
      </w:r>
    </w:p>
    <w:tbl>
      <w:tblPr>
        <w:tblStyle w:val="51"/>
        <w:tblW w:w="980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710EF6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162" w:type="dxa"/>
            <w:noWrap/>
            <w:vAlign w:val="center"/>
          </w:tcPr>
          <w:p w14:paraId="5917CA11">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序号</w:t>
            </w:r>
          </w:p>
        </w:tc>
        <w:tc>
          <w:tcPr>
            <w:tcW w:w="1418" w:type="dxa"/>
            <w:noWrap/>
            <w:vAlign w:val="center"/>
          </w:tcPr>
          <w:p w14:paraId="48E2A7B1">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机械或设备名称</w:t>
            </w:r>
          </w:p>
        </w:tc>
        <w:tc>
          <w:tcPr>
            <w:tcW w:w="850" w:type="dxa"/>
            <w:noWrap/>
            <w:vAlign w:val="center"/>
          </w:tcPr>
          <w:p w14:paraId="5B134065">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规格</w:t>
            </w:r>
          </w:p>
          <w:p w14:paraId="05FADC69">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型号</w:t>
            </w:r>
          </w:p>
        </w:tc>
        <w:tc>
          <w:tcPr>
            <w:tcW w:w="1058" w:type="dxa"/>
            <w:noWrap/>
            <w:vAlign w:val="center"/>
          </w:tcPr>
          <w:p w14:paraId="4AA7A824">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数量</w:t>
            </w:r>
          </w:p>
        </w:tc>
        <w:tc>
          <w:tcPr>
            <w:tcW w:w="880" w:type="dxa"/>
            <w:noWrap/>
            <w:vAlign w:val="center"/>
          </w:tcPr>
          <w:p w14:paraId="499B08C8">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产地</w:t>
            </w:r>
          </w:p>
        </w:tc>
        <w:tc>
          <w:tcPr>
            <w:tcW w:w="1020" w:type="dxa"/>
            <w:noWrap/>
            <w:vAlign w:val="center"/>
          </w:tcPr>
          <w:p w14:paraId="42316F26">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制造</w:t>
            </w:r>
          </w:p>
          <w:p w14:paraId="296DEB58">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年份</w:t>
            </w:r>
          </w:p>
        </w:tc>
        <w:tc>
          <w:tcPr>
            <w:tcW w:w="1480" w:type="dxa"/>
            <w:noWrap/>
            <w:vAlign w:val="center"/>
          </w:tcPr>
          <w:p w14:paraId="00646839">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额定功率(kW)</w:t>
            </w:r>
          </w:p>
        </w:tc>
        <w:tc>
          <w:tcPr>
            <w:tcW w:w="1020" w:type="dxa"/>
            <w:noWrap/>
            <w:vAlign w:val="center"/>
          </w:tcPr>
          <w:p w14:paraId="046EA251">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生产</w:t>
            </w:r>
          </w:p>
          <w:p w14:paraId="4885BB6D">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能力</w:t>
            </w:r>
          </w:p>
        </w:tc>
        <w:tc>
          <w:tcPr>
            <w:tcW w:w="921" w:type="dxa"/>
            <w:noWrap/>
            <w:vAlign w:val="center"/>
          </w:tcPr>
          <w:p w14:paraId="716EA716">
            <w:pPr>
              <w:keepNext/>
              <w:spacing w:line="460" w:lineRule="exact"/>
              <w:ind w:right="63"/>
              <w:jc w:val="center"/>
              <w:rPr>
                <w:rFonts w:ascii="宋体" w:hAnsi="宋体"/>
                <w:color w:val="auto"/>
                <w:kern w:val="0"/>
                <w:sz w:val="24"/>
                <w:szCs w:val="24"/>
                <w:highlight w:val="none"/>
              </w:rPr>
            </w:pPr>
            <w:r>
              <w:rPr>
                <w:rFonts w:ascii="宋体" w:hAnsi="宋体"/>
                <w:color w:val="auto"/>
                <w:kern w:val="0"/>
                <w:sz w:val="24"/>
                <w:szCs w:val="24"/>
                <w:highlight w:val="none"/>
              </w:rPr>
              <w:t>备注</w:t>
            </w:r>
          </w:p>
        </w:tc>
      </w:tr>
      <w:tr w14:paraId="3BB918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037893BD">
            <w:pPr>
              <w:keepNext/>
              <w:spacing w:line="460" w:lineRule="exact"/>
              <w:ind w:right="63"/>
              <w:rPr>
                <w:rFonts w:ascii="宋体" w:hAnsi="宋体"/>
                <w:color w:val="auto"/>
                <w:kern w:val="0"/>
                <w:sz w:val="24"/>
                <w:szCs w:val="24"/>
                <w:highlight w:val="none"/>
              </w:rPr>
            </w:pPr>
          </w:p>
        </w:tc>
        <w:tc>
          <w:tcPr>
            <w:tcW w:w="1418" w:type="dxa"/>
            <w:noWrap/>
            <w:vAlign w:val="center"/>
          </w:tcPr>
          <w:p w14:paraId="0CC9459D">
            <w:pPr>
              <w:keepNext/>
              <w:spacing w:line="460" w:lineRule="exact"/>
              <w:ind w:right="63"/>
              <w:rPr>
                <w:rFonts w:ascii="宋体" w:hAnsi="宋体"/>
                <w:color w:val="auto"/>
                <w:kern w:val="0"/>
                <w:sz w:val="24"/>
                <w:szCs w:val="24"/>
                <w:highlight w:val="none"/>
              </w:rPr>
            </w:pPr>
          </w:p>
        </w:tc>
        <w:tc>
          <w:tcPr>
            <w:tcW w:w="850" w:type="dxa"/>
            <w:noWrap/>
            <w:vAlign w:val="center"/>
          </w:tcPr>
          <w:p w14:paraId="282E3D64">
            <w:pPr>
              <w:keepNext/>
              <w:spacing w:line="460" w:lineRule="exact"/>
              <w:ind w:right="63"/>
              <w:rPr>
                <w:rFonts w:ascii="宋体" w:hAnsi="宋体"/>
                <w:color w:val="auto"/>
                <w:kern w:val="0"/>
                <w:sz w:val="24"/>
                <w:szCs w:val="24"/>
                <w:highlight w:val="none"/>
              </w:rPr>
            </w:pPr>
          </w:p>
        </w:tc>
        <w:tc>
          <w:tcPr>
            <w:tcW w:w="1058" w:type="dxa"/>
            <w:noWrap/>
            <w:vAlign w:val="center"/>
          </w:tcPr>
          <w:p w14:paraId="34C31A41">
            <w:pPr>
              <w:keepNext/>
              <w:spacing w:line="460" w:lineRule="exact"/>
              <w:ind w:right="63"/>
              <w:rPr>
                <w:rFonts w:ascii="宋体" w:hAnsi="宋体"/>
                <w:color w:val="auto"/>
                <w:kern w:val="0"/>
                <w:sz w:val="24"/>
                <w:szCs w:val="24"/>
                <w:highlight w:val="none"/>
              </w:rPr>
            </w:pPr>
          </w:p>
        </w:tc>
        <w:tc>
          <w:tcPr>
            <w:tcW w:w="880" w:type="dxa"/>
            <w:noWrap/>
            <w:vAlign w:val="center"/>
          </w:tcPr>
          <w:p w14:paraId="7780C0A4">
            <w:pPr>
              <w:keepNext/>
              <w:spacing w:line="460" w:lineRule="exact"/>
              <w:ind w:right="63"/>
              <w:rPr>
                <w:rFonts w:ascii="宋体" w:hAnsi="宋体"/>
                <w:color w:val="auto"/>
                <w:kern w:val="0"/>
                <w:sz w:val="24"/>
                <w:szCs w:val="24"/>
                <w:highlight w:val="none"/>
              </w:rPr>
            </w:pPr>
          </w:p>
        </w:tc>
        <w:tc>
          <w:tcPr>
            <w:tcW w:w="1020" w:type="dxa"/>
            <w:noWrap/>
            <w:vAlign w:val="center"/>
          </w:tcPr>
          <w:p w14:paraId="5296EE7F">
            <w:pPr>
              <w:keepNext/>
              <w:spacing w:line="460" w:lineRule="exact"/>
              <w:ind w:right="63"/>
              <w:rPr>
                <w:rFonts w:ascii="宋体" w:hAnsi="宋体"/>
                <w:color w:val="auto"/>
                <w:kern w:val="0"/>
                <w:sz w:val="24"/>
                <w:szCs w:val="24"/>
                <w:highlight w:val="none"/>
              </w:rPr>
            </w:pPr>
          </w:p>
        </w:tc>
        <w:tc>
          <w:tcPr>
            <w:tcW w:w="1480" w:type="dxa"/>
            <w:noWrap/>
            <w:vAlign w:val="center"/>
          </w:tcPr>
          <w:p w14:paraId="11C7BDF5">
            <w:pPr>
              <w:keepNext/>
              <w:spacing w:line="460" w:lineRule="exact"/>
              <w:ind w:right="63"/>
              <w:rPr>
                <w:rFonts w:ascii="宋体" w:hAnsi="宋体"/>
                <w:color w:val="auto"/>
                <w:kern w:val="0"/>
                <w:sz w:val="24"/>
                <w:szCs w:val="24"/>
                <w:highlight w:val="none"/>
              </w:rPr>
            </w:pPr>
          </w:p>
        </w:tc>
        <w:tc>
          <w:tcPr>
            <w:tcW w:w="1020" w:type="dxa"/>
            <w:noWrap/>
            <w:vAlign w:val="center"/>
          </w:tcPr>
          <w:p w14:paraId="60512605">
            <w:pPr>
              <w:keepNext/>
              <w:spacing w:line="460" w:lineRule="exact"/>
              <w:ind w:right="63"/>
              <w:rPr>
                <w:rFonts w:ascii="宋体" w:hAnsi="宋体"/>
                <w:color w:val="auto"/>
                <w:kern w:val="0"/>
                <w:sz w:val="24"/>
                <w:szCs w:val="24"/>
                <w:highlight w:val="none"/>
              </w:rPr>
            </w:pPr>
          </w:p>
        </w:tc>
        <w:tc>
          <w:tcPr>
            <w:tcW w:w="921" w:type="dxa"/>
            <w:noWrap/>
            <w:vAlign w:val="center"/>
          </w:tcPr>
          <w:p w14:paraId="49FE8B74">
            <w:pPr>
              <w:keepNext/>
              <w:spacing w:line="460" w:lineRule="exact"/>
              <w:ind w:right="63"/>
              <w:rPr>
                <w:rFonts w:ascii="宋体" w:hAnsi="宋体"/>
                <w:color w:val="auto"/>
                <w:kern w:val="0"/>
                <w:sz w:val="24"/>
                <w:szCs w:val="24"/>
                <w:highlight w:val="none"/>
              </w:rPr>
            </w:pPr>
          </w:p>
        </w:tc>
      </w:tr>
      <w:tr w14:paraId="6532A8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23A45496">
            <w:pPr>
              <w:keepNext/>
              <w:spacing w:line="460" w:lineRule="exact"/>
              <w:ind w:right="63"/>
              <w:rPr>
                <w:rFonts w:ascii="宋体" w:hAnsi="宋体"/>
                <w:color w:val="auto"/>
                <w:kern w:val="0"/>
                <w:sz w:val="24"/>
                <w:szCs w:val="24"/>
                <w:highlight w:val="none"/>
              </w:rPr>
            </w:pPr>
          </w:p>
        </w:tc>
        <w:tc>
          <w:tcPr>
            <w:tcW w:w="1418" w:type="dxa"/>
            <w:noWrap/>
            <w:vAlign w:val="center"/>
          </w:tcPr>
          <w:p w14:paraId="25EA8EB7">
            <w:pPr>
              <w:keepNext/>
              <w:spacing w:line="460" w:lineRule="exact"/>
              <w:ind w:right="63"/>
              <w:rPr>
                <w:rFonts w:ascii="宋体" w:hAnsi="宋体"/>
                <w:color w:val="auto"/>
                <w:kern w:val="0"/>
                <w:sz w:val="24"/>
                <w:szCs w:val="24"/>
                <w:highlight w:val="none"/>
              </w:rPr>
            </w:pPr>
          </w:p>
        </w:tc>
        <w:tc>
          <w:tcPr>
            <w:tcW w:w="850" w:type="dxa"/>
            <w:noWrap/>
            <w:vAlign w:val="center"/>
          </w:tcPr>
          <w:p w14:paraId="7053F4F5">
            <w:pPr>
              <w:keepNext/>
              <w:spacing w:line="460" w:lineRule="exact"/>
              <w:ind w:right="63"/>
              <w:rPr>
                <w:rFonts w:ascii="宋体" w:hAnsi="宋体"/>
                <w:color w:val="auto"/>
                <w:kern w:val="0"/>
                <w:sz w:val="24"/>
                <w:szCs w:val="24"/>
                <w:highlight w:val="none"/>
              </w:rPr>
            </w:pPr>
          </w:p>
        </w:tc>
        <w:tc>
          <w:tcPr>
            <w:tcW w:w="1058" w:type="dxa"/>
            <w:noWrap/>
            <w:vAlign w:val="center"/>
          </w:tcPr>
          <w:p w14:paraId="005FC5BE">
            <w:pPr>
              <w:keepNext/>
              <w:spacing w:line="460" w:lineRule="exact"/>
              <w:ind w:right="63"/>
              <w:rPr>
                <w:rFonts w:ascii="宋体" w:hAnsi="宋体"/>
                <w:color w:val="auto"/>
                <w:kern w:val="0"/>
                <w:sz w:val="24"/>
                <w:szCs w:val="24"/>
                <w:highlight w:val="none"/>
              </w:rPr>
            </w:pPr>
          </w:p>
        </w:tc>
        <w:tc>
          <w:tcPr>
            <w:tcW w:w="880" w:type="dxa"/>
            <w:noWrap/>
            <w:vAlign w:val="center"/>
          </w:tcPr>
          <w:p w14:paraId="5094FA81">
            <w:pPr>
              <w:keepNext/>
              <w:spacing w:line="460" w:lineRule="exact"/>
              <w:ind w:right="63"/>
              <w:rPr>
                <w:rFonts w:ascii="宋体" w:hAnsi="宋体"/>
                <w:color w:val="auto"/>
                <w:kern w:val="0"/>
                <w:sz w:val="24"/>
                <w:szCs w:val="24"/>
                <w:highlight w:val="none"/>
              </w:rPr>
            </w:pPr>
          </w:p>
        </w:tc>
        <w:tc>
          <w:tcPr>
            <w:tcW w:w="1020" w:type="dxa"/>
            <w:noWrap/>
            <w:vAlign w:val="center"/>
          </w:tcPr>
          <w:p w14:paraId="0F5EBEF1">
            <w:pPr>
              <w:keepNext/>
              <w:spacing w:line="460" w:lineRule="exact"/>
              <w:ind w:right="63"/>
              <w:rPr>
                <w:rFonts w:ascii="宋体" w:hAnsi="宋体"/>
                <w:color w:val="auto"/>
                <w:kern w:val="0"/>
                <w:sz w:val="24"/>
                <w:szCs w:val="24"/>
                <w:highlight w:val="none"/>
              </w:rPr>
            </w:pPr>
          </w:p>
        </w:tc>
        <w:tc>
          <w:tcPr>
            <w:tcW w:w="1480" w:type="dxa"/>
            <w:noWrap/>
            <w:vAlign w:val="center"/>
          </w:tcPr>
          <w:p w14:paraId="03F161A0">
            <w:pPr>
              <w:keepNext/>
              <w:spacing w:line="460" w:lineRule="exact"/>
              <w:ind w:right="63"/>
              <w:rPr>
                <w:rFonts w:ascii="宋体" w:hAnsi="宋体"/>
                <w:color w:val="auto"/>
                <w:kern w:val="0"/>
                <w:sz w:val="24"/>
                <w:szCs w:val="24"/>
                <w:highlight w:val="none"/>
              </w:rPr>
            </w:pPr>
          </w:p>
        </w:tc>
        <w:tc>
          <w:tcPr>
            <w:tcW w:w="1020" w:type="dxa"/>
            <w:noWrap/>
            <w:vAlign w:val="center"/>
          </w:tcPr>
          <w:p w14:paraId="4E78D37E">
            <w:pPr>
              <w:keepNext/>
              <w:spacing w:line="460" w:lineRule="exact"/>
              <w:ind w:right="63"/>
              <w:rPr>
                <w:rFonts w:ascii="宋体" w:hAnsi="宋体"/>
                <w:color w:val="auto"/>
                <w:kern w:val="0"/>
                <w:sz w:val="24"/>
                <w:szCs w:val="24"/>
                <w:highlight w:val="none"/>
              </w:rPr>
            </w:pPr>
          </w:p>
        </w:tc>
        <w:tc>
          <w:tcPr>
            <w:tcW w:w="921" w:type="dxa"/>
            <w:noWrap/>
            <w:vAlign w:val="center"/>
          </w:tcPr>
          <w:p w14:paraId="09A83417">
            <w:pPr>
              <w:keepNext/>
              <w:spacing w:line="460" w:lineRule="exact"/>
              <w:ind w:right="63"/>
              <w:rPr>
                <w:rFonts w:ascii="宋体" w:hAnsi="宋体"/>
                <w:color w:val="auto"/>
                <w:kern w:val="0"/>
                <w:sz w:val="24"/>
                <w:szCs w:val="24"/>
                <w:highlight w:val="none"/>
              </w:rPr>
            </w:pPr>
          </w:p>
        </w:tc>
      </w:tr>
      <w:tr w14:paraId="1820C7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29096B2B">
            <w:pPr>
              <w:keepNext/>
              <w:spacing w:line="460" w:lineRule="exact"/>
              <w:ind w:right="63"/>
              <w:rPr>
                <w:rFonts w:ascii="宋体" w:hAnsi="宋体"/>
                <w:color w:val="auto"/>
                <w:kern w:val="0"/>
                <w:sz w:val="24"/>
                <w:szCs w:val="24"/>
                <w:highlight w:val="none"/>
              </w:rPr>
            </w:pPr>
          </w:p>
        </w:tc>
        <w:tc>
          <w:tcPr>
            <w:tcW w:w="1418" w:type="dxa"/>
            <w:noWrap/>
            <w:vAlign w:val="center"/>
          </w:tcPr>
          <w:p w14:paraId="7B006221">
            <w:pPr>
              <w:keepNext/>
              <w:spacing w:line="460" w:lineRule="exact"/>
              <w:ind w:right="63"/>
              <w:rPr>
                <w:rFonts w:ascii="宋体" w:hAnsi="宋体"/>
                <w:color w:val="auto"/>
                <w:kern w:val="0"/>
                <w:sz w:val="24"/>
                <w:szCs w:val="24"/>
                <w:highlight w:val="none"/>
              </w:rPr>
            </w:pPr>
          </w:p>
        </w:tc>
        <w:tc>
          <w:tcPr>
            <w:tcW w:w="850" w:type="dxa"/>
            <w:noWrap/>
            <w:vAlign w:val="center"/>
          </w:tcPr>
          <w:p w14:paraId="1D18B003">
            <w:pPr>
              <w:keepNext/>
              <w:spacing w:line="460" w:lineRule="exact"/>
              <w:ind w:right="63"/>
              <w:rPr>
                <w:rFonts w:ascii="宋体" w:hAnsi="宋体"/>
                <w:color w:val="auto"/>
                <w:kern w:val="0"/>
                <w:sz w:val="24"/>
                <w:szCs w:val="24"/>
                <w:highlight w:val="none"/>
              </w:rPr>
            </w:pPr>
          </w:p>
        </w:tc>
        <w:tc>
          <w:tcPr>
            <w:tcW w:w="1058" w:type="dxa"/>
            <w:noWrap/>
            <w:vAlign w:val="center"/>
          </w:tcPr>
          <w:p w14:paraId="56FFA4EA">
            <w:pPr>
              <w:keepNext/>
              <w:spacing w:line="460" w:lineRule="exact"/>
              <w:ind w:right="63"/>
              <w:rPr>
                <w:rFonts w:ascii="宋体" w:hAnsi="宋体"/>
                <w:color w:val="auto"/>
                <w:kern w:val="0"/>
                <w:sz w:val="24"/>
                <w:szCs w:val="24"/>
                <w:highlight w:val="none"/>
              </w:rPr>
            </w:pPr>
          </w:p>
        </w:tc>
        <w:tc>
          <w:tcPr>
            <w:tcW w:w="880" w:type="dxa"/>
            <w:noWrap/>
            <w:vAlign w:val="center"/>
          </w:tcPr>
          <w:p w14:paraId="518AC96C">
            <w:pPr>
              <w:keepNext/>
              <w:spacing w:line="460" w:lineRule="exact"/>
              <w:ind w:right="63"/>
              <w:rPr>
                <w:rFonts w:ascii="宋体" w:hAnsi="宋体"/>
                <w:color w:val="auto"/>
                <w:kern w:val="0"/>
                <w:sz w:val="24"/>
                <w:szCs w:val="24"/>
                <w:highlight w:val="none"/>
              </w:rPr>
            </w:pPr>
          </w:p>
        </w:tc>
        <w:tc>
          <w:tcPr>
            <w:tcW w:w="1020" w:type="dxa"/>
            <w:noWrap/>
            <w:vAlign w:val="center"/>
          </w:tcPr>
          <w:p w14:paraId="73181E64">
            <w:pPr>
              <w:keepNext/>
              <w:spacing w:line="460" w:lineRule="exact"/>
              <w:ind w:right="63"/>
              <w:rPr>
                <w:rFonts w:ascii="宋体" w:hAnsi="宋体"/>
                <w:color w:val="auto"/>
                <w:kern w:val="0"/>
                <w:sz w:val="24"/>
                <w:szCs w:val="24"/>
                <w:highlight w:val="none"/>
              </w:rPr>
            </w:pPr>
          </w:p>
        </w:tc>
        <w:tc>
          <w:tcPr>
            <w:tcW w:w="1480" w:type="dxa"/>
            <w:noWrap/>
            <w:vAlign w:val="center"/>
          </w:tcPr>
          <w:p w14:paraId="585A4FFE">
            <w:pPr>
              <w:keepNext/>
              <w:spacing w:line="460" w:lineRule="exact"/>
              <w:ind w:right="63"/>
              <w:rPr>
                <w:rFonts w:ascii="宋体" w:hAnsi="宋体"/>
                <w:color w:val="auto"/>
                <w:kern w:val="0"/>
                <w:sz w:val="24"/>
                <w:szCs w:val="24"/>
                <w:highlight w:val="none"/>
              </w:rPr>
            </w:pPr>
          </w:p>
        </w:tc>
        <w:tc>
          <w:tcPr>
            <w:tcW w:w="1020" w:type="dxa"/>
            <w:noWrap/>
            <w:vAlign w:val="center"/>
          </w:tcPr>
          <w:p w14:paraId="1E65EEFB">
            <w:pPr>
              <w:keepNext/>
              <w:spacing w:line="460" w:lineRule="exact"/>
              <w:ind w:right="63"/>
              <w:rPr>
                <w:rFonts w:ascii="宋体" w:hAnsi="宋体"/>
                <w:color w:val="auto"/>
                <w:kern w:val="0"/>
                <w:sz w:val="24"/>
                <w:szCs w:val="24"/>
                <w:highlight w:val="none"/>
              </w:rPr>
            </w:pPr>
          </w:p>
        </w:tc>
        <w:tc>
          <w:tcPr>
            <w:tcW w:w="921" w:type="dxa"/>
            <w:noWrap/>
            <w:vAlign w:val="center"/>
          </w:tcPr>
          <w:p w14:paraId="38C5B901">
            <w:pPr>
              <w:keepNext/>
              <w:spacing w:line="460" w:lineRule="exact"/>
              <w:ind w:right="63"/>
              <w:rPr>
                <w:rFonts w:ascii="宋体" w:hAnsi="宋体"/>
                <w:color w:val="auto"/>
                <w:kern w:val="0"/>
                <w:sz w:val="24"/>
                <w:szCs w:val="24"/>
                <w:highlight w:val="none"/>
              </w:rPr>
            </w:pPr>
          </w:p>
        </w:tc>
      </w:tr>
      <w:tr w14:paraId="02929B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52390E86">
            <w:pPr>
              <w:keepNext/>
              <w:spacing w:line="460" w:lineRule="exact"/>
              <w:ind w:right="63"/>
              <w:rPr>
                <w:rFonts w:ascii="宋体" w:hAnsi="宋体"/>
                <w:color w:val="auto"/>
                <w:kern w:val="0"/>
                <w:sz w:val="24"/>
                <w:szCs w:val="24"/>
                <w:highlight w:val="none"/>
              </w:rPr>
            </w:pPr>
          </w:p>
        </w:tc>
        <w:tc>
          <w:tcPr>
            <w:tcW w:w="1418" w:type="dxa"/>
            <w:noWrap/>
            <w:vAlign w:val="center"/>
          </w:tcPr>
          <w:p w14:paraId="1C5EEC31">
            <w:pPr>
              <w:keepNext/>
              <w:spacing w:line="460" w:lineRule="exact"/>
              <w:ind w:right="63"/>
              <w:rPr>
                <w:rFonts w:ascii="宋体" w:hAnsi="宋体"/>
                <w:color w:val="auto"/>
                <w:kern w:val="0"/>
                <w:sz w:val="24"/>
                <w:szCs w:val="24"/>
                <w:highlight w:val="none"/>
              </w:rPr>
            </w:pPr>
          </w:p>
        </w:tc>
        <w:tc>
          <w:tcPr>
            <w:tcW w:w="850" w:type="dxa"/>
            <w:noWrap/>
            <w:vAlign w:val="center"/>
          </w:tcPr>
          <w:p w14:paraId="541FD5F4">
            <w:pPr>
              <w:keepNext/>
              <w:spacing w:line="460" w:lineRule="exact"/>
              <w:ind w:right="63"/>
              <w:rPr>
                <w:rFonts w:ascii="宋体" w:hAnsi="宋体"/>
                <w:color w:val="auto"/>
                <w:kern w:val="0"/>
                <w:sz w:val="24"/>
                <w:szCs w:val="24"/>
                <w:highlight w:val="none"/>
              </w:rPr>
            </w:pPr>
          </w:p>
        </w:tc>
        <w:tc>
          <w:tcPr>
            <w:tcW w:w="1058" w:type="dxa"/>
            <w:noWrap/>
            <w:vAlign w:val="center"/>
          </w:tcPr>
          <w:p w14:paraId="7554A048">
            <w:pPr>
              <w:keepNext/>
              <w:spacing w:line="460" w:lineRule="exact"/>
              <w:ind w:right="63"/>
              <w:rPr>
                <w:rFonts w:ascii="宋体" w:hAnsi="宋体"/>
                <w:color w:val="auto"/>
                <w:kern w:val="0"/>
                <w:sz w:val="24"/>
                <w:szCs w:val="24"/>
                <w:highlight w:val="none"/>
              </w:rPr>
            </w:pPr>
          </w:p>
        </w:tc>
        <w:tc>
          <w:tcPr>
            <w:tcW w:w="880" w:type="dxa"/>
            <w:noWrap/>
            <w:vAlign w:val="center"/>
          </w:tcPr>
          <w:p w14:paraId="36BF24C5">
            <w:pPr>
              <w:keepNext/>
              <w:spacing w:line="460" w:lineRule="exact"/>
              <w:ind w:right="63"/>
              <w:rPr>
                <w:rFonts w:ascii="宋体" w:hAnsi="宋体"/>
                <w:color w:val="auto"/>
                <w:kern w:val="0"/>
                <w:sz w:val="24"/>
                <w:szCs w:val="24"/>
                <w:highlight w:val="none"/>
              </w:rPr>
            </w:pPr>
          </w:p>
        </w:tc>
        <w:tc>
          <w:tcPr>
            <w:tcW w:w="1020" w:type="dxa"/>
            <w:noWrap/>
            <w:vAlign w:val="center"/>
          </w:tcPr>
          <w:p w14:paraId="3539AD31">
            <w:pPr>
              <w:keepNext/>
              <w:spacing w:line="460" w:lineRule="exact"/>
              <w:ind w:right="63"/>
              <w:rPr>
                <w:rFonts w:ascii="宋体" w:hAnsi="宋体"/>
                <w:color w:val="auto"/>
                <w:kern w:val="0"/>
                <w:sz w:val="24"/>
                <w:szCs w:val="24"/>
                <w:highlight w:val="none"/>
              </w:rPr>
            </w:pPr>
          </w:p>
        </w:tc>
        <w:tc>
          <w:tcPr>
            <w:tcW w:w="1480" w:type="dxa"/>
            <w:noWrap/>
            <w:vAlign w:val="center"/>
          </w:tcPr>
          <w:p w14:paraId="48DE43B2">
            <w:pPr>
              <w:keepNext/>
              <w:spacing w:line="460" w:lineRule="exact"/>
              <w:ind w:right="63"/>
              <w:rPr>
                <w:rFonts w:ascii="宋体" w:hAnsi="宋体"/>
                <w:color w:val="auto"/>
                <w:kern w:val="0"/>
                <w:sz w:val="24"/>
                <w:szCs w:val="24"/>
                <w:highlight w:val="none"/>
              </w:rPr>
            </w:pPr>
          </w:p>
        </w:tc>
        <w:tc>
          <w:tcPr>
            <w:tcW w:w="1020" w:type="dxa"/>
            <w:noWrap/>
            <w:vAlign w:val="center"/>
          </w:tcPr>
          <w:p w14:paraId="2731578F">
            <w:pPr>
              <w:keepNext/>
              <w:spacing w:line="460" w:lineRule="exact"/>
              <w:ind w:right="63"/>
              <w:rPr>
                <w:rFonts w:ascii="宋体" w:hAnsi="宋体"/>
                <w:color w:val="auto"/>
                <w:kern w:val="0"/>
                <w:sz w:val="24"/>
                <w:szCs w:val="24"/>
                <w:highlight w:val="none"/>
              </w:rPr>
            </w:pPr>
          </w:p>
        </w:tc>
        <w:tc>
          <w:tcPr>
            <w:tcW w:w="921" w:type="dxa"/>
            <w:noWrap/>
            <w:vAlign w:val="center"/>
          </w:tcPr>
          <w:p w14:paraId="7781722E">
            <w:pPr>
              <w:keepNext/>
              <w:spacing w:line="460" w:lineRule="exact"/>
              <w:ind w:right="63"/>
              <w:rPr>
                <w:rFonts w:ascii="宋体" w:hAnsi="宋体"/>
                <w:color w:val="auto"/>
                <w:kern w:val="0"/>
                <w:sz w:val="24"/>
                <w:szCs w:val="24"/>
                <w:highlight w:val="none"/>
              </w:rPr>
            </w:pPr>
          </w:p>
        </w:tc>
      </w:tr>
      <w:tr w14:paraId="3CB5C3D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5D7F6949">
            <w:pPr>
              <w:keepNext/>
              <w:spacing w:line="460" w:lineRule="exact"/>
              <w:ind w:right="63"/>
              <w:rPr>
                <w:rFonts w:ascii="宋体" w:hAnsi="宋体"/>
                <w:color w:val="auto"/>
                <w:kern w:val="0"/>
                <w:sz w:val="24"/>
                <w:szCs w:val="24"/>
                <w:highlight w:val="none"/>
              </w:rPr>
            </w:pPr>
          </w:p>
        </w:tc>
        <w:tc>
          <w:tcPr>
            <w:tcW w:w="1418" w:type="dxa"/>
            <w:noWrap/>
            <w:vAlign w:val="center"/>
          </w:tcPr>
          <w:p w14:paraId="10CB4436">
            <w:pPr>
              <w:keepNext/>
              <w:spacing w:line="460" w:lineRule="exact"/>
              <w:ind w:right="63"/>
              <w:rPr>
                <w:rFonts w:ascii="宋体" w:hAnsi="宋体"/>
                <w:color w:val="auto"/>
                <w:kern w:val="0"/>
                <w:sz w:val="24"/>
                <w:szCs w:val="24"/>
                <w:highlight w:val="none"/>
              </w:rPr>
            </w:pPr>
          </w:p>
        </w:tc>
        <w:tc>
          <w:tcPr>
            <w:tcW w:w="850" w:type="dxa"/>
            <w:noWrap/>
            <w:vAlign w:val="center"/>
          </w:tcPr>
          <w:p w14:paraId="258EAAA0">
            <w:pPr>
              <w:keepNext/>
              <w:spacing w:line="460" w:lineRule="exact"/>
              <w:ind w:right="63"/>
              <w:rPr>
                <w:rFonts w:ascii="宋体" w:hAnsi="宋体"/>
                <w:color w:val="auto"/>
                <w:kern w:val="0"/>
                <w:sz w:val="24"/>
                <w:szCs w:val="24"/>
                <w:highlight w:val="none"/>
              </w:rPr>
            </w:pPr>
          </w:p>
        </w:tc>
        <w:tc>
          <w:tcPr>
            <w:tcW w:w="1058" w:type="dxa"/>
            <w:noWrap/>
            <w:vAlign w:val="center"/>
          </w:tcPr>
          <w:p w14:paraId="70227BAB">
            <w:pPr>
              <w:keepNext/>
              <w:spacing w:line="460" w:lineRule="exact"/>
              <w:ind w:right="63"/>
              <w:rPr>
                <w:rFonts w:ascii="宋体" w:hAnsi="宋体"/>
                <w:color w:val="auto"/>
                <w:kern w:val="0"/>
                <w:sz w:val="24"/>
                <w:szCs w:val="24"/>
                <w:highlight w:val="none"/>
              </w:rPr>
            </w:pPr>
          </w:p>
        </w:tc>
        <w:tc>
          <w:tcPr>
            <w:tcW w:w="880" w:type="dxa"/>
            <w:noWrap/>
            <w:vAlign w:val="center"/>
          </w:tcPr>
          <w:p w14:paraId="7E22096A">
            <w:pPr>
              <w:keepNext/>
              <w:spacing w:line="460" w:lineRule="exact"/>
              <w:ind w:right="63"/>
              <w:rPr>
                <w:rFonts w:ascii="宋体" w:hAnsi="宋体"/>
                <w:color w:val="auto"/>
                <w:kern w:val="0"/>
                <w:sz w:val="24"/>
                <w:szCs w:val="24"/>
                <w:highlight w:val="none"/>
              </w:rPr>
            </w:pPr>
          </w:p>
        </w:tc>
        <w:tc>
          <w:tcPr>
            <w:tcW w:w="1020" w:type="dxa"/>
            <w:noWrap/>
            <w:vAlign w:val="center"/>
          </w:tcPr>
          <w:p w14:paraId="67A7A8C1">
            <w:pPr>
              <w:keepNext/>
              <w:spacing w:line="460" w:lineRule="exact"/>
              <w:ind w:right="63"/>
              <w:rPr>
                <w:rFonts w:ascii="宋体" w:hAnsi="宋体"/>
                <w:color w:val="auto"/>
                <w:kern w:val="0"/>
                <w:sz w:val="24"/>
                <w:szCs w:val="24"/>
                <w:highlight w:val="none"/>
              </w:rPr>
            </w:pPr>
          </w:p>
        </w:tc>
        <w:tc>
          <w:tcPr>
            <w:tcW w:w="1480" w:type="dxa"/>
            <w:noWrap/>
            <w:vAlign w:val="center"/>
          </w:tcPr>
          <w:p w14:paraId="10C74E77">
            <w:pPr>
              <w:keepNext/>
              <w:spacing w:line="460" w:lineRule="exact"/>
              <w:ind w:right="63"/>
              <w:rPr>
                <w:rFonts w:ascii="宋体" w:hAnsi="宋体"/>
                <w:color w:val="auto"/>
                <w:kern w:val="0"/>
                <w:sz w:val="24"/>
                <w:szCs w:val="24"/>
                <w:highlight w:val="none"/>
              </w:rPr>
            </w:pPr>
          </w:p>
        </w:tc>
        <w:tc>
          <w:tcPr>
            <w:tcW w:w="1020" w:type="dxa"/>
            <w:noWrap/>
            <w:vAlign w:val="center"/>
          </w:tcPr>
          <w:p w14:paraId="237FDFDD">
            <w:pPr>
              <w:keepNext/>
              <w:spacing w:line="460" w:lineRule="exact"/>
              <w:ind w:right="63"/>
              <w:rPr>
                <w:rFonts w:ascii="宋体" w:hAnsi="宋体"/>
                <w:color w:val="auto"/>
                <w:kern w:val="0"/>
                <w:sz w:val="24"/>
                <w:szCs w:val="24"/>
                <w:highlight w:val="none"/>
              </w:rPr>
            </w:pPr>
          </w:p>
        </w:tc>
        <w:tc>
          <w:tcPr>
            <w:tcW w:w="921" w:type="dxa"/>
            <w:noWrap/>
            <w:vAlign w:val="center"/>
          </w:tcPr>
          <w:p w14:paraId="06B0053E">
            <w:pPr>
              <w:keepNext/>
              <w:spacing w:line="460" w:lineRule="exact"/>
              <w:ind w:right="63"/>
              <w:rPr>
                <w:rFonts w:ascii="宋体" w:hAnsi="宋体"/>
                <w:color w:val="auto"/>
                <w:kern w:val="0"/>
                <w:sz w:val="24"/>
                <w:szCs w:val="24"/>
                <w:highlight w:val="none"/>
              </w:rPr>
            </w:pPr>
          </w:p>
        </w:tc>
      </w:tr>
      <w:tr w14:paraId="5964A88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5BAF1715">
            <w:pPr>
              <w:keepNext/>
              <w:spacing w:line="460" w:lineRule="exact"/>
              <w:ind w:right="63"/>
              <w:rPr>
                <w:rFonts w:ascii="宋体" w:hAnsi="宋体"/>
                <w:color w:val="auto"/>
                <w:kern w:val="0"/>
                <w:sz w:val="24"/>
                <w:szCs w:val="24"/>
                <w:highlight w:val="none"/>
              </w:rPr>
            </w:pPr>
          </w:p>
        </w:tc>
        <w:tc>
          <w:tcPr>
            <w:tcW w:w="1418" w:type="dxa"/>
            <w:noWrap/>
            <w:vAlign w:val="center"/>
          </w:tcPr>
          <w:p w14:paraId="05C6100A">
            <w:pPr>
              <w:keepNext/>
              <w:spacing w:line="460" w:lineRule="exact"/>
              <w:ind w:right="63"/>
              <w:rPr>
                <w:rFonts w:ascii="宋体" w:hAnsi="宋体"/>
                <w:color w:val="auto"/>
                <w:kern w:val="0"/>
                <w:sz w:val="24"/>
                <w:szCs w:val="24"/>
                <w:highlight w:val="none"/>
              </w:rPr>
            </w:pPr>
          </w:p>
        </w:tc>
        <w:tc>
          <w:tcPr>
            <w:tcW w:w="850" w:type="dxa"/>
            <w:noWrap/>
            <w:vAlign w:val="center"/>
          </w:tcPr>
          <w:p w14:paraId="1667DF1E">
            <w:pPr>
              <w:keepNext/>
              <w:spacing w:line="460" w:lineRule="exact"/>
              <w:ind w:right="63"/>
              <w:rPr>
                <w:rFonts w:ascii="宋体" w:hAnsi="宋体"/>
                <w:color w:val="auto"/>
                <w:kern w:val="0"/>
                <w:sz w:val="24"/>
                <w:szCs w:val="24"/>
                <w:highlight w:val="none"/>
              </w:rPr>
            </w:pPr>
          </w:p>
        </w:tc>
        <w:tc>
          <w:tcPr>
            <w:tcW w:w="1058" w:type="dxa"/>
            <w:noWrap/>
            <w:vAlign w:val="center"/>
          </w:tcPr>
          <w:p w14:paraId="5F2A20A0">
            <w:pPr>
              <w:keepNext/>
              <w:spacing w:line="460" w:lineRule="exact"/>
              <w:ind w:right="63"/>
              <w:rPr>
                <w:rFonts w:ascii="宋体" w:hAnsi="宋体"/>
                <w:color w:val="auto"/>
                <w:kern w:val="0"/>
                <w:sz w:val="24"/>
                <w:szCs w:val="24"/>
                <w:highlight w:val="none"/>
              </w:rPr>
            </w:pPr>
          </w:p>
        </w:tc>
        <w:tc>
          <w:tcPr>
            <w:tcW w:w="880" w:type="dxa"/>
            <w:noWrap/>
            <w:vAlign w:val="center"/>
          </w:tcPr>
          <w:p w14:paraId="6450C3DC">
            <w:pPr>
              <w:keepNext/>
              <w:spacing w:line="460" w:lineRule="exact"/>
              <w:ind w:right="63"/>
              <w:rPr>
                <w:rFonts w:ascii="宋体" w:hAnsi="宋体"/>
                <w:color w:val="auto"/>
                <w:kern w:val="0"/>
                <w:sz w:val="24"/>
                <w:szCs w:val="24"/>
                <w:highlight w:val="none"/>
              </w:rPr>
            </w:pPr>
          </w:p>
        </w:tc>
        <w:tc>
          <w:tcPr>
            <w:tcW w:w="1020" w:type="dxa"/>
            <w:noWrap/>
            <w:vAlign w:val="center"/>
          </w:tcPr>
          <w:p w14:paraId="5F91D517">
            <w:pPr>
              <w:keepNext/>
              <w:spacing w:line="460" w:lineRule="exact"/>
              <w:ind w:right="63"/>
              <w:rPr>
                <w:rFonts w:ascii="宋体" w:hAnsi="宋体"/>
                <w:color w:val="auto"/>
                <w:kern w:val="0"/>
                <w:sz w:val="24"/>
                <w:szCs w:val="24"/>
                <w:highlight w:val="none"/>
              </w:rPr>
            </w:pPr>
          </w:p>
        </w:tc>
        <w:tc>
          <w:tcPr>
            <w:tcW w:w="1480" w:type="dxa"/>
            <w:noWrap/>
            <w:vAlign w:val="center"/>
          </w:tcPr>
          <w:p w14:paraId="603F150B">
            <w:pPr>
              <w:keepNext/>
              <w:spacing w:line="460" w:lineRule="exact"/>
              <w:ind w:right="63"/>
              <w:rPr>
                <w:rFonts w:ascii="宋体" w:hAnsi="宋体"/>
                <w:color w:val="auto"/>
                <w:kern w:val="0"/>
                <w:sz w:val="24"/>
                <w:szCs w:val="24"/>
                <w:highlight w:val="none"/>
              </w:rPr>
            </w:pPr>
          </w:p>
        </w:tc>
        <w:tc>
          <w:tcPr>
            <w:tcW w:w="1020" w:type="dxa"/>
            <w:noWrap/>
            <w:vAlign w:val="center"/>
          </w:tcPr>
          <w:p w14:paraId="05731BC3">
            <w:pPr>
              <w:keepNext/>
              <w:spacing w:line="460" w:lineRule="exact"/>
              <w:ind w:right="63"/>
              <w:rPr>
                <w:rFonts w:ascii="宋体" w:hAnsi="宋体"/>
                <w:color w:val="auto"/>
                <w:kern w:val="0"/>
                <w:sz w:val="24"/>
                <w:szCs w:val="24"/>
                <w:highlight w:val="none"/>
              </w:rPr>
            </w:pPr>
          </w:p>
        </w:tc>
        <w:tc>
          <w:tcPr>
            <w:tcW w:w="921" w:type="dxa"/>
            <w:noWrap/>
            <w:vAlign w:val="center"/>
          </w:tcPr>
          <w:p w14:paraId="02C871F0">
            <w:pPr>
              <w:keepNext/>
              <w:spacing w:line="460" w:lineRule="exact"/>
              <w:ind w:right="63"/>
              <w:rPr>
                <w:rFonts w:ascii="宋体" w:hAnsi="宋体"/>
                <w:color w:val="auto"/>
                <w:kern w:val="0"/>
                <w:sz w:val="24"/>
                <w:szCs w:val="24"/>
                <w:highlight w:val="none"/>
              </w:rPr>
            </w:pPr>
          </w:p>
        </w:tc>
      </w:tr>
      <w:tr w14:paraId="07A2BE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15FF9C48">
            <w:pPr>
              <w:keepNext/>
              <w:spacing w:line="460" w:lineRule="exact"/>
              <w:ind w:right="63"/>
              <w:rPr>
                <w:rFonts w:ascii="宋体" w:hAnsi="宋体"/>
                <w:color w:val="auto"/>
                <w:kern w:val="0"/>
                <w:sz w:val="24"/>
                <w:szCs w:val="24"/>
                <w:highlight w:val="none"/>
              </w:rPr>
            </w:pPr>
          </w:p>
        </w:tc>
        <w:tc>
          <w:tcPr>
            <w:tcW w:w="1418" w:type="dxa"/>
            <w:noWrap/>
            <w:vAlign w:val="center"/>
          </w:tcPr>
          <w:p w14:paraId="7AA126FC">
            <w:pPr>
              <w:keepNext/>
              <w:spacing w:line="460" w:lineRule="exact"/>
              <w:ind w:right="63"/>
              <w:rPr>
                <w:rFonts w:ascii="宋体" w:hAnsi="宋体"/>
                <w:color w:val="auto"/>
                <w:kern w:val="0"/>
                <w:sz w:val="24"/>
                <w:szCs w:val="24"/>
                <w:highlight w:val="none"/>
              </w:rPr>
            </w:pPr>
          </w:p>
        </w:tc>
        <w:tc>
          <w:tcPr>
            <w:tcW w:w="850" w:type="dxa"/>
            <w:noWrap/>
            <w:vAlign w:val="center"/>
          </w:tcPr>
          <w:p w14:paraId="602C7593">
            <w:pPr>
              <w:keepNext/>
              <w:spacing w:line="460" w:lineRule="exact"/>
              <w:ind w:right="63"/>
              <w:rPr>
                <w:rFonts w:ascii="宋体" w:hAnsi="宋体"/>
                <w:color w:val="auto"/>
                <w:kern w:val="0"/>
                <w:sz w:val="24"/>
                <w:szCs w:val="24"/>
                <w:highlight w:val="none"/>
              </w:rPr>
            </w:pPr>
          </w:p>
        </w:tc>
        <w:tc>
          <w:tcPr>
            <w:tcW w:w="1058" w:type="dxa"/>
            <w:noWrap/>
            <w:vAlign w:val="center"/>
          </w:tcPr>
          <w:p w14:paraId="05323174">
            <w:pPr>
              <w:keepNext/>
              <w:spacing w:line="460" w:lineRule="exact"/>
              <w:ind w:right="63"/>
              <w:rPr>
                <w:rFonts w:ascii="宋体" w:hAnsi="宋体"/>
                <w:color w:val="auto"/>
                <w:kern w:val="0"/>
                <w:sz w:val="24"/>
                <w:szCs w:val="24"/>
                <w:highlight w:val="none"/>
              </w:rPr>
            </w:pPr>
          </w:p>
        </w:tc>
        <w:tc>
          <w:tcPr>
            <w:tcW w:w="880" w:type="dxa"/>
            <w:noWrap/>
            <w:vAlign w:val="center"/>
          </w:tcPr>
          <w:p w14:paraId="059A37D2">
            <w:pPr>
              <w:keepNext/>
              <w:spacing w:line="460" w:lineRule="exact"/>
              <w:ind w:right="63"/>
              <w:rPr>
                <w:rFonts w:ascii="宋体" w:hAnsi="宋体"/>
                <w:color w:val="auto"/>
                <w:kern w:val="0"/>
                <w:sz w:val="24"/>
                <w:szCs w:val="24"/>
                <w:highlight w:val="none"/>
              </w:rPr>
            </w:pPr>
          </w:p>
        </w:tc>
        <w:tc>
          <w:tcPr>
            <w:tcW w:w="1020" w:type="dxa"/>
            <w:noWrap/>
            <w:vAlign w:val="center"/>
          </w:tcPr>
          <w:p w14:paraId="6D30D3E1">
            <w:pPr>
              <w:keepNext/>
              <w:spacing w:line="460" w:lineRule="exact"/>
              <w:ind w:right="63"/>
              <w:rPr>
                <w:rFonts w:ascii="宋体" w:hAnsi="宋体"/>
                <w:color w:val="auto"/>
                <w:kern w:val="0"/>
                <w:sz w:val="24"/>
                <w:szCs w:val="24"/>
                <w:highlight w:val="none"/>
              </w:rPr>
            </w:pPr>
          </w:p>
        </w:tc>
        <w:tc>
          <w:tcPr>
            <w:tcW w:w="1480" w:type="dxa"/>
            <w:noWrap/>
            <w:vAlign w:val="center"/>
          </w:tcPr>
          <w:p w14:paraId="477F8C14">
            <w:pPr>
              <w:keepNext/>
              <w:spacing w:line="460" w:lineRule="exact"/>
              <w:ind w:right="63"/>
              <w:rPr>
                <w:rFonts w:ascii="宋体" w:hAnsi="宋体"/>
                <w:color w:val="auto"/>
                <w:kern w:val="0"/>
                <w:sz w:val="24"/>
                <w:szCs w:val="24"/>
                <w:highlight w:val="none"/>
              </w:rPr>
            </w:pPr>
          </w:p>
        </w:tc>
        <w:tc>
          <w:tcPr>
            <w:tcW w:w="1020" w:type="dxa"/>
            <w:noWrap/>
            <w:vAlign w:val="center"/>
          </w:tcPr>
          <w:p w14:paraId="620A9079">
            <w:pPr>
              <w:keepNext/>
              <w:spacing w:line="460" w:lineRule="exact"/>
              <w:ind w:right="63"/>
              <w:rPr>
                <w:rFonts w:ascii="宋体" w:hAnsi="宋体"/>
                <w:color w:val="auto"/>
                <w:kern w:val="0"/>
                <w:sz w:val="24"/>
                <w:szCs w:val="24"/>
                <w:highlight w:val="none"/>
              </w:rPr>
            </w:pPr>
          </w:p>
        </w:tc>
        <w:tc>
          <w:tcPr>
            <w:tcW w:w="921" w:type="dxa"/>
            <w:noWrap/>
            <w:vAlign w:val="center"/>
          </w:tcPr>
          <w:p w14:paraId="07B22921">
            <w:pPr>
              <w:keepNext/>
              <w:spacing w:line="460" w:lineRule="exact"/>
              <w:ind w:right="63"/>
              <w:rPr>
                <w:rFonts w:ascii="宋体" w:hAnsi="宋体"/>
                <w:color w:val="auto"/>
                <w:kern w:val="0"/>
                <w:sz w:val="24"/>
                <w:szCs w:val="24"/>
                <w:highlight w:val="none"/>
              </w:rPr>
            </w:pPr>
          </w:p>
        </w:tc>
      </w:tr>
      <w:tr w14:paraId="6601AF5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44FE43C5">
            <w:pPr>
              <w:keepNext/>
              <w:spacing w:line="460" w:lineRule="exact"/>
              <w:ind w:right="63"/>
              <w:rPr>
                <w:rFonts w:ascii="宋体" w:hAnsi="宋体"/>
                <w:color w:val="auto"/>
                <w:kern w:val="0"/>
                <w:sz w:val="24"/>
                <w:szCs w:val="24"/>
                <w:highlight w:val="none"/>
              </w:rPr>
            </w:pPr>
          </w:p>
        </w:tc>
        <w:tc>
          <w:tcPr>
            <w:tcW w:w="1418" w:type="dxa"/>
            <w:noWrap/>
            <w:vAlign w:val="center"/>
          </w:tcPr>
          <w:p w14:paraId="24704237">
            <w:pPr>
              <w:keepNext/>
              <w:spacing w:line="460" w:lineRule="exact"/>
              <w:ind w:right="63"/>
              <w:rPr>
                <w:rFonts w:ascii="宋体" w:hAnsi="宋体"/>
                <w:color w:val="auto"/>
                <w:kern w:val="0"/>
                <w:sz w:val="24"/>
                <w:szCs w:val="24"/>
                <w:highlight w:val="none"/>
              </w:rPr>
            </w:pPr>
          </w:p>
        </w:tc>
        <w:tc>
          <w:tcPr>
            <w:tcW w:w="850" w:type="dxa"/>
            <w:noWrap/>
            <w:vAlign w:val="center"/>
          </w:tcPr>
          <w:p w14:paraId="16FF391B">
            <w:pPr>
              <w:keepNext/>
              <w:spacing w:line="460" w:lineRule="exact"/>
              <w:ind w:right="63"/>
              <w:rPr>
                <w:rFonts w:ascii="宋体" w:hAnsi="宋体"/>
                <w:color w:val="auto"/>
                <w:kern w:val="0"/>
                <w:sz w:val="24"/>
                <w:szCs w:val="24"/>
                <w:highlight w:val="none"/>
              </w:rPr>
            </w:pPr>
          </w:p>
        </w:tc>
        <w:tc>
          <w:tcPr>
            <w:tcW w:w="1058" w:type="dxa"/>
            <w:noWrap/>
            <w:vAlign w:val="center"/>
          </w:tcPr>
          <w:p w14:paraId="388E5C5A">
            <w:pPr>
              <w:keepNext/>
              <w:spacing w:line="460" w:lineRule="exact"/>
              <w:ind w:right="63"/>
              <w:rPr>
                <w:rFonts w:ascii="宋体" w:hAnsi="宋体"/>
                <w:color w:val="auto"/>
                <w:kern w:val="0"/>
                <w:sz w:val="24"/>
                <w:szCs w:val="24"/>
                <w:highlight w:val="none"/>
              </w:rPr>
            </w:pPr>
          </w:p>
        </w:tc>
        <w:tc>
          <w:tcPr>
            <w:tcW w:w="880" w:type="dxa"/>
            <w:noWrap/>
            <w:vAlign w:val="center"/>
          </w:tcPr>
          <w:p w14:paraId="75889DF4">
            <w:pPr>
              <w:keepNext/>
              <w:spacing w:line="460" w:lineRule="exact"/>
              <w:ind w:right="63"/>
              <w:rPr>
                <w:rFonts w:ascii="宋体" w:hAnsi="宋体"/>
                <w:color w:val="auto"/>
                <w:kern w:val="0"/>
                <w:sz w:val="24"/>
                <w:szCs w:val="24"/>
                <w:highlight w:val="none"/>
              </w:rPr>
            </w:pPr>
          </w:p>
        </w:tc>
        <w:tc>
          <w:tcPr>
            <w:tcW w:w="1020" w:type="dxa"/>
            <w:noWrap/>
            <w:vAlign w:val="center"/>
          </w:tcPr>
          <w:p w14:paraId="41CA3390">
            <w:pPr>
              <w:keepNext/>
              <w:spacing w:line="460" w:lineRule="exact"/>
              <w:ind w:right="63"/>
              <w:rPr>
                <w:rFonts w:ascii="宋体" w:hAnsi="宋体"/>
                <w:color w:val="auto"/>
                <w:kern w:val="0"/>
                <w:sz w:val="24"/>
                <w:szCs w:val="24"/>
                <w:highlight w:val="none"/>
              </w:rPr>
            </w:pPr>
          </w:p>
        </w:tc>
        <w:tc>
          <w:tcPr>
            <w:tcW w:w="1480" w:type="dxa"/>
            <w:noWrap/>
            <w:vAlign w:val="center"/>
          </w:tcPr>
          <w:p w14:paraId="04B0649B">
            <w:pPr>
              <w:keepNext/>
              <w:spacing w:line="460" w:lineRule="exact"/>
              <w:ind w:right="63"/>
              <w:rPr>
                <w:rFonts w:ascii="宋体" w:hAnsi="宋体"/>
                <w:color w:val="auto"/>
                <w:kern w:val="0"/>
                <w:sz w:val="24"/>
                <w:szCs w:val="24"/>
                <w:highlight w:val="none"/>
              </w:rPr>
            </w:pPr>
          </w:p>
        </w:tc>
        <w:tc>
          <w:tcPr>
            <w:tcW w:w="1020" w:type="dxa"/>
            <w:noWrap/>
            <w:vAlign w:val="center"/>
          </w:tcPr>
          <w:p w14:paraId="049FC888">
            <w:pPr>
              <w:keepNext/>
              <w:spacing w:line="460" w:lineRule="exact"/>
              <w:ind w:right="63"/>
              <w:rPr>
                <w:rFonts w:ascii="宋体" w:hAnsi="宋体"/>
                <w:color w:val="auto"/>
                <w:kern w:val="0"/>
                <w:sz w:val="24"/>
                <w:szCs w:val="24"/>
                <w:highlight w:val="none"/>
              </w:rPr>
            </w:pPr>
          </w:p>
        </w:tc>
        <w:tc>
          <w:tcPr>
            <w:tcW w:w="921" w:type="dxa"/>
            <w:noWrap/>
            <w:vAlign w:val="center"/>
          </w:tcPr>
          <w:p w14:paraId="23082762">
            <w:pPr>
              <w:keepNext/>
              <w:spacing w:line="460" w:lineRule="exact"/>
              <w:ind w:right="63"/>
              <w:rPr>
                <w:rFonts w:ascii="宋体" w:hAnsi="宋体"/>
                <w:color w:val="auto"/>
                <w:kern w:val="0"/>
                <w:sz w:val="24"/>
                <w:szCs w:val="24"/>
                <w:highlight w:val="none"/>
              </w:rPr>
            </w:pPr>
          </w:p>
        </w:tc>
      </w:tr>
      <w:tr w14:paraId="6EA537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6485E00F">
            <w:pPr>
              <w:spacing w:line="460" w:lineRule="exact"/>
              <w:rPr>
                <w:rFonts w:ascii="宋体" w:hAnsi="宋体"/>
                <w:color w:val="auto"/>
                <w:kern w:val="0"/>
                <w:sz w:val="24"/>
                <w:szCs w:val="24"/>
                <w:highlight w:val="none"/>
              </w:rPr>
            </w:pPr>
          </w:p>
        </w:tc>
        <w:tc>
          <w:tcPr>
            <w:tcW w:w="1418" w:type="dxa"/>
            <w:noWrap/>
            <w:vAlign w:val="top"/>
          </w:tcPr>
          <w:p w14:paraId="01B39A99">
            <w:pPr>
              <w:spacing w:line="460" w:lineRule="exact"/>
              <w:rPr>
                <w:rFonts w:ascii="宋体" w:hAnsi="宋体"/>
                <w:color w:val="auto"/>
                <w:kern w:val="0"/>
                <w:sz w:val="24"/>
                <w:szCs w:val="24"/>
                <w:highlight w:val="none"/>
              </w:rPr>
            </w:pPr>
          </w:p>
        </w:tc>
        <w:tc>
          <w:tcPr>
            <w:tcW w:w="850" w:type="dxa"/>
            <w:noWrap/>
            <w:vAlign w:val="top"/>
          </w:tcPr>
          <w:p w14:paraId="0891F06C">
            <w:pPr>
              <w:spacing w:line="460" w:lineRule="exact"/>
              <w:rPr>
                <w:rFonts w:ascii="宋体" w:hAnsi="宋体"/>
                <w:color w:val="auto"/>
                <w:kern w:val="0"/>
                <w:sz w:val="24"/>
                <w:szCs w:val="24"/>
                <w:highlight w:val="none"/>
              </w:rPr>
            </w:pPr>
          </w:p>
        </w:tc>
        <w:tc>
          <w:tcPr>
            <w:tcW w:w="1058" w:type="dxa"/>
            <w:noWrap/>
            <w:vAlign w:val="top"/>
          </w:tcPr>
          <w:p w14:paraId="3012A337">
            <w:pPr>
              <w:spacing w:line="460" w:lineRule="exact"/>
              <w:rPr>
                <w:rFonts w:ascii="宋体" w:hAnsi="宋体"/>
                <w:color w:val="auto"/>
                <w:kern w:val="0"/>
                <w:sz w:val="24"/>
                <w:szCs w:val="24"/>
                <w:highlight w:val="none"/>
              </w:rPr>
            </w:pPr>
          </w:p>
        </w:tc>
        <w:tc>
          <w:tcPr>
            <w:tcW w:w="880" w:type="dxa"/>
            <w:noWrap/>
            <w:vAlign w:val="top"/>
          </w:tcPr>
          <w:p w14:paraId="7ED5968F">
            <w:pPr>
              <w:spacing w:line="460" w:lineRule="exact"/>
              <w:rPr>
                <w:rFonts w:ascii="宋体" w:hAnsi="宋体"/>
                <w:color w:val="auto"/>
                <w:kern w:val="0"/>
                <w:sz w:val="24"/>
                <w:szCs w:val="24"/>
                <w:highlight w:val="none"/>
              </w:rPr>
            </w:pPr>
          </w:p>
        </w:tc>
        <w:tc>
          <w:tcPr>
            <w:tcW w:w="1020" w:type="dxa"/>
            <w:noWrap/>
            <w:vAlign w:val="top"/>
          </w:tcPr>
          <w:p w14:paraId="5F0A39A2">
            <w:pPr>
              <w:spacing w:line="460" w:lineRule="exact"/>
              <w:rPr>
                <w:rFonts w:ascii="宋体" w:hAnsi="宋体"/>
                <w:color w:val="auto"/>
                <w:kern w:val="0"/>
                <w:sz w:val="24"/>
                <w:szCs w:val="24"/>
                <w:highlight w:val="none"/>
              </w:rPr>
            </w:pPr>
          </w:p>
        </w:tc>
        <w:tc>
          <w:tcPr>
            <w:tcW w:w="1480" w:type="dxa"/>
            <w:noWrap/>
            <w:vAlign w:val="top"/>
          </w:tcPr>
          <w:p w14:paraId="0D629354">
            <w:pPr>
              <w:spacing w:line="460" w:lineRule="exact"/>
              <w:rPr>
                <w:rFonts w:ascii="宋体" w:hAnsi="宋体"/>
                <w:color w:val="auto"/>
                <w:kern w:val="0"/>
                <w:sz w:val="24"/>
                <w:szCs w:val="24"/>
                <w:highlight w:val="none"/>
              </w:rPr>
            </w:pPr>
          </w:p>
        </w:tc>
        <w:tc>
          <w:tcPr>
            <w:tcW w:w="1020" w:type="dxa"/>
            <w:noWrap/>
            <w:vAlign w:val="top"/>
          </w:tcPr>
          <w:p w14:paraId="1EFD85C5">
            <w:pPr>
              <w:spacing w:line="460" w:lineRule="exact"/>
              <w:rPr>
                <w:rFonts w:ascii="宋体" w:hAnsi="宋体"/>
                <w:color w:val="auto"/>
                <w:kern w:val="0"/>
                <w:sz w:val="24"/>
                <w:szCs w:val="24"/>
                <w:highlight w:val="none"/>
              </w:rPr>
            </w:pPr>
          </w:p>
        </w:tc>
        <w:tc>
          <w:tcPr>
            <w:tcW w:w="921" w:type="dxa"/>
            <w:noWrap/>
            <w:vAlign w:val="top"/>
          </w:tcPr>
          <w:p w14:paraId="7564DCEB">
            <w:pPr>
              <w:spacing w:line="460" w:lineRule="exact"/>
              <w:rPr>
                <w:rFonts w:ascii="宋体" w:hAnsi="宋体"/>
                <w:color w:val="auto"/>
                <w:kern w:val="0"/>
                <w:sz w:val="24"/>
                <w:szCs w:val="24"/>
                <w:highlight w:val="none"/>
              </w:rPr>
            </w:pPr>
          </w:p>
        </w:tc>
      </w:tr>
      <w:tr w14:paraId="3A11C8F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center"/>
          </w:tcPr>
          <w:p w14:paraId="5556E746">
            <w:pPr>
              <w:keepNext/>
              <w:spacing w:line="460" w:lineRule="exact"/>
              <w:ind w:right="63"/>
              <w:rPr>
                <w:rFonts w:ascii="宋体" w:hAnsi="宋体"/>
                <w:color w:val="auto"/>
                <w:kern w:val="0"/>
                <w:sz w:val="24"/>
                <w:szCs w:val="24"/>
                <w:highlight w:val="none"/>
              </w:rPr>
            </w:pPr>
          </w:p>
        </w:tc>
        <w:tc>
          <w:tcPr>
            <w:tcW w:w="1418" w:type="dxa"/>
            <w:noWrap/>
            <w:vAlign w:val="center"/>
          </w:tcPr>
          <w:p w14:paraId="67B3A657">
            <w:pPr>
              <w:keepNext/>
              <w:spacing w:line="460" w:lineRule="exact"/>
              <w:ind w:right="63"/>
              <w:rPr>
                <w:rFonts w:ascii="宋体" w:hAnsi="宋体"/>
                <w:color w:val="auto"/>
                <w:kern w:val="0"/>
                <w:sz w:val="24"/>
                <w:szCs w:val="24"/>
                <w:highlight w:val="none"/>
              </w:rPr>
            </w:pPr>
          </w:p>
        </w:tc>
        <w:tc>
          <w:tcPr>
            <w:tcW w:w="850" w:type="dxa"/>
            <w:noWrap/>
            <w:vAlign w:val="center"/>
          </w:tcPr>
          <w:p w14:paraId="17588481">
            <w:pPr>
              <w:keepNext/>
              <w:spacing w:line="460" w:lineRule="exact"/>
              <w:ind w:right="63"/>
              <w:rPr>
                <w:rFonts w:ascii="宋体" w:hAnsi="宋体"/>
                <w:color w:val="auto"/>
                <w:kern w:val="0"/>
                <w:sz w:val="24"/>
                <w:szCs w:val="24"/>
                <w:highlight w:val="none"/>
              </w:rPr>
            </w:pPr>
          </w:p>
        </w:tc>
        <w:tc>
          <w:tcPr>
            <w:tcW w:w="1058" w:type="dxa"/>
            <w:noWrap/>
            <w:vAlign w:val="center"/>
          </w:tcPr>
          <w:p w14:paraId="4CF5ED80">
            <w:pPr>
              <w:keepNext/>
              <w:spacing w:line="460" w:lineRule="exact"/>
              <w:ind w:right="63"/>
              <w:rPr>
                <w:rFonts w:ascii="宋体" w:hAnsi="宋体"/>
                <w:color w:val="auto"/>
                <w:kern w:val="0"/>
                <w:sz w:val="24"/>
                <w:szCs w:val="24"/>
                <w:highlight w:val="none"/>
              </w:rPr>
            </w:pPr>
          </w:p>
        </w:tc>
        <w:tc>
          <w:tcPr>
            <w:tcW w:w="880" w:type="dxa"/>
            <w:noWrap/>
            <w:vAlign w:val="center"/>
          </w:tcPr>
          <w:p w14:paraId="307ABE2B">
            <w:pPr>
              <w:keepNext/>
              <w:spacing w:line="460" w:lineRule="exact"/>
              <w:ind w:right="63"/>
              <w:rPr>
                <w:rFonts w:ascii="宋体" w:hAnsi="宋体"/>
                <w:color w:val="auto"/>
                <w:kern w:val="0"/>
                <w:sz w:val="24"/>
                <w:szCs w:val="24"/>
                <w:highlight w:val="none"/>
              </w:rPr>
            </w:pPr>
          </w:p>
        </w:tc>
        <w:tc>
          <w:tcPr>
            <w:tcW w:w="1020" w:type="dxa"/>
            <w:noWrap/>
            <w:vAlign w:val="center"/>
          </w:tcPr>
          <w:p w14:paraId="402ABB1A">
            <w:pPr>
              <w:keepNext/>
              <w:spacing w:line="460" w:lineRule="exact"/>
              <w:ind w:right="63"/>
              <w:rPr>
                <w:rFonts w:ascii="宋体" w:hAnsi="宋体"/>
                <w:color w:val="auto"/>
                <w:kern w:val="0"/>
                <w:sz w:val="24"/>
                <w:szCs w:val="24"/>
                <w:highlight w:val="none"/>
              </w:rPr>
            </w:pPr>
          </w:p>
        </w:tc>
        <w:tc>
          <w:tcPr>
            <w:tcW w:w="1480" w:type="dxa"/>
            <w:noWrap/>
            <w:vAlign w:val="center"/>
          </w:tcPr>
          <w:p w14:paraId="070350C3">
            <w:pPr>
              <w:keepNext/>
              <w:spacing w:line="460" w:lineRule="exact"/>
              <w:ind w:right="63"/>
              <w:rPr>
                <w:rFonts w:ascii="宋体" w:hAnsi="宋体"/>
                <w:color w:val="auto"/>
                <w:kern w:val="0"/>
                <w:sz w:val="24"/>
                <w:szCs w:val="24"/>
                <w:highlight w:val="none"/>
              </w:rPr>
            </w:pPr>
          </w:p>
        </w:tc>
        <w:tc>
          <w:tcPr>
            <w:tcW w:w="1020" w:type="dxa"/>
            <w:noWrap/>
            <w:vAlign w:val="center"/>
          </w:tcPr>
          <w:p w14:paraId="504175E3">
            <w:pPr>
              <w:keepNext/>
              <w:spacing w:line="460" w:lineRule="exact"/>
              <w:ind w:right="63"/>
              <w:rPr>
                <w:rFonts w:ascii="宋体" w:hAnsi="宋体"/>
                <w:color w:val="auto"/>
                <w:kern w:val="0"/>
                <w:sz w:val="24"/>
                <w:szCs w:val="24"/>
                <w:highlight w:val="none"/>
              </w:rPr>
            </w:pPr>
          </w:p>
        </w:tc>
        <w:tc>
          <w:tcPr>
            <w:tcW w:w="921" w:type="dxa"/>
            <w:noWrap/>
            <w:vAlign w:val="center"/>
          </w:tcPr>
          <w:p w14:paraId="69802764">
            <w:pPr>
              <w:keepNext/>
              <w:spacing w:line="460" w:lineRule="exact"/>
              <w:ind w:right="63"/>
              <w:rPr>
                <w:rFonts w:ascii="宋体" w:hAnsi="宋体"/>
                <w:color w:val="auto"/>
                <w:kern w:val="0"/>
                <w:sz w:val="24"/>
                <w:szCs w:val="24"/>
                <w:highlight w:val="none"/>
              </w:rPr>
            </w:pPr>
          </w:p>
        </w:tc>
      </w:tr>
      <w:tr w14:paraId="474B7D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21030A13">
            <w:pPr>
              <w:spacing w:line="460" w:lineRule="exact"/>
              <w:rPr>
                <w:rFonts w:ascii="宋体" w:hAnsi="宋体"/>
                <w:color w:val="auto"/>
                <w:kern w:val="0"/>
                <w:sz w:val="24"/>
                <w:szCs w:val="24"/>
                <w:highlight w:val="none"/>
              </w:rPr>
            </w:pPr>
          </w:p>
        </w:tc>
        <w:tc>
          <w:tcPr>
            <w:tcW w:w="1418" w:type="dxa"/>
            <w:noWrap/>
            <w:vAlign w:val="top"/>
          </w:tcPr>
          <w:p w14:paraId="5B4B68B4">
            <w:pPr>
              <w:spacing w:line="460" w:lineRule="exact"/>
              <w:rPr>
                <w:rFonts w:ascii="宋体" w:hAnsi="宋体"/>
                <w:color w:val="auto"/>
                <w:kern w:val="0"/>
                <w:sz w:val="24"/>
                <w:szCs w:val="24"/>
                <w:highlight w:val="none"/>
              </w:rPr>
            </w:pPr>
          </w:p>
        </w:tc>
        <w:tc>
          <w:tcPr>
            <w:tcW w:w="850" w:type="dxa"/>
            <w:noWrap/>
            <w:vAlign w:val="top"/>
          </w:tcPr>
          <w:p w14:paraId="04587542">
            <w:pPr>
              <w:spacing w:line="460" w:lineRule="exact"/>
              <w:rPr>
                <w:rFonts w:ascii="宋体" w:hAnsi="宋体"/>
                <w:color w:val="auto"/>
                <w:kern w:val="0"/>
                <w:sz w:val="24"/>
                <w:szCs w:val="24"/>
                <w:highlight w:val="none"/>
              </w:rPr>
            </w:pPr>
          </w:p>
        </w:tc>
        <w:tc>
          <w:tcPr>
            <w:tcW w:w="1058" w:type="dxa"/>
            <w:noWrap/>
            <w:vAlign w:val="top"/>
          </w:tcPr>
          <w:p w14:paraId="4AB63321">
            <w:pPr>
              <w:spacing w:line="460" w:lineRule="exact"/>
              <w:rPr>
                <w:rFonts w:ascii="宋体" w:hAnsi="宋体"/>
                <w:color w:val="auto"/>
                <w:kern w:val="0"/>
                <w:sz w:val="24"/>
                <w:szCs w:val="24"/>
                <w:highlight w:val="none"/>
              </w:rPr>
            </w:pPr>
          </w:p>
        </w:tc>
        <w:tc>
          <w:tcPr>
            <w:tcW w:w="880" w:type="dxa"/>
            <w:noWrap/>
            <w:vAlign w:val="top"/>
          </w:tcPr>
          <w:p w14:paraId="1BA40954">
            <w:pPr>
              <w:spacing w:line="460" w:lineRule="exact"/>
              <w:rPr>
                <w:rFonts w:ascii="宋体" w:hAnsi="宋体"/>
                <w:color w:val="auto"/>
                <w:kern w:val="0"/>
                <w:sz w:val="24"/>
                <w:szCs w:val="24"/>
                <w:highlight w:val="none"/>
              </w:rPr>
            </w:pPr>
          </w:p>
        </w:tc>
        <w:tc>
          <w:tcPr>
            <w:tcW w:w="1020" w:type="dxa"/>
            <w:noWrap/>
            <w:vAlign w:val="top"/>
          </w:tcPr>
          <w:p w14:paraId="54C73E1D">
            <w:pPr>
              <w:spacing w:line="460" w:lineRule="exact"/>
              <w:rPr>
                <w:rFonts w:ascii="宋体" w:hAnsi="宋体"/>
                <w:color w:val="auto"/>
                <w:kern w:val="0"/>
                <w:sz w:val="24"/>
                <w:szCs w:val="24"/>
                <w:highlight w:val="none"/>
              </w:rPr>
            </w:pPr>
          </w:p>
        </w:tc>
        <w:tc>
          <w:tcPr>
            <w:tcW w:w="1480" w:type="dxa"/>
            <w:noWrap/>
            <w:vAlign w:val="top"/>
          </w:tcPr>
          <w:p w14:paraId="1BB03D5D">
            <w:pPr>
              <w:spacing w:line="460" w:lineRule="exact"/>
              <w:rPr>
                <w:rFonts w:ascii="宋体" w:hAnsi="宋体"/>
                <w:color w:val="auto"/>
                <w:kern w:val="0"/>
                <w:sz w:val="24"/>
                <w:szCs w:val="24"/>
                <w:highlight w:val="none"/>
              </w:rPr>
            </w:pPr>
          </w:p>
        </w:tc>
        <w:tc>
          <w:tcPr>
            <w:tcW w:w="1020" w:type="dxa"/>
            <w:noWrap/>
            <w:vAlign w:val="top"/>
          </w:tcPr>
          <w:p w14:paraId="5C0C24EC">
            <w:pPr>
              <w:spacing w:line="460" w:lineRule="exact"/>
              <w:rPr>
                <w:rFonts w:ascii="宋体" w:hAnsi="宋体"/>
                <w:color w:val="auto"/>
                <w:kern w:val="0"/>
                <w:sz w:val="24"/>
                <w:szCs w:val="24"/>
                <w:highlight w:val="none"/>
              </w:rPr>
            </w:pPr>
          </w:p>
        </w:tc>
        <w:tc>
          <w:tcPr>
            <w:tcW w:w="921" w:type="dxa"/>
            <w:noWrap/>
            <w:vAlign w:val="top"/>
          </w:tcPr>
          <w:p w14:paraId="717571ED">
            <w:pPr>
              <w:spacing w:line="460" w:lineRule="exact"/>
              <w:rPr>
                <w:rFonts w:ascii="宋体" w:hAnsi="宋体"/>
                <w:color w:val="auto"/>
                <w:kern w:val="0"/>
                <w:sz w:val="24"/>
                <w:szCs w:val="24"/>
                <w:highlight w:val="none"/>
              </w:rPr>
            </w:pPr>
          </w:p>
        </w:tc>
      </w:tr>
      <w:tr w14:paraId="2D6B3B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74D1F437">
            <w:pPr>
              <w:spacing w:line="460" w:lineRule="exact"/>
              <w:rPr>
                <w:rFonts w:ascii="宋体" w:hAnsi="宋体"/>
                <w:color w:val="auto"/>
                <w:kern w:val="0"/>
                <w:sz w:val="24"/>
                <w:szCs w:val="24"/>
                <w:highlight w:val="none"/>
              </w:rPr>
            </w:pPr>
          </w:p>
        </w:tc>
        <w:tc>
          <w:tcPr>
            <w:tcW w:w="1418" w:type="dxa"/>
            <w:noWrap/>
            <w:vAlign w:val="top"/>
          </w:tcPr>
          <w:p w14:paraId="37A9DDDB">
            <w:pPr>
              <w:spacing w:line="460" w:lineRule="exact"/>
              <w:rPr>
                <w:rFonts w:ascii="宋体" w:hAnsi="宋体"/>
                <w:color w:val="auto"/>
                <w:kern w:val="0"/>
                <w:sz w:val="24"/>
                <w:szCs w:val="24"/>
                <w:highlight w:val="none"/>
              </w:rPr>
            </w:pPr>
          </w:p>
        </w:tc>
        <w:tc>
          <w:tcPr>
            <w:tcW w:w="850" w:type="dxa"/>
            <w:noWrap/>
            <w:vAlign w:val="top"/>
          </w:tcPr>
          <w:p w14:paraId="40C10648">
            <w:pPr>
              <w:spacing w:line="460" w:lineRule="exact"/>
              <w:rPr>
                <w:rFonts w:ascii="宋体" w:hAnsi="宋体"/>
                <w:color w:val="auto"/>
                <w:kern w:val="0"/>
                <w:sz w:val="24"/>
                <w:szCs w:val="24"/>
                <w:highlight w:val="none"/>
              </w:rPr>
            </w:pPr>
          </w:p>
        </w:tc>
        <w:tc>
          <w:tcPr>
            <w:tcW w:w="1058" w:type="dxa"/>
            <w:noWrap/>
            <w:vAlign w:val="top"/>
          </w:tcPr>
          <w:p w14:paraId="5E3CC13B">
            <w:pPr>
              <w:spacing w:line="460" w:lineRule="exact"/>
              <w:rPr>
                <w:rFonts w:ascii="宋体" w:hAnsi="宋体"/>
                <w:color w:val="auto"/>
                <w:kern w:val="0"/>
                <w:sz w:val="24"/>
                <w:szCs w:val="24"/>
                <w:highlight w:val="none"/>
              </w:rPr>
            </w:pPr>
          </w:p>
        </w:tc>
        <w:tc>
          <w:tcPr>
            <w:tcW w:w="880" w:type="dxa"/>
            <w:noWrap/>
            <w:vAlign w:val="top"/>
          </w:tcPr>
          <w:p w14:paraId="6688CCC8">
            <w:pPr>
              <w:spacing w:line="460" w:lineRule="exact"/>
              <w:rPr>
                <w:rFonts w:ascii="宋体" w:hAnsi="宋体"/>
                <w:color w:val="auto"/>
                <w:kern w:val="0"/>
                <w:sz w:val="24"/>
                <w:szCs w:val="24"/>
                <w:highlight w:val="none"/>
              </w:rPr>
            </w:pPr>
          </w:p>
        </w:tc>
        <w:tc>
          <w:tcPr>
            <w:tcW w:w="1020" w:type="dxa"/>
            <w:noWrap/>
            <w:vAlign w:val="top"/>
          </w:tcPr>
          <w:p w14:paraId="60BA3D74">
            <w:pPr>
              <w:spacing w:line="460" w:lineRule="exact"/>
              <w:rPr>
                <w:rFonts w:ascii="宋体" w:hAnsi="宋体"/>
                <w:color w:val="auto"/>
                <w:kern w:val="0"/>
                <w:sz w:val="24"/>
                <w:szCs w:val="24"/>
                <w:highlight w:val="none"/>
              </w:rPr>
            </w:pPr>
          </w:p>
        </w:tc>
        <w:tc>
          <w:tcPr>
            <w:tcW w:w="1480" w:type="dxa"/>
            <w:noWrap/>
            <w:vAlign w:val="top"/>
          </w:tcPr>
          <w:p w14:paraId="5A8B96B3">
            <w:pPr>
              <w:spacing w:line="460" w:lineRule="exact"/>
              <w:rPr>
                <w:rFonts w:ascii="宋体" w:hAnsi="宋体"/>
                <w:color w:val="auto"/>
                <w:kern w:val="0"/>
                <w:sz w:val="24"/>
                <w:szCs w:val="24"/>
                <w:highlight w:val="none"/>
              </w:rPr>
            </w:pPr>
          </w:p>
        </w:tc>
        <w:tc>
          <w:tcPr>
            <w:tcW w:w="1020" w:type="dxa"/>
            <w:noWrap/>
            <w:vAlign w:val="top"/>
          </w:tcPr>
          <w:p w14:paraId="5E5FA68E">
            <w:pPr>
              <w:spacing w:line="460" w:lineRule="exact"/>
              <w:rPr>
                <w:rFonts w:ascii="宋体" w:hAnsi="宋体"/>
                <w:color w:val="auto"/>
                <w:kern w:val="0"/>
                <w:sz w:val="24"/>
                <w:szCs w:val="24"/>
                <w:highlight w:val="none"/>
              </w:rPr>
            </w:pPr>
          </w:p>
        </w:tc>
        <w:tc>
          <w:tcPr>
            <w:tcW w:w="921" w:type="dxa"/>
            <w:noWrap/>
            <w:vAlign w:val="top"/>
          </w:tcPr>
          <w:p w14:paraId="74CC6A44">
            <w:pPr>
              <w:spacing w:line="460" w:lineRule="exact"/>
              <w:rPr>
                <w:rFonts w:ascii="宋体" w:hAnsi="宋体"/>
                <w:color w:val="auto"/>
                <w:kern w:val="0"/>
                <w:sz w:val="24"/>
                <w:szCs w:val="24"/>
                <w:highlight w:val="none"/>
              </w:rPr>
            </w:pPr>
          </w:p>
        </w:tc>
      </w:tr>
      <w:tr w14:paraId="509D3D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32EB14B5">
            <w:pPr>
              <w:spacing w:line="460" w:lineRule="exact"/>
              <w:rPr>
                <w:rFonts w:ascii="宋体" w:hAnsi="宋体"/>
                <w:color w:val="auto"/>
                <w:kern w:val="0"/>
                <w:sz w:val="24"/>
                <w:szCs w:val="24"/>
                <w:highlight w:val="none"/>
              </w:rPr>
            </w:pPr>
          </w:p>
        </w:tc>
        <w:tc>
          <w:tcPr>
            <w:tcW w:w="1418" w:type="dxa"/>
            <w:noWrap/>
            <w:vAlign w:val="top"/>
          </w:tcPr>
          <w:p w14:paraId="6A3C4984">
            <w:pPr>
              <w:spacing w:line="460" w:lineRule="exact"/>
              <w:rPr>
                <w:rFonts w:ascii="宋体" w:hAnsi="宋体"/>
                <w:color w:val="auto"/>
                <w:kern w:val="0"/>
                <w:sz w:val="24"/>
                <w:szCs w:val="24"/>
                <w:highlight w:val="none"/>
              </w:rPr>
            </w:pPr>
          </w:p>
        </w:tc>
        <w:tc>
          <w:tcPr>
            <w:tcW w:w="850" w:type="dxa"/>
            <w:noWrap/>
            <w:vAlign w:val="top"/>
          </w:tcPr>
          <w:p w14:paraId="493E3D7E">
            <w:pPr>
              <w:spacing w:line="460" w:lineRule="exact"/>
              <w:rPr>
                <w:rFonts w:ascii="宋体" w:hAnsi="宋体"/>
                <w:color w:val="auto"/>
                <w:kern w:val="0"/>
                <w:sz w:val="24"/>
                <w:szCs w:val="24"/>
                <w:highlight w:val="none"/>
              </w:rPr>
            </w:pPr>
          </w:p>
        </w:tc>
        <w:tc>
          <w:tcPr>
            <w:tcW w:w="1058" w:type="dxa"/>
            <w:noWrap/>
            <w:vAlign w:val="top"/>
          </w:tcPr>
          <w:p w14:paraId="1B62D504">
            <w:pPr>
              <w:spacing w:line="460" w:lineRule="exact"/>
              <w:rPr>
                <w:rFonts w:ascii="宋体" w:hAnsi="宋体"/>
                <w:color w:val="auto"/>
                <w:kern w:val="0"/>
                <w:sz w:val="24"/>
                <w:szCs w:val="24"/>
                <w:highlight w:val="none"/>
              </w:rPr>
            </w:pPr>
          </w:p>
        </w:tc>
        <w:tc>
          <w:tcPr>
            <w:tcW w:w="880" w:type="dxa"/>
            <w:noWrap/>
            <w:vAlign w:val="top"/>
          </w:tcPr>
          <w:p w14:paraId="6221447F">
            <w:pPr>
              <w:spacing w:line="460" w:lineRule="exact"/>
              <w:rPr>
                <w:rFonts w:ascii="宋体" w:hAnsi="宋体"/>
                <w:color w:val="auto"/>
                <w:kern w:val="0"/>
                <w:sz w:val="24"/>
                <w:szCs w:val="24"/>
                <w:highlight w:val="none"/>
              </w:rPr>
            </w:pPr>
          </w:p>
        </w:tc>
        <w:tc>
          <w:tcPr>
            <w:tcW w:w="1020" w:type="dxa"/>
            <w:noWrap/>
            <w:vAlign w:val="top"/>
          </w:tcPr>
          <w:p w14:paraId="51676AEB">
            <w:pPr>
              <w:spacing w:line="460" w:lineRule="exact"/>
              <w:rPr>
                <w:rFonts w:ascii="宋体" w:hAnsi="宋体"/>
                <w:color w:val="auto"/>
                <w:kern w:val="0"/>
                <w:sz w:val="24"/>
                <w:szCs w:val="24"/>
                <w:highlight w:val="none"/>
              </w:rPr>
            </w:pPr>
          </w:p>
        </w:tc>
        <w:tc>
          <w:tcPr>
            <w:tcW w:w="1480" w:type="dxa"/>
            <w:noWrap/>
            <w:vAlign w:val="top"/>
          </w:tcPr>
          <w:p w14:paraId="22124EE1">
            <w:pPr>
              <w:spacing w:line="460" w:lineRule="exact"/>
              <w:rPr>
                <w:rFonts w:ascii="宋体" w:hAnsi="宋体"/>
                <w:color w:val="auto"/>
                <w:kern w:val="0"/>
                <w:sz w:val="24"/>
                <w:szCs w:val="24"/>
                <w:highlight w:val="none"/>
              </w:rPr>
            </w:pPr>
          </w:p>
        </w:tc>
        <w:tc>
          <w:tcPr>
            <w:tcW w:w="1020" w:type="dxa"/>
            <w:noWrap/>
            <w:vAlign w:val="top"/>
          </w:tcPr>
          <w:p w14:paraId="5AE608A2">
            <w:pPr>
              <w:spacing w:line="460" w:lineRule="exact"/>
              <w:rPr>
                <w:rFonts w:ascii="宋体" w:hAnsi="宋体"/>
                <w:color w:val="auto"/>
                <w:kern w:val="0"/>
                <w:sz w:val="24"/>
                <w:szCs w:val="24"/>
                <w:highlight w:val="none"/>
              </w:rPr>
            </w:pPr>
          </w:p>
        </w:tc>
        <w:tc>
          <w:tcPr>
            <w:tcW w:w="921" w:type="dxa"/>
            <w:noWrap/>
            <w:vAlign w:val="top"/>
          </w:tcPr>
          <w:p w14:paraId="3CE7366F">
            <w:pPr>
              <w:spacing w:line="460" w:lineRule="exact"/>
              <w:rPr>
                <w:rFonts w:ascii="宋体" w:hAnsi="宋体"/>
                <w:color w:val="auto"/>
                <w:kern w:val="0"/>
                <w:sz w:val="24"/>
                <w:szCs w:val="24"/>
                <w:highlight w:val="none"/>
              </w:rPr>
            </w:pPr>
          </w:p>
        </w:tc>
      </w:tr>
      <w:tr w14:paraId="7306C4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03D18369">
            <w:pPr>
              <w:spacing w:line="460" w:lineRule="exact"/>
              <w:rPr>
                <w:rFonts w:ascii="宋体" w:hAnsi="宋体"/>
                <w:color w:val="auto"/>
                <w:kern w:val="0"/>
                <w:sz w:val="24"/>
                <w:szCs w:val="24"/>
                <w:highlight w:val="none"/>
              </w:rPr>
            </w:pPr>
          </w:p>
        </w:tc>
        <w:tc>
          <w:tcPr>
            <w:tcW w:w="1418" w:type="dxa"/>
            <w:noWrap/>
            <w:vAlign w:val="top"/>
          </w:tcPr>
          <w:p w14:paraId="6C47CBD6">
            <w:pPr>
              <w:spacing w:line="460" w:lineRule="exact"/>
              <w:rPr>
                <w:rFonts w:ascii="宋体" w:hAnsi="宋体"/>
                <w:color w:val="auto"/>
                <w:kern w:val="0"/>
                <w:sz w:val="24"/>
                <w:szCs w:val="24"/>
                <w:highlight w:val="none"/>
              </w:rPr>
            </w:pPr>
          </w:p>
        </w:tc>
        <w:tc>
          <w:tcPr>
            <w:tcW w:w="850" w:type="dxa"/>
            <w:noWrap/>
            <w:vAlign w:val="top"/>
          </w:tcPr>
          <w:p w14:paraId="5AB79EEA">
            <w:pPr>
              <w:spacing w:line="460" w:lineRule="exact"/>
              <w:rPr>
                <w:rFonts w:ascii="宋体" w:hAnsi="宋体"/>
                <w:color w:val="auto"/>
                <w:kern w:val="0"/>
                <w:sz w:val="24"/>
                <w:szCs w:val="24"/>
                <w:highlight w:val="none"/>
              </w:rPr>
            </w:pPr>
          </w:p>
        </w:tc>
        <w:tc>
          <w:tcPr>
            <w:tcW w:w="1058" w:type="dxa"/>
            <w:noWrap/>
            <w:vAlign w:val="top"/>
          </w:tcPr>
          <w:p w14:paraId="44E4A773">
            <w:pPr>
              <w:spacing w:line="460" w:lineRule="exact"/>
              <w:rPr>
                <w:rFonts w:ascii="宋体" w:hAnsi="宋体"/>
                <w:color w:val="auto"/>
                <w:kern w:val="0"/>
                <w:sz w:val="24"/>
                <w:szCs w:val="24"/>
                <w:highlight w:val="none"/>
              </w:rPr>
            </w:pPr>
          </w:p>
        </w:tc>
        <w:tc>
          <w:tcPr>
            <w:tcW w:w="880" w:type="dxa"/>
            <w:noWrap/>
            <w:vAlign w:val="top"/>
          </w:tcPr>
          <w:p w14:paraId="2F0B7432">
            <w:pPr>
              <w:spacing w:line="460" w:lineRule="exact"/>
              <w:rPr>
                <w:rFonts w:ascii="宋体" w:hAnsi="宋体"/>
                <w:color w:val="auto"/>
                <w:kern w:val="0"/>
                <w:sz w:val="24"/>
                <w:szCs w:val="24"/>
                <w:highlight w:val="none"/>
              </w:rPr>
            </w:pPr>
          </w:p>
        </w:tc>
        <w:tc>
          <w:tcPr>
            <w:tcW w:w="1020" w:type="dxa"/>
            <w:noWrap/>
            <w:vAlign w:val="top"/>
          </w:tcPr>
          <w:p w14:paraId="069C5AB8">
            <w:pPr>
              <w:spacing w:line="460" w:lineRule="exact"/>
              <w:rPr>
                <w:rFonts w:ascii="宋体" w:hAnsi="宋体"/>
                <w:color w:val="auto"/>
                <w:kern w:val="0"/>
                <w:sz w:val="24"/>
                <w:szCs w:val="24"/>
                <w:highlight w:val="none"/>
              </w:rPr>
            </w:pPr>
          </w:p>
        </w:tc>
        <w:tc>
          <w:tcPr>
            <w:tcW w:w="1480" w:type="dxa"/>
            <w:noWrap/>
            <w:vAlign w:val="top"/>
          </w:tcPr>
          <w:p w14:paraId="59C663BB">
            <w:pPr>
              <w:spacing w:line="460" w:lineRule="exact"/>
              <w:rPr>
                <w:rFonts w:ascii="宋体" w:hAnsi="宋体"/>
                <w:color w:val="auto"/>
                <w:kern w:val="0"/>
                <w:sz w:val="24"/>
                <w:szCs w:val="24"/>
                <w:highlight w:val="none"/>
              </w:rPr>
            </w:pPr>
          </w:p>
        </w:tc>
        <w:tc>
          <w:tcPr>
            <w:tcW w:w="1020" w:type="dxa"/>
            <w:noWrap/>
            <w:vAlign w:val="top"/>
          </w:tcPr>
          <w:p w14:paraId="2FC81024">
            <w:pPr>
              <w:spacing w:line="460" w:lineRule="exact"/>
              <w:rPr>
                <w:rFonts w:ascii="宋体" w:hAnsi="宋体"/>
                <w:color w:val="auto"/>
                <w:kern w:val="0"/>
                <w:sz w:val="24"/>
                <w:szCs w:val="24"/>
                <w:highlight w:val="none"/>
              </w:rPr>
            </w:pPr>
          </w:p>
        </w:tc>
        <w:tc>
          <w:tcPr>
            <w:tcW w:w="921" w:type="dxa"/>
            <w:noWrap/>
            <w:vAlign w:val="top"/>
          </w:tcPr>
          <w:p w14:paraId="359FC08F">
            <w:pPr>
              <w:spacing w:line="460" w:lineRule="exact"/>
              <w:rPr>
                <w:rFonts w:ascii="宋体" w:hAnsi="宋体"/>
                <w:color w:val="auto"/>
                <w:kern w:val="0"/>
                <w:sz w:val="24"/>
                <w:szCs w:val="24"/>
                <w:highlight w:val="none"/>
              </w:rPr>
            </w:pPr>
          </w:p>
        </w:tc>
      </w:tr>
      <w:tr w14:paraId="1BED5A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521C5F59">
            <w:pPr>
              <w:spacing w:line="460" w:lineRule="exact"/>
              <w:rPr>
                <w:rFonts w:ascii="宋体" w:hAnsi="宋体"/>
                <w:color w:val="auto"/>
                <w:kern w:val="0"/>
                <w:sz w:val="24"/>
                <w:szCs w:val="24"/>
                <w:highlight w:val="none"/>
              </w:rPr>
            </w:pPr>
          </w:p>
        </w:tc>
        <w:tc>
          <w:tcPr>
            <w:tcW w:w="1418" w:type="dxa"/>
            <w:noWrap/>
            <w:vAlign w:val="top"/>
          </w:tcPr>
          <w:p w14:paraId="61EE73D0">
            <w:pPr>
              <w:spacing w:line="460" w:lineRule="exact"/>
              <w:rPr>
                <w:rFonts w:ascii="宋体" w:hAnsi="宋体"/>
                <w:color w:val="auto"/>
                <w:kern w:val="0"/>
                <w:sz w:val="24"/>
                <w:szCs w:val="24"/>
                <w:highlight w:val="none"/>
              </w:rPr>
            </w:pPr>
          </w:p>
        </w:tc>
        <w:tc>
          <w:tcPr>
            <w:tcW w:w="850" w:type="dxa"/>
            <w:noWrap/>
            <w:vAlign w:val="top"/>
          </w:tcPr>
          <w:p w14:paraId="5A8B0761">
            <w:pPr>
              <w:spacing w:line="460" w:lineRule="exact"/>
              <w:rPr>
                <w:rFonts w:ascii="宋体" w:hAnsi="宋体"/>
                <w:color w:val="auto"/>
                <w:kern w:val="0"/>
                <w:sz w:val="24"/>
                <w:szCs w:val="24"/>
                <w:highlight w:val="none"/>
              </w:rPr>
            </w:pPr>
          </w:p>
        </w:tc>
        <w:tc>
          <w:tcPr>
            <w:tcW w:w="1058" w:type="dxa"/>
            <w:noWrap/>
            <w:vAlign w:val="top"/>
          </w:tcPr>
          <w:p w14:paraId="4021FB37">
            <w:pPr>
              <w:spacing w:line="460" w:lineRule="exact"/>
              <w:rPr>
                <w:rFonts w:ascii="宋体" w:hAnsi="宋体"/>
                <w:color w:val="auto"/>
                <w:kern w:val="0"/>
                <w:sz w:val="24"/>
                <w:szCs w:val="24"/>
                <w:highlight w:val="none"/>
              </w:rPr>
            </w:pPr>
          </w:p>
        </w:tc>
        <w:tc>
          <w:tcPr>
            <w:tcW w:w="880" w:type="dxa"/>
            <w:noWrap/>
            <w:vAlign w:val="top"/>
          </w:tcPr>
          <w:p w14:paraId="34C8B24A">
            <w:pPr>
              <w:spacing w:line="460" w:lineRule="exact"/>
              <w:rPr>
                <w:rFonts w:ascii="宋体" w:hAnsi="宋体"/>
                <w:color w:val="auto"/>
                <w:kern w:val="0"/>
                <w:sz w:val="24"/>
                <w:szCs w:val="24"/>
                <w:highlight w:val="none"/>
              </w:rPr>
            </w:pPr>
          </w:p>
        </w:tc>
        <w:tc>
          <w:tcPr>
            <w:tcW w:w="1020" w:type="dxa"/>
            <w:noWrap/>
            <w:vAlign w:val="top"/>
          </w:tcPr>
          <w:p w14:paraId="68A887D5">
            <w:pPr>
              <w:spacing w:line="460" w:lineRule="exact"/>
              <w:rPr>
                <w:rFonts w:ascii="宋体" w:hAnsi="宋体"/>
                <w:color w:val="auto"/>
                <w:kern w:val="0"/>
                <w:sz w:val="24"/>
                <w:szCs w:val="24"/>
                <w:highlight w:val="none"/>
              </w:rPr>
            </w:pPr>
          </w:p>
        </w:tc>
        <w:tc>
          <w:tcPr>
            <w:tcW w:w="1480" w:type="dxa"/>
            <w:noWrap/>
            <w:vAlign w:val="top"/>
          </w:tcPr>
          <w:p w14:paraId="6BA297C4">
            <w:pPr>
              <w:spacing w:line="460" w:lineRule="exact"/>
              <w:rPr>
                <w:rFonts w:ascii="宋体" w:hAnsi="宋体"/>
                <w:color w:val="auto"/>
                <w:kern w:val="0"/>
                <w:sz w:val="24"/>
                <w:szCs w:val="24"/>
                <w:highlight w:val="none"/>
              </w:rPr>
            </w:pPr>
          </w:p>
        </w:tc>
        <w:tc>
          <w:tcPr>
            <w:tcW w:w="1020" w:type="dxa"/>
            <w:noWrap/>
            <w:vAlign w:val="top"/>
          </w:tcPr>
          <w:p w14:paraId="0B487649">
            <w:pPr>
              <w:spacing w:line="460" w:lineRule="exact"/>
              <w:rPr>
                <w:rFonts w:ascii="宋体" w:hAnsi="宋体"/>
                <w:color w:val="auto"/>
                <w:kern w:val="0"/>
                <w:sz w:val="24"/>
                <w:szCs w:val="24"/>
                <w:highlight w:val="none"/>
              </w:rPr>
            </w:pPr>
          </w:p>
        </w:tc>
        <w:tc>
          <w:tcPr>
            <w:tcW w:w="921" w:type="dxa"/>
            <w:noWrap/>
            <w:vAlign w:val="top"/>
          </w:tcPr>
          <w:p w14:paraId="3868193C">
            <w:pPr>
              <w:spacing w:line="460" w:lineRule="exact"/>
              <w:rPr>
                <w:rFonts w:ascii="宋体" w:hAnsi="宋体"/>
                <w:color w:val="auto"/>
                <w:kern w:val="0"/>
                <w:sz w:val="24"/>
                <w:szCs w:val="24"/>
                <w:highlight w:val="none"/>
              </w:rPr>
            </w:pPr>
          </w:p>
        </w:tc>
      </w:tr>
      <w:tr w14:paraId="637D09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52ADD6D1">
            <w:pPr>
              <w:spacing w:line="460" w:lineRule="exact"/>
              <w:rPr>
                <w:rFonts w:ascii="宋体" w:hAnsi="宋体"/>
                <w:color w:val="auto"/>
                <w:kern w:val="0"/>
                <w:sz w:val="24"/>
                <w:szCs w:val="24"/>
                <w:highlight w:val="none"/>
              </w:rPr>
            </w:pPr>
          </w:p>
        </w:tc>
        <w:tc>
          <w:tcPr>
            <w:tcW w:w="1418" w:type="dxa"/>
            <w:noWrap/>
            <w:vAlign w:val="top"/>
          </w:tcPr>
          <w:p w14:paraId="73F23F53">
            <w:pPr>
              <w:spacing w:line="460" w:lineRule="exact"/>
              <w:rPr>
                <w:rFonts w:ascii="宋体" w:hAnsi="宋体"/>
                <w:color w:val="auto"/>
                <w:kern w:val="0"/>
                <w:sz w:val="24"/>
                <w:szCs w:val="24"/>
                <w:highlight w:val="none"/>
              </w:rPr>
            </w:pPr>
          </w:p>
        </w:tc>
        <w:tc>
          <w:tcPr>
            <w:tcW w:w="850" w:type="dxa"/>
            <w:noWrap/>
            <w:vAlign w:val="top"/>
          </w:tcPr>
          <w:p w14:paraId="5265A43E">
            <w:pPr>
              <w:spacing w:line="460" w:lineRule="exact"/>
              <w:rPr>
                <w:rFonts w:ascii="宋体" w:hAnsi="宋体"/>
                <w:color w:val="auto"/>
                <w:kern w:val="0"/>
                <w:sz w:val="24"/>
                <w:szCs w:val="24"/>
                <w:highlight w:val="none"/>
              </w:rPr>
            </w:pPr>
          </w:p>
        </w:tc>
        <w:tc>
          <w:tcPr>
            <w:tcW w:w="1058" w:type="dxa"/>
            <w:noWrap/>
            <w:vAlign w:val="top"/>
          </w:tcPr>
          <w:p w14:paraId="3E0EC348">
            <w:pPr>
              <w:spacing w:line="460" w:lineRule="exact"/>
              <w:rPr>
                <w:rFonts w:ascii="宋体" w:hAnsi="宋体"/>
                <w:color w:val="auto"/>
                <w:kern w:val="0"/>
                <w:sz w:val="24"/>
                <w:szCs w:val="24"/>
                <w:highlight w:val="none"/>
              </w:rPr>
            </w:pPr>
          </w:p>
        </w:tc>
        <w:tc>
          <w:tcPr>
            <w:tcW w:w="880" w:type="dxa"/>
            <w:noWrap/>
            <w:vAlign w:val="top"/>
          </w:tcPr>
          <w:p w14:paraId="36BE844A">
            <w:pPr>
              <w:spacing w:line="460" w:lineRule="exact"/>
              <w:rPr>
                <w:rFonts w:ascii="宋体" w:hAnsi="宋体"/>
                <w:color w:val="auto"/>
                <w:kern w:val="0"/>
                <w:sz w:val="24"/>
                <w:szCs w:val="24"/>
                <w:highlight w:val="none"/>
              </w:rPr>
            </w:pPr>
          </w:p>
        </w:tc>
        <w:tc>
          <w:tcPr>
            <w:tcW w:w="1020" w:type="dxa"/>
            <w:noWrap/>
            <w:vAlign w:val="top"/>
          </w:tcPr>
          <w:p w14:paraId="36CBAF28">
            <w:pPr>
              <w:spacing w:line="460" w:lineRule="exact"/>
              <w:rPr>
                <w:rFonts w:ascii="宋体" w:hAnsi="宋体"/>
                <w:color w:val="auto"/>
                <w:kern w:val="0"/>
                <w:sz w:val="24"/>
                <w:szCs w:val="24"/>
                <w:highlight w:val="none"/>
              </w:rPr>
            </w:pPr>
          </w:p>
        </w:tc>
        <w:tc>
          <w:tcPr>
            <w:tcW w:w="1480" w:type="dxa"/>
            <w:noWrap/>
            <w:vAlign w:val="top"/>
          </w:tcPr>
          <w:p w14:paraId="4340D1F2">
            <w:pPr>
              <w:spacing w:line="460" w:lineRule="exact"/>
              <w:rPr>
                <w:rFonts w:ascii="宋体" w:hAnsi="宋体"/>
                <w:color w:val="auto"/>
                <w:kern w:val="0"/>
                <w:sz w:val="24"/>
                <w:szCs w:val="24"/>
                <w:highlight w:val="none"/>
              </w:rPr>
            </w:pPr>
          </w:p>
        </w:tc>
        <w:tc>
          <w:tcPr>
            <w:tcW w:w="1020" w:type="dxa"/>
            <w:noWrap/>
            <w:vAlign w:val="top"/>
          </w:tcPr>
          <w:p w14:paraId="4E6A2F72">
            <w:pPr>
              <w:spacing w:line="460" w:lineRule="exact"/>
              <w:rPr>
                <w:rFonts w:ascii="宋体" w:hAnsi="宋体"/>
                <w:color w:val="auto"/>
                <w:kern w:val="0"/>
                <w:sz w:val="24"/>
                <w:szCs w:val="24"/>
                <w:highlight w:val="none"/>
              </w:rPr>
            </w:pPr>
          </w:p>
        </w:tc>
        <w:tc>
          <w:tcPr>
            <w:tcW w:w="921" w:type="dxa"/>
            <w:noWrap/>
            <w:vAlign w:val="top"/>
          </w:tcPr>
          <w:p w14:paraId="38F510FA">
            <w:pPr>
              <w:spacing w:line="460" w:lineRule="exact"/>
              <w:rPr>
                <w:rFonts w:ascii="宋体" w:hAnsi="宋体"/>
                <w:color w:val="auto"/>
                <w:kern w:val="0"/>
                <w:sz w:val="24"/>
                <w:szCs w:val="24"/>
                <w:highlight w:val="none"/>
              </w:rPr>
            </w:pPr>
          </w:p>
        </w:tc>
      </w:tr>
      <w:tr w14:paraId="172B634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7611EF78">
            <w:pPr>
              <w:spacing w:line="460" w:lineRule="exact"/>
              <w:rPr>
                <w:rFonts w:ascii="宋体" w:hAnsi="宋体"/>
                <w:color w:val="auto"/>
                <w:kern w:val="0"/>
                <w:sz w:val="24"/>
                <w:szCs w:val="24"/>
                <w:highlight w:val="none"/>
              </w:rPr>
            </w:pPr>
          </w:p>
        </w:tc>
        <w:tc>
          <w:tcPr>
            <w:tcW w:w="1418" w:type="dxa"/>
            <w:noWrap/>
            <w:vAlign w:val="top"/>
          </w:tcPr>
          <w:p w14:paraId="1B323812">
            <w:pPr>
              <w:spacing w:line="460" w:lineRule="exact"/>
              <w:rPr>
                <w:rFonts w:ascii="宋体" w:hAnsi="宋体"/>
                <w:color w:val="auto"/>
                <w:kern w:val="0"/>
                <w:sz w:val="24"/>
                <w:szCs w:val="24"/>
                <w:highlight w:val="none"/>
              </w:rPr>
            </w:pPr>
          </w:p>
        </w:tc>
        <w:tc>
          <w:tcPr>
            <w:tcW w:w="850" w:type="dxa"/>
            <w:noWrap/>
            <w:vAlign w:val="top"/>
          </w:tcPr>
          <w:p w14:paraId="6D1F5E9E">
            <w:pPr>
              <w:spacing w:line="460" w:lineRule="exact"/>
              <w:rPr>
                <w:rFonts w:ascii="宋体" w:hAnsi="宋体"/>
                <w:color w:val="auto"/>
                <w:kern w:val="0"/>
                <w:sz w:val="24"/>
                <w:szCs w:val="24"/>
                <w:highlight w:val="none"/>
              </w:rPr>
            </w:pPr>
          </w:p>
        </w:tc>
        <w:tc>
          <w:tcPr>
            <w:tcW w:w="1058" w:type="dxa"/>
            <w:noWrap/>
            <w:vAlign w:val="top"/>
          </w:tcPr>
          <w:p w14:paraId="5734598B">
            <w:pPr>
              <w:spacing w:line="460" w:lineRule="exact"/>
              <w:rPr>
                <w:rFonts w:ascii="宋体" w:hAnsi="宋体"/>
                <w:color w:val="auto"/>
                <w:kern w:val="0"/>
                <w:sz w:val="24"/>
                <w:szCs w:val="24"/>
                <w:highlight w:val="none"/>
              </w:rPr>
            </w:pPr>
          </w:p>
        </w:tc>
        <w:tc>
          <w:tcPr>
            <w:tcW w:w="880" w:type="dxa"/>
            <w:noWrap/>
            <w:vAlign w:val="top"/>
          </w:tcPr>
          <w:p w14:paraId="459DDBD9">
            <w:pPr>
              <w:spacing w:line="460" w:lineRule="exact"/>
              <w:rPr>
                <w:rFonts w:ascii="宋体" w:hAnsi="宋体"/>
                <w:color w:val="auto"/>
                <w:kern w:val="0"/>
                <w:sz w:val="24"/>
                <w:szCs w:val="24"/>
                <w:highlight w:val="none"/>
              </w:rPr>
            </w:pPr>
          </w:p>
        </w:tc>
        <w:tc>
          <w:tcPr>
            <w:tcW w:w="1020" w:type="dxa"/>
            <w:noWrap/>
            <w:vAlign w:val="top"/>
          </w:tcPr>
          <w:p w14:paraId="2C3CFEF1">
            <w:pPr>
              <w:spacing w:line="460" w:lineRule="exact"/>
              <w:rPr>
                <w:rFonts w:ascii="宋体" w:hAnsi="宋体"/>
                <w:color w:val="auto"/>
                <w:kern w:val="0"/>
                <w:sz w:val="24"/>
                <w:szCs w:val="24"/>
                <w:highlight w:val="none"/>
              </w:rPr>
            </w:pPr>
          </w:p>
        </w:tc>
        <w:tc>
          <w:tcPr>
            <w:tcW w:w="1480" w:type="dxa"/>
            <w:noWrap/>
            <w:vAlign w:val="top"/>
          </w:tcPr>
          <w:p w14:paraId="3FCC9106">
            <w:pPr>
              <w:spacing w:line="460" w:lineRule="exact"/>
              <w:rPr>
                <w:rFonts w:ascii="宋体" w:hAnsi="宋体"/>
                <w:color w:val="auto"/>
                <w:kern w:val="0"/>
                <w:sz w:val="24"/>
                <w:szCs w:val="24"/>
                <w:highlight w:val="none"/>
              </w:rPr>
            </w:pPr>
          </w:p>
        </w:tc>
        <w:tc>
          <w:tcPr>
            <w:tcW w:w="1020" w:type="dxa"/>
            <w:noWrap/>
            <w:vAlign w:val="top"/>
          </w:tcPr>
          <w:p w14:paraId="476F1F62">
            <w:pPr>
              <w:spacing w:line="460" w:lineRule="exact"/>
              <w:rPr>
                <w:rFonts w:ascii="宋体" w:hAnsi="宋体"/>
                <w:color w:val="auto"/>
                <w:kern w:val="0"/>
                <w:sz w:val="24"/>
                <w:szCs w:val="24"/>
                <w:highlight w:val="none"/>
              </w:rPr>
            </w:pPr>
          </w:p>
        </w:tc>
        <w:tc>
          <w:tcPr>
            <w:tcW w:w="921" w:type="dxa"/>
            <w:noWrap/>
            <w:vAlign w:val="top"/>
          </w:tcPr>
          <w:p w14:paraId="1E783004">
            <w:pPr>
              <w:spacing w:line="460" w:lineRule="exact"/>
              <w:rPr>
                <w:rFonts w:ascii="宋体" w:hAnsi="宋体"/>
                <w:color w:val="auto"/>
                <w:kern w:val="0"/>
                <w:sz w:val="24"/>
                <w:szCs w:val="24"/>
                <w:highlight w:val="none"/>
              </w:rPr>
            </w:pPr>
          </w:p>
        </w:tc>
      </w:tr>
      <w:tr w14:paraId="3633F0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62" w:type="dxa"/>
            <w:noWrap/>
            <w:vAlign w:val="top"/>
          </w:tcPr>
          <w:p w14:paraId="1995FFBE">
            <w:pPr>
              <w:spacing w:line="460" w:lineRule="exact"/>
              <w:rPr>
                <w:rFonts w:ascii="宋体" w:hAnsi="宋体"/>
                <w:color w:val="auto"/>
                <w:kern w:val="0"/>
                <w:sz w:val="24"/>
                <w:szCs w:val="24"/>
                <w:highlight w:val="none"/>
              </w:rPr>
            </w:pPr>
          </w:p>
        </w:tc>
        <w:tc>
          <w:tcPr>
            <w:tcW w:w="1418" w:type="dxa"/>
            <w:noWrap/>
            <w:vAlign w:val="top"/>
          </w:tcPr>
          <w:p w14:paraId="11C9F4CC">
            <w:pPr>
              <w:spacing w:line="460" w:lineRule="exact"/>
              <w:rPr>
                <w:rFonts w:ascii="宋体" w:hAnsi="宋体"/>
                <w:color w:val="auto"/>
                <w:kern w:val="0"/>
                <w:sz w:val="24"/>
                <w:szCs w:val="24"/>
                <w:highlight w:val="none"/>
              </w:rPr>
            </w:pPr>
          </w:p>
        </w:tc>
        <w:tc>
          <w:tcPr>
            <w:tcW w:w="850" w:type="dxa"/>
            <w:noWrap/>
            <w:vAlign w:val="top"/>
          </w:tcPr>
          <w:p w14:paraId="5FD65985">
            <w:pPr>
              <w:spacing w:line="460" w:lineRule="exact"/>
              <w:rPr>
                <w:rFonts w:ascii="宋体" w:hAnsi="宋体"/>
                <w:color w:val="auto"/>
                <w:kern w:val="0"/>
                <w:sz w:val="24"/>
                <w:szCs w:val="24"/>
                <w:highlight w:val="none"/>
              </w:rPr>
            </w:pPr>
          </w:p>
        </w:tc>
        <w:tc>
          <w:tcPr>
            <w:tcW w:w="1058" w:type="dxa"/>
            <w:noWrap/>
            <w:vAlign w:val="top"/>
          </w:tcPr>
          <w:p w14:paraId="6D70CAC5">
            <w:pPr>
              <w:spacing w:line="460" w:lineRule="exact"/>
              <w:rPr>
                <w:rFonts w:ascii="宋体" w:hAnsi="宋体"/>
                <w:color w:val="auto"/>
                <w:kern w:val="0"/>
                <w:sz w:val="24"/>
                <w:szCs w:val="24"/>
                <w:highlight w:val="none"/>
              </w:rPr>
            </w:pPr>
          </w:p>
        </w:tc>
        <w:tc>
          <w:tcPr>
            <w:tcW w:w="880" w:type="dxa"/>
            <w:noWrap/>
            <w:vAlign w:val="top"/>
          </w:tcPr>
          <w:p w14:paraId="293EF36B">
            <w:pPr>
              <w:spacing w:line="460" w:lineRule="exact"/>
              <w:rPr>
                <w:rFonts w:ascii="宋体" w:hAnsi="宋体"/>
                <w:color w:val="auto"/>
                <w:kern w:val="0"/>
                <w:sz w:val="24"/>
                <w:szCs w:val="24"/>
                <w:highlight w:val="none"/>
              </w:rPr>
            </w:pPr>
          </w:p>
        </w:tc>
        <w:tc>
          <w:tcPr>
            <w:tcW w:w="1020" w:type="dxa"/>
            <w:noWrap/>
            <w:vAlign w:val="top"/>
          </w:tcPr>
          <w:p w14:paraId="49D25D97">
            <w:pPr>
              <w:spacing w:line="460" w:lineRule="exact"/>
              <w:rPr>
                <w:rFonts w:ascii="宋体" w:hAnsi="宋体"/>
                <w:color w:val="auto"/>
                <w:kern w:val="0"/>
                <w:sz w:val="24"/>
                <w:szCs w:val="24"/>
                <w:highlight w:val="none"/>
              </w:rPr>
            </w:pPr>
          </w:p>
        </w:tc>
        <w:tc>
          <w:tcPr>
            <w:tcW w:w="1480" w:type="dxa"/>
            <w:noWrap/>
            <w:vAlign w:val="top"/>
          </w:tcPr>
          <w:p w14:paraId="0BFDE63B">
            <w:pPr>
              <w:spacing w:line="460" w:lineRule="exact"/>
              <w:rPr>
                <w:rFonts w:ascii="宋体" w:hAnsi="宋体"/>
                <w:color w:val="auto"/>
                <w:kern w:val="0"/>
                <w:sz w:val="24"/>
                <w:szCs w:val="24"/>
                <w:highlight w:val="none"/>
              </w:rPr>
            </w:pPr>
          </w:p>
        </w:tc>
        <w:tc>
          <w:tcPr>
            <w:tcW w:w="1020" w:type="dxa"/>
            <w:noWrap/>
            <w:vAlign w:val="top"/>
          </w:tcPr>
          <w:p w14:paraId="41CE069E">
            <w:pPr>
              <w:spacing w:line="460" w:lineRule="exact"/>
              <w:rPr>
                <w:rFonts w:ascii="宋体" w:hAnsi="宋体"/>
                <w:color w:val="auto"/>
                <w:kern w:val="0"/>
                <w:sz w:val="24"/>
                <w:szCs w:val="24"/>
                <w:highlight w:val="none"/>
              </w:rPr>
            </w:pPr>
          </w:p>
        </w:tc>
        <w:tc>
          <w:tcPr>
            <w:tcW w:w="921" w:type="dxa"/>
            <w:noWrap/>
            <w:vAlign w:val="top"/>
          </w:tcPr>
          <w:p w14:paraId="7EDBB288">
            <w:pPr>
              <w:spacing w:line="460" w:lineRule="exact"/>
              <w:rPr>
                <w:rFonts w:ascii="宋体" w:hAnsi="宋体"/>
                <w:color w:val="auto"/>
                <w:kern w:val="0"/>
                <w:sz w:val="24"/>
                <w:szCs w:val="24"/>
                <w:highlight w:val="none"/>
              </w:rPr>
            </w:pPr>
          </w:p>
        </w:tc>
      </w:tr>
    </w:tbl>
    <w:p w14:paraId="5DD8B30C">
      <w:pPr>
        <w:spacing w:line="460" w:lineRule="exact"/>
        <w:rPr>
          <w:rFonts w:ascii="宋体" w:hAnsi="宋体"/>
          <w:color w:val="auto"/>
          <w:kern w:val="0"/>
          <w:sz w:val="24"/>
          <w:szCs w:val="24"/>
          <w:highlight w:val="none"/>
        </w:rPr>
      </w:pPr>
    </w:p>
    <w:p w14:paraId="67FE2551">
      <w:pPr>
        <w:spacing w:line="360" w:lineRule="auto"/>
        <w:rPr>
          <w:rFonts w:ascii="宋体" w:hAnsi="宋体"/>
          <w:color w:val="auto"/>
          <w:kern w:val="0"/>
          <w:sz w:val="24"/>
          <w:szCs w:val="24"/>
          <w:highlight w:val="none"/>
        </w:rPr>
      </w:pPr>
      <w:r>
        <w:rPr>
          <w:rFonts w:ascii="宋体" w:hAnsi="宋体"/>
          <w:color w:val="auto"/>
          <w:kern w:val="0"/>
          <w:sz w:val="24"/>
          <w:szCs w:val="24"/>
          <w:highlight w:val="none"/>
        </w:rPr>
        <w:br w:type="page" w:clear="all"/>
      </w:r>
      <w:r>
        <w:rPr>
          <w:rFonts w:hint="eastAsia" w:ascii="宋体" w:hAnsi="宋体"/>
          <w:color w:val="auto"/>
          <w:kern w:val="0"/>
          <w:sz w:val="24"/>
          <w:szCs w:val="24"/>
          <w:highlight w:val="none"/>
        </w:rPr>
        <w:t>附件</w:t>
      </w:r>
      <w:r>
        <w:rPr>
          <w:rFonts w:ascii="宋体" w:hAnsi="宋体"/>
          <w:color w:val="auto"/>
          <w:kern w:val="0"/>
          <w:sz w:val="24"/>
          <w:szCs w:val="24"/>
          <w:highlight w:val="none"/>
        </w:rPr>
        <w:t>5</w:t>
      </w:r>
      <w:r>
        <w:rPr>
          <w:rFonts w:hint="eastAsia" w:ascii="宋体" w:hAnsi="宋体"/>
          <w:color w:val="auto"/>
          <w:kern w:val="0"/>
          <w:sz w:val="24"/>
          <w:szCs w:val="24"/>
          <w:highlight w:val="none"/>
        </w:rPr>
        <w:t>：</w:t>
      </w:r>
    </w:p>
    <w:p w14:paraId="2D82C758">
      <w:pPr>
        <w:spacing w:before="120" w:after="120" w:line="360" w:lineRule="auto"/>
        <w:jc w:val="center"/>
        <w:rPr>
          <w:rFonts w:ascii="宋体" w:hAnsi="宋体"/>
          <w:b/>
          <w:color w:val="auto"/>
          <w:kern w:val="0"/>
          <w:sz w:val="32"/>
          <w:szCs w:val="32"/>
          <w:highlight w:val="none"/>
        </w:rPr>
      </w:pPr>
      <w:r>
        <w:rPr>
          <w:rFonts w:hint="eastAsia" w:ascii="宋体" w:hAnsi="宋体"/>
          <w:b/>
          <w:color w:val="auto"/>
          <w:kern w:val="0"/>
          <w:sz w:val="32"/>
          <w:szCs w:val="32"/>
          <w:highlight w:val="none"/>
        </w:rPr>
        <w:t>承包人主要施工管理人员表</w:t>
      </w:r>
    </w:p>
    <w:tbl>
      <w:tblPr>
        <w:tblStyle w:val="5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843"/>
        <w:gridCol w:w="1418"/>
        <w:gridCol w:w="1134"/>
        <w:gridCol w:w="1134"/>
        <w:gridCol w:w="4252"/>
      </w:tblGrid>
      <w:tr w14:paraId="6DADE2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843" w:type="dxa"/>
            <w:noWrap/>
            <w:vAlign w:val="center"/>
          </w:tcPr>
          <w:p w14:paraId="34A5BF06">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名称</w:t>
            </w:r>
          </w:p>
        </w:tc>
        <w:tc>
          <w:tcPr>
            <w:tcW w:w="1418" w:type="dxa"/>
            <w:noWrap/>
            <w:vAlign w:val="center"/>
          </w:tcPr>
          <w:p w14:paraId="566A8122">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姓名</w:t>
            </w:r>
          </w:p>
        </w:tc>
        <w:tc>
          <w:tcPr>
            <w:tcW w:w="1134" w:type="dxa"/>
            <w:noWrap/>
            <w:vAlign w:val="center"/>
          </w:tcPr>
          <w:p w14:paraId="7024C0AB">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职务</w:t>
            </w:r>
          </w:p>
        </w:tc>
        <w:tc>
          <w:tcPr>
            <w:tcW w:w="1134" w:type="dxa"/>
            <w:noWrap/>
            <w:vAlign w:val="center"/>
          </w:tcPr>
          <w:p w14:paraId="61E9E091">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职称</w:t>
            </w:r>
          </w:p>
        </w:tc>
        <w:tc>
          <w:tcPr>
            <w:tcW w:w="4252" w:type="dxa"/>
            <w:noWrap/>
            <w:vAlign w:val="center"/>
          </w:tcPr>
          <w:p w14:paraId="21E587CF">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主要资历、经验及承担过的项目</w:t>
            </w:r>
          </w:p>
        </w:tc>
      </w:tr>
      <w:tr w14:paraId="6C4A12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781" w:type="dxa"/>
            <w:gridSpan w:val="5"/>
            <w:noWrap/>
            <w:vAlign w:val="center"/>
          </w:tcPr>
          <w:p w14:paraId="068FE518">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一、总部人员</w:t>
            </w:r>
          </w:p>
        </w:tc>
      </w:tr>
      <w:tr w14:paraId="3F2023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7E279CBD">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项目主管</w:t>
            </w:r>
          </w:p>
        </w:tc>
        <w:tc>
          <w:tcPr>
            <w:tcW w:w="1418" w:type="dxa"/>
            <w:noWrap/>
            <w:vAlign w:val="center"/>
          </w:tcPr>
          <w:p w14:paraId="00826ED9">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4257149D">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48C5F710">
            <w:pPr>
              <w:keepNext/>
              <w:spacing w:line="360" w:lineRule="auto"/>
              <w:ind w:right="63"/>
              <w:rPr>
                <w:rFonts w:ascii="宋体" w:hAnsi="宋体"/>
                <w:color w:val="auto"/>
                <w:kern w:val="0"/>
                <w:sz w:val="24"/>
                <w:szCs w:val="24"/>
                <w:highlight w:val="none"/>
              </w:rPr>
            </w:pPr>
          </w:p>
        </w:tc>
        <w:tc>
          <w:tcPr>
            <w:tcW w:w="4252" w:type="dxa"/>
            <w:noWrap/>
            <w:vAlign w:val="center"/>
          </w:tcPr>
          <w:p w14:paraId="6B0DDDEE">
            <w:pPr>
              <w:keepNext/>
              <w:spacing w:line="360" w:lineRule="auto"/>
              <w:ind w:right="63"/>
              <w:rPr>
                <w:rFonts w:ascii="宋体" w:hAnsi="宋体"/>
                <w:color w:val="auto"/>
                <w:kern w:val="0"/>
                <w:sz w:val="24"/>
                <w:szCs w:val="24"/>
                <w:highlight w:val="none"/>
              </w:rPr>
            </w:pPr>
          </w:p>
        </w:tc>
      </w:tr>
      <w:tr w14:paraId="75E45F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restart"/>
            <w:noWrap/>
            <w:vAlign w:val="center"/>
          </w:tcPr>
          <w:p w14:paraId="07E55ECA">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其他人员</w:t>
            </w:r>
          </w:p>
        </w:tc>
        <w:tc>
          <w:tcPr>
            <w:tcW w:w="1418" w:type="dxa"/>
            <w:noWrap/>
            <w:vAlign w:val="center"/>
          </w:tcPr>
          <w:p w14:paraId="7C879A8C">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9EB5C04">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5A32B537">
            <w:pPr>
              <w:keepNext/>
              <w:spacing w:line="360" w:lineRule="auto"/>
              <w:ind w:right="63"/>
              <w:rPr>
                <w:rFonts w:ascii="宋体" w:hAnsi="宋体"/>
                <w:color w:val="auto"/>
                <w:kern w:val="0"/>
                <w:sz w:val="24"/>
                <w:szCs w:val="24"/>
                <w:highlight w:val="none"/>
              </w:rPr>
            </w:pPr>
          </w:p>
        </w:tc>
        <w:tc>
          <w:tcPr>
            <w:tcW w:w="4252" w:type="dxa"/>
            <w:noWrap/>
            <w:vAlign w:val="center"/>
          </w:tcPr>
          <w:p w14:paraId="08671D05">
            <w:pPr>
              <w:keepNext/>
              <w:spacing w:line="360" w:lineRule="auto"/>
              <w:ind w:right="63"/>
              <w:rPr>
                <w:rFonts w:ascii="宋体" w:hAnsi="宋体"/>
                <w:color w:val="auto"/>
                <w:kern w:val="0"/>
                <w:sz w:val="24"/>
                <w:szCs w:val="24"/>
                <w:highlight w:val="none"/>
              </w:rPr>
            </w:pPr>
          </w:p>
        </w:tc>
      </w:tr>
      <w:tr w14:paraId="222D7CA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7F166E27">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25E16873">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7FEACE52">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482BF331">
            <w:pPr>
              <w:keepNext/>
              <w:spacing w:line="360" w:lineRule="auto"/>
              <w:ind w:right="63"/>
              <w:rPr>
                <w:rFonts w:ascii="宋体" w:hAnsi="宋体"/>
                <w:color w:val="auto"/>
                <w:kern w:val="0"/>
                <w:sz w:val="24"/>
                <w:szCs w:val="24"/>
                <w:highlight w:val="none"/>
              </w:rPr>
            </w:pPr>
          </w:p>
        </w:tc>
        <w:tc>
          <w:tcPr>
            <w:tcW w:w="4252" w:type="dxa"/>
            <w:noWrap/>
            <w:vAlign w:val="center"/>
          </w:tcPr>
          <w:p w14:paraId="42AE1FEC">
            <w:pPr>
              <w:keepNext/>
              <w:spacing w:line="360" w:lineRule="auto"/>
              <w:ind w:right="63"/>
              <w:rPr>
                <w:rFonts w:ascii="宋体" w:hAnsi="宋体"/>
                <w:color w:val="auto"/>
                <w:kern w:val="0"/>
                <w:sz w:val="24"/>
                <w:szCs w:val="24"/>
                <w:highlight w:val="none"/>
              </w:rPr>
            </w:pPr>
          </w:p>
        </w:tc>
      </w:tr>
      <w:tr w14:paraId="3BE929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630DC75E">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0444EDE1">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5EF9780A">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504116FD">
            <w:pPr>
              <w:keepNext/>
              <w:spacing w:line="360" w:lineRule="auto"/>
              <w:ind w:right="63"/>
              <w:rPr>
                <w:rFonts w:ascii="宋体" w:hAnsi="宋体"/>
                <w:color w:val="auto"/>
                <w:kern w:val="0"/>
                <w:sz w:val="24"/>
                <w:szCs w:val="24"/>
                <w:highlight w:val="none"/>
              </w:rPr>
            </w:pPr>
          </w:p>
        </w:tc>
        <w:tc>
          <w:tcPr>
            <w:tcW w:w="4252" w:type="dxa"/>
            <w:noWrap/>
            <w:vAlign w:val="center"/>
          </w:tcPr>
          <w:p w14:paraId="77ECF461">
            <w:pPr>
              <w:keepNext/>
              <w:spacing w:line="360" w:lineRule="auto"/>
              <w:ind w:right="63"/>
              <w:rPr>
                <w:rFonts w:ascii="宋体" w:hAnsi="宋体"/>
                <w:color w:val="auto"/>
                <w:kern w:val="0"/>
                <w:sz w:val="24"/>
                <w:szCs w:val="24"/>
                <w:highlight w:val="none"/>
              </w:rPr>
            </w:pPr>
          </w:p>
        </w:tc>
      </w:tr>
      <w:tr w14:paraId="02F038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781" w:type="dxa"/>
            <w:gridSpan w:val="5"/>
            <w:noWrap/>
            <w:vAlign w:val="center"/>
          </w:tcPr>
          <w:p w14:paraId="29F4684E">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二、现场人员</w:t>
            </w:r>
          </w:p>
        </w:tc>
      </w:tr>
      <w:tr w14:paraId="111843B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40A7E952">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项目经理</w:t>
            </w:r>
          </w:p>
        </w:tc>
        <w:tc>
          <w:tcPr>
            <w:tcW w:w="1418" w:type="dxa"/>
            <w:noWrap/>
            <w:vAlign w:val="center"/>
          </w:tcPr>
          <w:p w14:paraId="48B12E91">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6F082F25">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6150E17B">
            <w:pPr>
              <w:keepNext/>
              <w:spacing w:line="360" w:lineRule="auto"/>
              <w:ind w:right="63"/>
              <w:rPr>
                <w:rFonts w:ascii="宋体" w:hAnsi="宋体"/>
                <w:color w:val="auto"/>
                <w:kern w:val="0"/>
                <w:sz w:val="24"/>
                <w:szCs w:val="24"/>
                <w:highlight w:val="none"/>
              </w:rPr>
            </w:pPr>
          </w:p>
        </w:tc>
        <w:tc>
          <w:tcPr>
            <w:tcW w:w="4252" w:type="dxa"/>
            <w:noWrap/>
            <w:vAlign w:val="center"/>
          </w:tcPr>
          <w:p w14:paraId="27F40805">
            <w:pPr>
              <w:keepNext/>
              <w:spacing w:line="360" w:lineRule="auto"/>
              <w:ind w:right="63"/>
              <w:rPr>
                <w:rFonts w:ascii="宋体" w:hAnsi="宋体"/>
                <w:color w:val="auto"/>
                <w:kern w:val="0"/>
                <w:sz w:val="24"/>
                <w:szCs w:val="24"/>
                <w:highlight w:val="none"/>
              </w:rPr>
            </w:pPr>
          </w:p>
        </w:tc>
      </w:tr>
      <w:tr w14:paraId="6EB5B7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655E6AF1">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项目副经理</w:t>
            </w:r>
          </w:p>
        </w:tc>
        <w:tc>
          <w:tcPr>
            <w:tcW w:w="1418" w:type="dxa"/>
            <w:noWrap/>
            <w:vAlign w:val="center"/>
          </w:tcPr>
          <w:p w14:paraId="5CE3B126">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7D81C25C">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F11CA22">
            <w:pPr>
              <w:keepNext/>
              <w:spacing w:line="360" w:lineRule="auto"/>
              <w:ind w:right="63"/>
              <w:rPr>
                <w:rFonts w:ascii="宋体" w:hAnsi="宋体"/>
                <w:color w:val="auto"/>
                <w:kern w:val="0"/>
                <w:sz w:val="24"/>
                <w:szCs w:val="24"/>
                <w:highlight w:val="none"/>
              </w:rPr>
            </w:pPr>
          </w:p>
        </w:tc>
        <w:tc>
          <w:tcPr>
            <w:tcW w:w="4252" w:type="dxa"/>
            <w:noWrap/>
            <w:vAlign w:val="center"/>
          </w:tcPr>
          <w:p w14:paraId="1129AE37">
            <w:pPr>
              <w:keepNext/>
              <w:spacing w:line="360" w:lineRule="auto"/>
              <w:ind w:right="63"/>
              <w:rPr>
                <w:rFonts w:ascii="宋体" w:hAnsi="宋体"/>
                <w:color w:val="auto"/>
                <w:kern w:val="0"/>
                <w:sz w:val="24"/>
                <w:szCs w:val="24"/>
                <w:highlight w:val="none"/>
              </w:rPr>
            </w:pPr>
          </w:p>
        </w:tc>
      </w:tr>
      <w:tr w14:paraId="382DE0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1AA2F27A">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技术负责人</w:t>
            </w:r>
          </w:p>
        </w:tc>
        <w:tc>
          <w:tcPr>
            <w:tcW w:w="1418" w:type="dxa"/>
            <w:noWrap/>
            <w:vAlign w:val="center"/>
          </w:tcPr>
          <w:p w14:paraId="4D36E52F">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03A6C5D8">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4E5A3577">
            <w:pPr>
              <w:keepNext/>
              <w:spacing w:line="360" w:lineRule="auto"/>
              <w:ind w:right="63"/>
              <w:rPr>
                <w:rFonts w:ascii="宋体" w:hAnsi="宋体"/>
                <w:color w:val="auto"/>
                <w:kern w:val="0"/>
                <w:sz w:val="24"/>
                <w:szCs w:val="24"/>
                <w:highlight w:val="none"/>
              </w:rPr>
            </w:pPr>
          </w:p>
        </w:tc>
        <w:tc>
          <w:tcPr>
            <w:tcW w:w="4252" w:type="dxa"/>
            <w:noWrap/>
            <w:vAlign w:val="center"/>
          </w:tcPr>
          <w:p w14:paraId="2B471B85">
            <w:pPr>
              <w:keepNext/>
              <w:spacing w:line="360" w:lineRule="auto"/>
              <w:ind w:right="63"/>
              <w:rPr>
                <w:rFonts w:ascii="宋体" w:hAnsi="宋体"/>
                <w:color w:val="auto"/>
                <w:kern w:val="0"/>
                <w:sz w:val="24"/>
                <w:szCs w:val="24"/>
                <w:highlight w:val="none"/>
              </w:rPr>
            </w:pPr>
          </w:p>
        </w:tc>
      </w:tr>
      <w:tr w14:paraId="755C35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67C82B6E">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造价管理</w:t>
            </w:r>
          </w:p>
        </w:tc>
        <w:tc>
          <w:tcPr>
            <w:tcW w:w="1418" w:type="dxa"/>
            <w:noWrap/>
            <w:vAlign w:val="center"/>
          </w:tcPr>
          <w:p w14:paraId="78BFAB70">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6A88804A">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586A5D98">
            <w:pPr>
              <w:keepNext/>
              <w:spacing w:line="360" w:lineRule="auto"/>
              <w:ind w:right="63"/>
              <w:rPr>
                <w:rFonts w:ascii="宋体" w:hAnsi="宋体"/>
                <w:color w:val="auto"/>
                <w:kern w:val="0"/>
                <w:sz w:val="24"/>
                <w:szCs w:val="24"/>
                <w:highlight w:val="none"/>
              </w:rPr>
            </w:pPr>
          </w:p>
        </w:tc>
        <w:tc>
          <w:tcPr>
            <w:tcW w:w="4252" w:type="dxa"/>
            <w:noWrap/>
            <w:vAlign w:val="center"/>
          </w:tcPr>
          <w:p w14:paraId="42F13899">
            <w:pPr>
              <w:keepNext/>
              <w:spacing w:line="360" w:lineRule="auto"/>
              <w:ind w:right="63"/>
              <w:rPr>
                <w:rFonts w:ascii="宋体" w:hAnsi="宋体"/>
                <w:color w:val="auto"/>
                <w:kern w:val="0"/>
                <w:sz w:val="24"/>
                <w:szCs w:val="24"/>
                <w:highlight w:val="none"/>
              </w:rPr>
            </w:pPr>
          </w:p>
        </w:tc>
      </w:tr>
      <w:tr w14:paraId="18CEDB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5353E7CB">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质量管理</w:t>
            </w:r>
          </w:p>
        </w:tc>
        <w:tc>
          <w:tcPr>
            <w:tcW w:w="1418" w:type="dxa"/>
            <w:noWrap/>
            <w:vAlign w:val="center"/>
          </w:tcPr>
          <w:p w14:paraId="0877E277">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715C0DF0">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60BACA14">
            <w:pPr>
              <w:keepNext/>
              <w:spacing w:line="360" w:lineRule="auto"/>
              <w:ind w:right="63"/>
              <w:rPr>
                <w:rFonts w:ascii="宋体" w:hAnsi="宋体"/>
                <w:color w:val="auto"/>
                <w:kern w:val="0"/>
                <w:sz w:val="24"/>
                <w:szCs w:val="24"/>
                <w:highlight w:val="none"/>
              </w:rPr>
            </w:pPr>
          </w:p>
        </w:tc>
        <w:tc>
          <w:tcPr>
            <w:tcW w:w="4252" w:type="dxa"/>
            <w:noWrap/>
            <w:vAlign w:val="center"/>
          </w:tcPr>
          <w:p w14:paraId="7955FA54">
            <w:pPr>
              <w:keepNext/>
              <w:spacing w:line="360" w:lineRule="auto"/>
              <w:ind w:right="63"/>
              <w:rPr>
                <w:rFonts w:ascii="宋体" w:hAnsi="宋体"/>
                <w:color w:val="auto"/>
                <w:kern w:val="0"/>
                <w:sz w:val="24"/>
                <w:szCs w:val="24"/>
                <w:highlight w:val="none"/>
              </w:rPr>
            </w:pPr>
          </w:p>
        </w:tc>
      </w:tr>
      <w:tr w14:paraId="29AE0E6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3696CA82">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材料管理</w:t>
            </w:r>
          </w:p>
        </w:tc>
        <w:tc>
          <w:tcPr>
            <w:tcW w:w="1418" w:type="dxa"/>
            <w:noWrap/>
            <w:vAlign w:val="center"/>
          </w:tcPr>
          <w:p w14:paraId="0FE94E5F">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3DFBF37">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076A0887">
            <w:pPr>
              <w:keepNext/>
              <w:spacing w:line="360" w:lineRule="auto"/>
              <w:ind w:right="63"/>
              <w:rPr>
                <w:rFonts w:ascii="宋体" w:hAnsi="宋体"/>
                <w:color w:val="auto"/>
                <w:kern w:val="0"/>
                <w:sz w:val="24"/>
                <w:szCs w:val="24"/>
                <w:highlight w:val="none"/>
              </w:rPr>
            </w:pPr>
          </w:p>
        </w:tc>
        <w:tc>
          <w:tcPr>
            <w:tcW w:w="4252" w:type="dxa"/>
            <w:noWrap/>
            <w:vAlign w:val="center"/>
          </w:tcPr>
          <w:p w14:paraId="62525717">
            <w:pPr>
              <w:keepNext/>
              <w:spacing w:line="360" w:lineRule="auto"/>
              <w:ind w:right="63"/>
              <w:rPr>
                <w:rFonts w:ascii="宋体" w:hAnsi="宋体"/>
                <w:color w:val="auto"/>
                <w:kern w:val="0"/>
                <w:sz w:val="24"/>
                <w:szCs w:val="24"/>
                <w:highlight w:val="none"/>
              </w:rPr>
            </w:pPr>
          </w:p>
        </w:tc>
      </w:tr>
      <w:tr w14:paraId="0A9BEF8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7C952A2B">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计划管理</w:t>
            </w:r>
          </w:p>
        </w:tc>
        <w:tc>
          <w:tcPr>
            <w:tcW w:w="1418" w:type="dxa"/>
            <w:noWrap/>
            <w:vAlign w:val="center"/>
          </w:tcPr>
          <w:p w14:paraId="029A1CF0">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1F13FA6">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4F692485">
            <w:pPr>
              <w:keepNext/>
              <w:spacing w:line="360" w:lineRule="auto"/>
              <w:ind w:right="63"/>
              <w:rPr>
                <w:rFonts w:ascii="宋体" w:hAnsi="宋体"/>
                <w:color w:val="auto"/>
                <w:kern w:val="0"/>
                <w:sz w:val="24"/>
                <w:szCs w:val="24"/>
                <w:highlight w:val="none"/>
              </w:rPr>
            </w:pPr>
          </w:p>
        </w:tc>
        <w:tc>
          <w:tcPr>
            <w:tcW w:w="4252" w:type="dxa"/>
            <w:noWrap/>
            <w:vAlign w:val="center"/>
          </w:tcPr>
          <w:p w14:paraId="35A8881A">
            <w:pPr>
              <w:keepNext/>
              <w:spacing w:line="360" w:lineRule="auto"/>
              <w:ind w:right="63"/>
              <w:rPr>
                <w:rFonts w:ascii="宋体" w:hAnsi="宋体"/>
                <w:color w:val="auto"/>
                <w:kern w:val="0"/>
                <w:sz w:val="24"/>
                <w:szCs w:val="24"/>
                <w:highlight w:val="none"/>
              </w:rPr>
            </w:pPr>
          </w:p>
        </w:tc>
      </w:tr>
      <w:tr w14:paraId="2050BB4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noWrap/>
            <w:vAlign w:val="center"/>
          </w:tcPr>
          <w:p w14:paraId="67C97828">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安全管理</w:t>
            </w:r>
          </w:p>
        </w:tc>
        <w:tc>
          <w:tcPr>
            <w:tcW w:w="1418" w:type="dxa"/>
            <w:noWrap/>
            <w:vAlign w:val="center"/>
          </w:tcPr>
          <w:p w14:paraId="64DDCE3F">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558126F7">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630766C5">
            <w:pPr>
              <w:keepNext/>
              <w:spacing w:line="360" w:lineRule="auto"/>
              <w:ind w:right="63"/>
              <w:rPr>
                <w:rFonts w:ascii="宋体" w:hAnsi="宋体"/>
                <w:color w:val="auto"/>
                <w:kern w:val="0"/>
                <w:sz w:val="24"/>
                <w:szCs w:val="24"/>
                <w:highlight w:val="none"/>
              </w:rPr>
            </w:pPr>
          </w:p>
        </w:tc>
        <w:tc>
          <w:tcPr>
            <w:tcW w:w="4252" w:type="dxa"/>
            <w:noWrap/>
            <w:vAlign w:val="center"/>
          </w:tcPr>
          <w:p w14:paraId="3B33EAB8">
            <w:pPr>
              <w:keepNext/>
              <w:spacing w:line="360" w:lineRule="auto"/>
              <w:ind w:right="63"/>
              <w:rPr>
                <w:rFonts w:ascii="宋体" w:hAnsi="宋体"/>
                <w:color w:val="auto"/>
                <w:kern w:val="0"/>
                <w:sz w:val="24"/>
                <w:szCs w:val="24"/>
                <w:highlight w:val="none"/>
              </w:rPr>
            </w:pPr>
          </w:p>
        </w:tc>
      </w:tr>
      <w:tr w14:paraId="38E1E88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restart"/>
            <w:noWrap/>
            <w:vAlign w:val="center"/>
          </w:tcPr>
          <w:p w14:paraId="2FD20278">
            <w:pPr>
              <w:keepNext/>
              <w:spacing w:line="360" w:lineRule="auto"/>
              <w:ind w:right="63"/>
              <w:jc w:val="center"/>
              <w:rPr>
                <w:rFonts w:ascii="宋体" w:hAnsi="宋体"/>
                <w:color w:val="auto"/>
                <w:kern w:val="0"/>
                <w:sz w:val="24"/>
                <w:szCs w:val="24"/>
                <w:highlight w:val="none"/>
              </w:rPr>
            </w:pPr>
            <w:r>
              <w:rPr>
                <w:rFonts w:hint="eastAsia" w:ascii="宋体" w:hAnsi="宋体"/>
                <w:color w:val="auto"/>
                <w:kern w:val="0"/>
                <w:sz w:val="24"/>
                <w:szCs w:val="24"/>
                <w:highlight w:val="none"/>
              </w:rPr>
              <w:t>其他人员</w:t>
            </w:r>
          </w:p>
        </w:tc>
        <w:tc>
          <w:tcPr>
            <w:tcW w:w="1418" w:type="dxa"/>
            <w:noWrap/>
            <w:vAlign w:val="center"/>
          </w:tcPr>
          <w:p w14:paraId="3BF03898">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7596F2E7">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03FE4408">
            <w:pPr>
              <w:keepNext/>
              <w:spacing w:line="360" w:lineRule="auto"/>
              <w:ind w:right="63"/>
              <w:rPr>
                <w:rFonts w:ascii="宋体" w:hAnsi="宋体"/>
                <w:color w:val="auto"/>
                <w:kern w:val="0"/>
                <w:sz w:val="24"/>
                <w:szCs w:val="24"/>
                <w:highlight w:val="none"/>
              </w:rPr>
            </w:pPr>
          </w:p>
        </w:tc>
        <w:tc>
          <w:tcPr>
            <w:tcW w:w="4252" w:type="dxa"/>
            <w:noWrap/>
            <w:vAlign w:val="center"/>
          </w:tcPr>
          <w:p w14:paraId="2ECEF29C">
            <w:pPr>
              <w:keepNext/>
              <w:spacing w:line="360" w:lineRule="auto"/>
              <w:ind w:right="63"/>
              <w:rPr>
                <w:rFonts w:ascii="宋体" w:hAnsi="宋体"/>
                <w:color w:val="auto"/>
                <w:kern w:val="0"/>
                <w:sz w:val="24"/>
                <w:szCs w:val="24"/>
                <w:highlight w:val="none"/>
              </w:rPr>
            </w:pPr>
          </w:p>
        </w:tc>
      </w:tr>
      <w:tr w14:paraId="16983E9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5043139B">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7085B44C">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41357670">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C001362">
            <w:pPr>
              <w:keepNext/>
              <w:spacing w:line="360" w:lineRule="auto"/>
              <w:ind w:right="63"/>
              <w:rPr>
                <w:rFonts w:ascii="宋体" w:hAnsi="宋体"/>
                <w:color w:val="auto"/>
                <w:kern w:val="0"/>
                <w:sz w:val="24"/>
                <w:szCs w:val="24"/>
                <w:highlight w:val="none"/>
              </w:rPr>
            </w:pPr>
          </w:p>
        </w:tc>
        <w:tc>
          <w:tcPr>
            <w:tcW w:w="4252" w:type="dxa"/>
            <w:noWrap/>
            <w:vAlign w:val="center"/>
          </w:tcPr>
          <w:p w14:paraId="3FC74CEC">
            <w:pPr>
              <w:keepNext/>
              <w:spacing w:line="360" w:lineRule="auto"/>
              <w:ind w:right="63"/>
              <w:rPr>
                <w:rFonts w:ascii="宋体" w:hAnsi="宋体"/>
                <w:color w:val="auto"/>
                <w:kern w:val="0"/>
                <w:sz w:val="24"/>
                <w:szCs w:val="24"/>
                <w:highlight w:val="none"/>
              </w:rPr>
            </w:pPr>
          </w:p>
        </w:tc>
      </w:tr>
      <w:tr w14:paraId="76F777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5AF2104E">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482186A6">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68502C50">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00C644F3">
            <w:pPr>
              <w:keepNext/>
              <w:spacing w:line="360" w:lineRule="auto"/>
              <w:ind w:right="63"/>
              <w:rPr>
                <w:rFonts w:ascii="宋体" w:hAnsi="宋体"/>
                <w:color w:val="auto"/>
                <w:kern w:val="0"/>
                <w:sz w:val="24"/>
                <w:szCs w:val="24"/>
                <w:highlight w:val="none"/>
              </w:rPr>
            </w:pPr>
          </w:p>
        </w:tc>
        <w:tc>
          <w:tcPr>
            <w:tcW w:w="4252" w:type="dxa"/>
            <w:noWrap/>
            <w:vAlign w:val="center"/>
          </w:tcPr>
          <w:p w14:paraId="04A3B22C">
            <w:pPr>
              <w:keepNext/>
              <w:spacing w:line="360" w:lineRule="auto"/>
              <w:ind w:right="63"/>
              <w:rPr>
                <w:rFonts w:ascii="宋体" w:hAnsi="宋体"/>
                <w:color w:val="auto"/>
                <w:kern w:val="0"/>
                <w:sz w:val="24"/>
                <w:szCs w:val="24"/>
                <w:highlight w:val="none"/>
              </w:rPr>
            </w:pPr>
          </w:p>
        </w:tc>
      </w:tr>
      <w:tr w14:paraId="2933E4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63706DBC">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71471D32">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3AAE3FA">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076FE497">
            <w:pPr>
              <w:keepNext/>
              <w:spacing w:line="360" w:lineRule="auto"/>
              <w:ind w:right="63"/>
              <w:rPr>
                <w:rFonts w:ascii="宋体" w:hAnsi="宋体"/>
                <w:color w:val="auto"/>
                <w:kern w:val="0"/>
                <w:sz w:val="24"/>
                <w:szCs w:val="24"/>
                <w:highlight w:val="none"/>
              </w:rPr>
            </w:pPr>
          </w:p>
        </w:tc>
        <w:tc>
          <w:tcPr>
            <w:tcW w:w="4252" w:type="dxa"/>
            <w:noWrap/>
            <w:vAlign w:val="center"/>
          </w:tcPr>
          <w:p w14:paraId="022F40B9">
            <w:pPr>
              <w:keepNext/>
              <w:spacing w:line="360" w:lineRule="auto"/>
              <w:ind w:right="63"/>
              <w:rPr>
                <w:rFonts w:ascii="宋体" w:hAnsi="宋体"/>
                <w:color w:val="auto"/>
                <w:kern w:val="0"/>
                <w:sz w:val="24"/>
                <w:szCs w:val="24"/>
                <w:highlight w:val="none"/>
              </w:rPr>
            </w:pPr>
          </w:p>
        </w:tc>
      </w:tr>
      <w:tr w14:paraId="4B9C03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6AAC5A2F">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78AF0054">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18F13503">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5F5B6FDD">
            <w:pPr>
              <w:keepNext/>
              <w:spacing w:line="360" w:lineRule="auto"/>
              <w:ind w:right="63"/>
              <w:rPr>
                <w:rFonts w:ascii="宋体" w:hAnsi="宋体"/>
                <w:color w:val="auto"/>
                <w:kern w:val="0"/>
                <w:sz w:val="24"/>
                <w:szCs w:val="24"/>
                <w:highlight w:val="none"/>
              </w:rPr>
            </w:pPr>
          </w:p>
        </w:tc>
        <w:tc>
          <w:tcPr>
            <w:tcW w:w="4252" w:type="dxa"/>
            <w:noWrap/>
            <w:vAlign w:val="center"/>
          </w:tcPr>
          <w:p w14:paraId="7F9FE65C">
            <w:pPr>
              <w:keepNext/>
              <w:spacing w:line="360" w:lineRule="auto"/>
              <w:ind w:right="63"/>
              <w:rPr>
                <w:rFonts w:ascii="宋体" w:hAnsi="宋体"/>
                <w:color w:val="auto"/>
                <w:kern w:val="0"/>
                <w:sz w:val="24"/>
                <w:szCs w:val="24"/>
                <w:highlight w:val="none"/>
              </w:rPr>
            </w:pPr>
          </w:p>
        </w:tc>
      </w:tr>
      <w:tr w14:paraId="35EAFBE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1843" w:type="dxa"/>
            <w:vMerge w:val="continue"/>
            <w:noWrap/>
            <w:vAlign w:val="center"/>
          </w:tcPr>
          <w:p w14:paraId="40F7A115">
            <w:pPr>
              <w:keepNext/>
              <w:numPr>
                <w:ilvl w:val="0"/>
                <w:numId w:val="4"/>
              </w:numPr>
              <w:spacing w:line="360" w:lineRule="auto"/>
              <w:ind w:right="63"/>
              <w:jc w:val="center"/>
              <w:rPr>
                <w:rFonts w:ascii="宋体" w:hAnsi="宋体"/>
                <w:color w:val="auto"/>
                <w:kern w:val="0"/>
                <w:sz w:val="24"/>
                <w:szCs w:val="24"/>
                <w:highlight w:val="none"/>
              </w:rPr>
            </w:pPr>
          </w:p>
        </w:tc>
        <w:tc>
          <w:tcPr>
            <w:tcW w:w="1418" w:type="dxa"/>
            <w:noWrap/>
            <w:vAlign w:val="center"/>
          </w:tcPr>
          <w:p w14:paraId="6DD2ECAA">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7E7AA8BA">
            <w:pPr>
              <w:keepNext/>
              <w:spacing w:line="360" w:lineRule="auto"/>
              <w:ind w:right="63"/>
              <w:jc w:val="center"/>
              <w:rPr>
                <w:rFonts w:ascii="宋体" w:hAnsi="宋体"/>
                <w:color w:val="auto"/>
                <w:kern w:val="0"/>
                <w:sz w:val="24"/>
                <w:szCs w:val="24"/>
                <w:highlight w:val="none"/>
              </w:rPr>
            </w:pPr>
          </w:p>
        </w:tc>
        <w:tc>
          <w:tcPr>
            <w:tcW w:w="1134" w:type="dxa"/>
            <w:noWrap/>
            <w:vAlign w:val="center"/>
          </w:tcPr>
          <w:p w14:paraId="31E32D41">
            <w:pPr>
              <w:keepNext/>
              <w:spacing w:line="360" w:lineRule="auto"/>
              <w:ind w:right="63"/>
              <w:rPr>
                <w:rFonts w:ascii="宋体" w:hAnsi="宋体"/>
                <w:color w:val="auto"/>
                <w:kern w:val="0"/>
                <w:sz w:val="24"/>
                <w:szCs w:val="24"/>
                <w:highlight w:val="none"/>
              </w:rPr>
            </w:pPr>
          </w:p>
        </w:tc>
        <w:tc>
          <w:tcPr>
            <w:tcW w:w="4252" w:type="dxa"/>
            <w:noWrap/>
            <w:vAlign w:val="center"/>
          </w:tcPr>
          <w:p w14:paraId="2D62FF86">
            <w:pPr>
              <w:keepNext/>
              <w:spacing w:line="360" w:lineRule="auto"/>
              <w:ind w:right="63"/>
              <w:rPr>
                <w:rFonts w:ascii="宋体" w:hAnsi="宋体"/>
                <w:color w:val="auto"/>
                <w:kern w:val="0"/>
                <w:sz w:val="24"/>
                <w:szCs w:val="24"/>
                <w:highlight w:val="none"/>
              </w:rPr>
            </w:pPr>
          </w:p>
        </w:tc>
      </w:tr>
    </w:tbl>
    <w:p w14:paraId="1CEE1AD3">
      <w:pPr>
        <w:spacing w:line="360" w:lineRule="auto"/>
        <w:rPr>
          <w:rFonts w:ascii="宋体" w:hAnsi="宋体"/>
          <w:b/>
          <w:bCs/>
          <w:color w:val="auto"/>
          <w:kern w:val="0"/>
          <w:sz w:val="36"/>
          <w:szCs w:val="24"/>
          <w:highlight w:val="none"/>
        </w:rPr>
      </w:pPr>
      <w:r>
        <w:rPr>
          <w:rFonts w:ascii="宋体" w:hAnsi="宋体"/>
          <w:color w:val="auto"/>
          <w:kern w:val="0"/>
          <w:sz w:val="24"/>
          <w:szCs w:val="24"/>
          <w:highlight w:val="none"/>
        </w:rPr>
        <w:br w:type="page" w:clear="all"/>
      </w:r>
      <w:r>
        <w:rPr>
          <w:rFonts w:hint="eastAsia" w:ascii="宋体" w:hAnsi="宋体"/>
          <w:color w:val="auto"/>
          <w:kern w:val="0"/>
          <w:sz w:val="24"/>
          <w:szCs w:val="24"/>
          <w:highlight w:val="none"/>
        </w:rPr>
        <w:t>附件</w:t>
      </w:r>
      <w:r>
        <w:rPr>
          <w:rFonts w:ascii="宋体" w:hAnsi="宋体"/>
          <w:color w:val="auto"/>
          <w:kern w:val="0"/>
          <w:sz w:val="24"/>
          <w:szCs w:val="24"/>
          <w:highlight w:val="none"/>
        </w:rPr>
        <w:t>6</w:t>
      </w:r>
      <w:r>
        <w:rPr>
          <w:rFonts w:hint="eastAsia" w:ascii="宋体" w:hAnsi="宋体"/>
          <w:color w:val="auto"/>
          <w:kern w:val="0"/>
          <w:sz w:val="24"/>
          <w:szCs w:val="24"/>
          <w:highlight w:val="none"/>
        </w:rPr>
        <w:t>：</w:t>
      </w:r>
    </w:p>
    <w:p w14:paraId="43785517">
      <w:pPr>
        <w:spacing w:line="360" w:lineRule="auto"/>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建设工程廉政责任书</w:t>
      </w:r>
    </w:p>
    <w:p w14:paraId="26B51A86">
      <w:pPr>
        <w:spacing w:line="460" w:lineRule="exact"/>
        <w:ind w:firstLine="42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发包人：</w:t>
      </w:r>
      <w:r>
        <w:rPr>
          <w:rFonts w:hint="eastAsia" w:ascii="宋体" w:hAnsi="宋体" w:cs="宋体"/>
          <w:color w:val="auto"/>
          <w:kern w:val="0"/>
          <w:sz w:val="24"/>
          <w:szCs w:val="24"/>
          <w:highlight w:val="none"/>
          <w:u w:val="single"/>
          <w:lang w:eastAsia="zh-CN"/>
        </w:rPr>
        <w:t>南通博物苑</w:t>
      </w:r>
    </w:p>
    <w:p w14:paraId="7E6FD044">
      <w:pPr>
        <w:spacing w:line="460" w:lineRule="exact"/>
        <w:ind w:firstLine="420"/>
        <w:rPr>
          <w:rFonts w:hint="default" w:ascii="宋体" w:hAnsi="宋体" w:eastAsia="宋体" w:cs="宋体"/>
          <w:color w:val="auto"/>
          <w:kern w:val="0"/>
          <w:sz w:val="24"/>
          <w:szCs w:val="24"/>
          <w:highlight w:val="none"/>
          <w:u w:val="none"/>
          <w:lang w:val="en-US" w:eastAsia="zh-CN"/>
        </w:rPr>
      </w:pPr>
      <w:r>
        <w:rPr>
          <w:rFonts w:hint="eastAsia" w:ascii="宋体" w:hAnsi="宋体" w:cs="宋体"/>
          <w:color w:val="auto"/>
          <w:kern w:val="0"/>
          <w:sz w:val="24"/>
          <w:szCs w:val="24"/>
          <w:highlight w:val="none"/>
        </w:rPr>
        <w:t>承包人：</w:t>
      </w:r>
      <w:r>
        <w:rPr>
          <w:rFonts w:hint="eastAsia" w:ascii="宋体" w:hAnsi="宋体" w:cs="宋体"/>
          <w:color w:val="auto"/>
          <w:kern w:val="0"/>
          <w:sz w:val="24"/>
          <w:szCs w:val="24"/>
          <w:highlight w:val="none"/>
          <w:u w:val="single"/>
          <w:lang w:val="en-US" w:eastAsia="zh-CN"/>
        </w:rPr>
        <w:t xml:space="preserve">            </w:t>
      </w:r>
    </w:p>
    <w:p w14:paraId="5066F0C3">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9303606">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一、双方的责任</w:t>
      </w:r>
    </w:p>
    <w:p w14:paraId="787840CD">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1.1应严格遵守国家关于建设工程的有关法律、法规，相关政策，以及廉政建设的各项规定。</w:t>
      </w:r>
    </w:p>
    <w:p w14:paraId="629811CE">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1.2严格执行建设工程合同文件，自觉按合同办事。</w:t>
      </w:r>
    </w:p>
    <w:p w14:paraId="1529F794">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3C39CC7B">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1.4发现对方在业务活动中有违规、违纪、违法行为的，应及时提醒对方，情节严重的，应向其上级主管部门或纪检监察、司法等有关机关举报。</w:t>
      </w:r>
    </w:p>
    <w:p w14:paraId="005187F5">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二、发包人责任</w:t>
      </w:r>
    </w:p>
    <w:p w14:paraId="1A9C47D0">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发包人的领导和从事该建设工程项目的工作人员，在工程建设的事前、事中、事后应遵守以下规定：</w:t>
      </w:r>
    </w:p>
    <w:p w14:paraId="30A1770A">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2.1不得向承包人和相关单位索要或接受回扣、礼金、有价证券、贵重物品和好处费、感谢费等。</w:t>
      </w:r>
    </w:p>
    <w:p w14:paraId="25C31A94">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2.2不得在承包人和相关单位报销任何应由发包人或个人支付的费用。</w:t>
      </w:r>
    </w:p>
    <w:p w14:paraId="26C543F8">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2.3不得要求、暗示或接受承包人和相关单位为个人装修住房、婚丧嫁娶、配偶子女的工作安排以及出国(境)、旅游等提供方便。</w:t>
      </w:r>
    </w:p>
    <w:p w14:paraId="0E113A6F">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2.4不得参加有可能影响公正执行公务的承包人和相关单位的宴请、健身、娱乐等活动。</w:t>
      </w:r>
    </w:p>
    <w:p w14:paraId="16BC5ED4">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2.5不得向承包人和相关单位介绍或为配偶、子女、亲属参与同发包人工程建设管理合同有关的业务活动；不得以任何理由要求承包人和相关单位使用某种产品、材料和设备。</w:t>
      </w:r>
    </w:p>
    <w:p w14:paraId="68D881ED">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三、承包人责任</w:t>
      </w:r>
    </w:p>
    <w:p w14:paraId="3F922739">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应与发包人保持正常的业务交往，按照有关法律法规和程序开展业务工作，严格执行工程建设的有关方针、政策，执行工程建设强制性标准，并遵守以下规定：</w:t>
      </w:r>
    </w:p>
    <w:p w14:paraId="388C1BAD">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3.1不得以任何理由向发包人及其工作人员索要、接受或赠送礼金、有价证券、贵重物品及回扣、好处费、感谢费等。</w:t>
      </w:r>
    </w:p>
    <w:p w14:paraId="524CE828">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3.2不得以任何理由为发包人和相关单位报销应由对方或个人支付的费用。</w:t>
      </w:r>
    </w:p>
    <w:p w14:paraId="74E61CFB">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3.3不得接受或暗示为发包人、相关单位或个人装修住房、婚丧嫁娶、配偶子女的工作安排以及出国(境)、旅游等提供方便。</w:t>
      </w:r>
    </w:p>
    <w:p w14:paraId="0284432D">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3.4不得以任何理由为发包人、相关单位或个人组织有可能影响公正执行公务的宴请、健身、娱乐等活动。</w:t>
      </w:r>
    </w:p>
    <w:p w14:paraId="539426FA">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四、违约责任</w:t>
      </w:r>
    </w:p>
    <w:p w14:paraId="61B08F36">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4.1发包人工作人员有违反本责任书第一、二条责任行为的，依据有关法律、法规给予处理；涉嫌犯罪的，移交司法机关追究刑事责任；给承包人单位造成经济损失的，应予以赔偿。</w:t>
      </w:r>
    </w:p>
    <w:p w14:paraId="23E5A1E6">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4.2承包人工作人员有违反本责任书第一、三条责任行为的，依据有关法律法规处理；涉嫌犯罪的，移交司法机关追究刑事责任；给发包人单位造成经济损失的，应予以赔偿。</w:t>
      </w:r>
    </w:p>
    <w:p w14:paraId="45FB1645">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4.3本责任书作为建设工程合同的组成部分，与建设工程合同具有同等法律效力。经双方签署后立即生效。</w:t>
      </w:r>
    </w:p>
    <w:p w14:paraId="06E79A49">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五、责任书有效期</w:t>
      </w:r>
    </w:p>
    <w:p w14:paraId="0AA198AD">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本责任书的有效期为双方签署之日起至该工程项目竣工验收合格时止。</w:t>
      </w:r>
    </w:p>
    <w:p w14:paraId="30D94956">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六、责任书份数</w:t>
      </w:r>
    </w:p>
    <w:p w14:paraId="56CFEA2D">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本责任书一式二份，发包人承包人各执一份，具有同等效力。</w:t>
      </w:r>
    </w:p>
    <w:p w14:paraId="2143EF6C">
      <w:pPr>
        <w:spacing w:line="460" w:lineRule="exact"/>
        <w:ind w:firstLine="420"/>
        <w:rPr>
          <w:rFonts w:ascii="宋体" w:hAnsi="宋体" w:cs="宋体"/>
          <w:color w:val="auto"/>
          <w:kern w:val="0"/>
          <w:sz w:val="24"/>
          <w:szCs w:val="24"/>
          <w:highlight w:val="none"/>
        </w:rPr>
      </w:pPr>
    </w:p>
    <w:p w14:paraId="180AF618">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发包人：(公章)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承包人： (公章)</w:t>
      </w:r>
    </w:p>
    <w:p w14:paraId="523F45C8">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法定地址：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法定地址：</w:t>
      </w:r>
    </w:p>
    <w:p w14:paraId="7E719472">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法定代表人或其                   法定代表人或其</w:t>
      </w:r>
    </w:p>
    <w:p w14:paraId="11E78AA4">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委托代理人：(签字)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委托代理人： (签字)</w:t>
      </w:r>
    </w:p>
    <w:p w14:paraId="48104581">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 xml:space="preserve">  电话：</w:t>
      </w:r>
    </w:p>
    <w:p w14:paraId="09D98607">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传真：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传真：</w:t>
      </w:r>
    </w:p>
    <w:p w14:paraId="58268EF2">
      <w:pPr>
        <w:spacing w:line="460" w:lineRule="exact"/>
        <w:ind w:firstLine="42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电子邮箱：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电子邮箱：</w:t>
      </w:r>
    </w:p>
    <w:p w14:paraId="38BCC1B7">
      <w:pPr>
        <w:spacing w:line="460" w:lineRule="exact"/>
        <w:ind w:firstLine="42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开户银行：         </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开户银行：</w:t>
      </w:r>
    </w:p>
    <w:p w14:paraId="73C3A3DE">
      <w:pPr>
        <w:spacing w:line="460" w:lineRule="exact"/>
        <w:ind w:firstLine="420"/>
        <w:rPr>
          <w:rFonts w:ascii="Times New Roman" w:hAnsi="Times New Roman"/>
          <w:color w:val="auto"/>
          <w:highlight w:val="none"/>
        </w:rPr>
      </w:pPr>
      <w:r>
        <w:rPr>
          <w:rFonts w:hint="eastAsia" w:ascii="宋体" w:hAnsi="宋体" w:cs="宋体"/>
          <w:color w:val="auto"/>
          <w:kern w:val="0"/>
          <w:sz w:val="24"/>
          <w:szCs w:val="24"/>
          <w:highlight w:val="none"/>
        </w:rPr>
        <w:t>账号：</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账号：</w:t>
      </w:r>
    </w:p>
    <w:p w14:paraId="3CC0A9C9">
      <w:pPr>
        <w:rPr>
          <w:rFonts w:eastAsia="宋体" w:cs="Times New Roman"/>
          <w:b/>
          <w:bCs/>
          <w:color w:val="auto"/>
          <w:sz w:val="36"/>
          <w:szCs w:val="36"/>
          <w:highlight w:val="none"/>
        </w:rPr>
      </w:pPr>
      <w:bookmarkStart w:id="208" w:name="_Hlt16619350"/>
      <w:bookmarkStart w:id="209" w:name="_Toc16938590"/>
      <w:bookmarkStart w:id="210" w:name="_Toc120614244"/>
      <w:bookmarkStart w:id="211" w:name="_Toc20823346"/>
      <w:bookmarkStart w:id="212" w:name="_Toc479757211"/>
      <w:bookmarkStart w:id="213" w:name="_Toc462564139"/>
      <w:r>
        <w:rPr>
          <w:rFonts w:eastAsia="宋体" w:cs="Times New Roman"/>
          <w:b/>
          <w:bCs/>
          <w:color w:val="auto"/>
          <w:sz w:val="36"/>
          <w:szCs w:val="36"/>
          <w:highlight w:val="none"/>
        </w:rPr>
        <w:br w:type="page"/>
      </w:r>
    </w:p>
    <w:p w14:paraId="26CA533D">
      <w:pPr>
        <w:spacing w:line="360" w:lineRule="auto"/>
        <w:jc w:val="center"/>
        <w:outlineLvl w:val="0"/>
        <w:rPr>
          <w:rFonts w:eastAsia="宋体" w:cs="Times New Roman"/>
          <w:b/>
          <w:bCs/>
          <w:color w:val="auto"/>
          <w:sz w:val="36"/>
          <w:szCs w:val="36"/>
          <w:highlight w:val="none"/>
        </w:rPr>
      </w:pPr>
      <w:bookmarkStart w:id="214" w:name="_Toc23572"/>
      <w:r>
        <w:rPr>
          <w:rFonts w:eastAsia="宋体" w:cs="Times New Roman"/>
          <w:b/>
          <w:bCs/>
          <w:color w:val="auto"/>
          <w:sz w:val="36"/>
          <w:szCs w:val="36"/>
          <w:highlight w:val="none"/>
        </w:rPr>
        <w:t>第</w:t>
      </w:r>
      <w:bookmarkEnd w:id="208"/>
      <w:r>
        <w:rPr>
          <w:rFonts w:eastAsia="宋体" w:cs="Times New Roman"/>
          <w:b/>
          <w:bCs/>
          <w:color w:val="auto"/>
          <w:sz w:val="36"/>
          <w:szCs w:val="36"/>
          <w:highlight w:val="none"/>
        </w:rPr>
        <w:t>四章</w:t>
      </w:r>
      <w:r>
        <w:rPr>
          <w:rFonts w:hint="eastAsia" w:eastAsia="宋体" w:cs="Times New Roman"/>
          <w:b/>
          <w:bCs/>
          <w:color w:val="auto"/>
          <w:sz w:val="36"/>
          <w:szCs w:val="36"/>
          <w:highlight w:val="none"/>
        </w:rPr>
        <w:t xml:space="preserve"> </w:t>
      </w:r>
      <w:r>
        <w:rPr>
          <w:rFonts w:eastAsia="宋体" w:cs="Times New Roman"/>
          <w:b/>
          <w:bCs/>
          <w:color w:val="auto"/>
          <w:sz w:val="36"/>
          <w:szCs w:val="36"/>
          <w:highlight w:val="none"/>
        </w:rPr>
        <w:t>采购需求</w:t>
      </w:r>
      <w:bookmarkEnd w:id="209"/>
      <w:bookmarkEnd w:id="210"/>
      <w:bookmarkEnd w:id="211"/>
      <w:bookmarkEnd w:id="214"/>
      <w:bookmarkStart w:id="215" w:name="_Toc49090575"/>
      <w:bookmarkStart w:id="216" w:name="_Toc26554093"/>
    </w:p>
    <w:p w14:paraId="7FECDF49">
      <w:pPr>
        <w:keepNext w:val="0"/>
        <w:keepLines w:val="0"/>
        <w:pageBreakBefore w:val="0"/>
        <w:spacing w:line="360" w:lineRule="auto"/>
        <w:ind w:firstLine="56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32DC967C">
      <w:pPr>
        <w:spacing w:line="360" w:lineRule="auto"/>
        <w:ind w:firstLine="482"/>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（一）采购标的需实现的功能或者目标, 以及为落实政府采购政策需满足的要求</w:t>
      </w:r>
    </w:p>
    <w:p w14:paraId="0262F7A1">
      <w:pPr>
        <w:tabs>
          <w:tab w:val="left" w:pos="0"/>
        </w:tabs>
        <w:spacing w:line="360" w:lineRule="auto"/>
        <w:ind w:firstLine="56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1、基本情况：</w:t>
      </w:r>
      <w:r>
        <w:rPr>
          <w:rFonts w:hint="eastAsia" w:ascii="宋体" w:hAnsi="宋体" w:cs="宋体"/>
          <w:color w:val="auto"/>
          <w:kern w:val="0"/>
          <w:sz w:val="24"/>
          <w:szCs w:val="24"/>
          <w:highlight w:val="none"/>
          <w:lang w:eastAsia="zh-CN"/>
        </w:rPr>
        <w:t>南通博物苑九曲桥修复工程</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桥栏总长度约278米，本次采购范围包括九曲桥、河心亭、茶室前的平台等基础设施的修复，</w:t>
      </w:r>
      <w:r>
        <w:rPr>
          <w:rFonts w:hint="eastAsia" w:ascii="宋体" w:hAnsi="宋体" w:cs="宋体"/>
          <w:color w:val="auto"/>
          <w:kern w:val="0"/>
          <w:sz w:val="24"/>
          <w:szCs w:val="24"/>
          <w:highlight w:val="none"/>
        </w:rPr>
        <w:t>详见施工图及工程量清单范围中所示</w:t>
      </w:r>
      <w:r>
        <w:rPr>
          <w:rFonts w:hint="eastAsia" w:ascii="宋体" w:hAnsi="宋体" w:cs="宋体"/>
          <w:color w:val="auto"/>
          <w:kern w:val="0"/>
          <w:sz w:val="24"/>
          <w:szCs w:val="24"/>
          <w:highlight w:val="none"/>
          <w:lang w:eastAsia="zh-CN"/>
        </w:rPr>
        <w:t>。</w:t>
      </w:r>
    </w:p>
    <w:p w14:paraId="037D8147">
      <w:pPr>
        <w:tabs>
          <w:tab w:val="left" w:pos="0"/>
        </w:tabs>
        <w:spacing w:line="360" w:lineRule="auto"/>
        <w:ind w:firstLine="56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（二）采购标的需执行的国家相关标准、行业标准、地方标准或者其他标准、规范</w:t>
      </w:r>
    </w:p>
    <w:p w14:paraId="23475B65">
      <w:pPr>
        <w:spacing w:line="360" w:lineRule="auto"/>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按国家现行相关法律法规和行业标准执行。</w:t>
      </w:r>
    </w:p>
    <w:p w14:paraId="1C44ABC3">
      <w:pPr>
        <w:spacing w:line="360" w:lineRule="auto"/>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1、工程采用的计价规范</w:t>
      </w:r>
    </w:p>
    <w:p w14:paraId="54D66177">
      <w:pPr>
        <w:spacing w:line="360" w:lineRule="auto"/>
        <w:ind w:firstLine="560"/>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建设工程工程量清单计价规范》（GB50500-2013）、《房屋建筑与装饰工程工程量计算规范》（GB50854-2013）、《通用安装工程工程量计算规范》（GB50856-2013）、《园林绿化工程工程量计算规范》（GB50858-2013）、《市政工程工程量计算规范》（GB50857-2013）、《江苏省建筑与装饰工程计价定额》（2014）、《江苏省仿古建筑及园林工程计价表》（2007年）、《江苏省修缮建筑工程计价定额》（2007）、《江苏省市政工程计价定额》（2014年）、《江苏省安装工程计价定额》（2014年）、《江苏省建设工程费用定额》（2014年）以及相应补充规定和现行省、市有关规定</w:t>
      </w:r>
      <w:r>
        <w:rPr>
          <w:rFonts w:hint="eastAsia" w:ascii="宋体" w:hAnsi="宋体" w:cs="宋体"/>
          <w:color w:val="auto"/>
          <w:kern w:val="0"/>
          <w:sz w:val="24"/>
          <w:szCs w:val="24"/>
          <w:highlight w:val="none"/>
        </w:rPr>
        <w:t>。</w:t>
      </w:r>
    </w:p>
    <w:p w14:paraId="0E47A2DD">
      <w:pPr>
        <w:tabs>
          <w:tab w:val="left" w:pos="0"/>
          <w:tab w:val="left" w:pos="683"/>
        </w:tabs>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、本工程对施工工艺的特殊要求</w:t>
      </w:r>
    </w:p>
    <w:p w14:paraId="7AC03475">
      <w:pPr>
        <w:tabs>
          <w:tab w:val="left" w:pos="0"/>
        </w:tabs>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.1 施工期间要注意周边环境，尽量避免或减少对周围居民生活的影响。</w:t>
      </w:r>
    </w:p>
    <w:p w14:paraId="4985C744">
      <w:pPr>
        <w:tabs>
          <w:tab w:val="left" w:pos="0"/>
        </w:tabs>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.2 冬、雨季施工要采取相应的保证措施。</w:t>
      </w:r>
    </w:p>
    <w:p w14:paraId="232ADA22">
      <w:pPr>
        <w:tabs>
          <w:tab w:val="left" w:pos="0"/>
        </w:tabs>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.3 工程的主要部位和特殊要求由建设、设计、监理三方讨论后以书面形式通知施工单位实施。</w:t>
      </w:r>
    </w:p>
    <w:p w14:paraId="58513EBD">
      <w:pPr>
        <w:tabs>
          <w:tab w:val="left" w:pos="0"/>
        </w:tabs>
        <w:spacing w:line="360" w:lineRule="auto"/>
        <w:ind w:firstLine="56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（三）采购标的需满足的质量、安全、技术规格、物理特性等要求</w:t>
      </w:r>
    </w:p>
    <w:p w14:paraId="5EDDEADD">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1、响应报价的范围</w:t>
      </w:r>
    </w:p>
    <w:p w14:paraId="78B0B9BA">
      <w:pPr>
        <w:widowControl/>
        <w:spacing w:line="360" w:lineRule="auto"/>
        <w:ind w:firstLine="562"/>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响应报价应包括</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所确定的采购范围内相应工程量清单及相关资料及规范、规定等全部内容，以及为完成上述内容所必须的附属工程、临时工程、材料、劳务、机械、成品保护、垂直运输、脚手架搭设使用、与各工种间的协调配合工作、验收、安全措施、技术措施，作为一名有经验的响应供应商所应考虑到的各种因素、风险及所需的全部费用。</w:t>
      </w:r>
    </w:p>
    <w:p w14:paraId="62B0933A">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2、本项目为固定单价合同。供应商应充分考虑本项目合同实施期间可能发生的费用，并承担由此而带来的风险（包含材料价格涨跌和人工工资调整）。</w:t>
      </w:r>
    </w:p>
    <w:p w14:paraId="5085A7AF">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3、各供应商在编制报价时须用造价软件编制。在报价时应认真阅读并充分理解</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文件所有内容（含施工合同）后进行响应文件的编制，如有疑问请在规定时间内提出，如无异议，则视为认可，竣工结算时除</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文件约定调整的内容外，其余均不调整。</w:t>
      </w:r>
    </w:p>
    <w:p w14:paraId="049752EA">
      <w:pPr>
        <w:spacing w:line="360" w:lineRule="auto"/>
        <w:ind w:firstLine="561"/>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4、控制价编制依据 </w:t>
      </w:r>
    </w:p>
    <w:p w14:paraId="47830CEE">
      <w:pPr>
        <w:spacing w:line="360" w:lineRule="auto"/>
        <w:ind w:firstLine="561"/>
        <w:rPr>
          <w:rFonts w:ascii="宋体" w:hAnsi="宋体" w:cs="宋体"/>
          <w:color w:val="auto"/>
          <w:kern w:val="0"/>
          <w:sz w:val="24"/>
          <w:szCs w:val="24"/>
          <w:highlight w:val="none"/>
        </w:rPr>
      </w:pPr>
      <w:r>
        <w:rPr>
          <w:rFonts w:hint="eastAsia" w:ascii="宋体" w:hAnsi="宋体" w:cs="宋体"/>
          <w:color w:val="auto"/>
          <w:kern w:val="0"/>
          <w:sz w:val="24"/>
          <w:szCs w:val="24"/>
          <w:highlight w:val="none"/>
        </w:rPr>
        <w:t>（1）本工程</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 xml:space="preserve">文件、施工图纸及现有的设计变更、图纸审查意见及回复、答疑（如有）等有关技术资料。 </w:t>
      </w:r>
    </w:p>
    <w:p w14:paraId="16B841DA">
      <w:pPr>
        <w:spacing w:line="360" w:lineRule="auto"/>
        <w:ind w:firstLine="560"/>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建设工程工程量清单计价规范》（GB50500-2013）、《房屋建筑与装饰工程工程量计算规范》（GB50854-2013）、《通用安装工程工程量计算规范》（GB50856-2013）、《园林绿化工程工程量计算规范》（GB50858-2013）、《市政工程工程量计算规范》（GB50857-2013）、《江苏省建筑与装饰工程计价定额》（2014）、《江苏省仿古建筑及园林工程计价表》（2007年）、《江苏省修缮建筑工程计价定额》（2007）、《江苏省市政工程计价定额》（2014年）、《江苏省安装工程计价定额》（2014年）、《江苏省建设工程费用定额》（2014年）以及相应补充规定和现行省、市有关规定</w:t>
      </w:r>
      <w:r>
        <w:rPr>
          <w:rFonts w:hint="eastAsia" w:ascii="宋体" w:hAnsi="宋体" w:cs="宋体"/>
          <w:color w:val="auto"/>
          <w:kern w:val="0"/>
          <w:sz w:val="24"/>
          <w:szCs w:val="24"/>
          <w:highlight w:val="none"/>
        </w:rPr>
        <w:t>。</w:t>
      </w:r>
    </w:p>
    <w:p w14:paraId="271C7556">
      <w:pPr>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（3）人工工资按省住房</w:t>
      </w:r>
      <w:r>
        <w:rPr>
          <w:rFonts w:hint="eastAsia" w:ascii="宋体" w:hAnsi="宋体" w:cs="宋体"/>
          <w:color w:val="auto"/>
          <w:kern w:val="0"/>
          <w:sz w:val="24"/>
          <w:szCs w:val="24"/>
          <w:highlight w:val="none"/>
          <w:lang w:val="en-US" w:eastAsia="zh-CN"/>
        </w:rPr>
        <w:t>和</w:t>
      </w:r>
      <w:r>
        <w:rPr>
          <w:rFonts w:hint="eastAsia" w:ascii="宋体" w:hAnsi="宋体" w:cs="宋体"/>
          <w:color w:val="auto"/>
          <w:kern w:val="0"/>
          <w:sz w:val="24"/>
          <w:szCs w:val="24"/>
          <w:highlight w:val="none"/>
        </w:rPr>
        <w:t>城乡建设厅关于发布建设工程人工工资指导价的通知</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苏建函价〔202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66</w:t>
      </w:r>
      <w:r>
        <w:rPr>
          <w:rFonts w:hint="eastAsia" w:ascii="宋体" w:hAnsi="宋体" w:cs="宋体"/>
          <w:color w:val="auto"/>
          <w:kern w:val="0"/>
          <w:sz w:val="24"/>
          <w:szCs w:val="24"/>
          <w:highlight w:val="none"/>
        </w:rPr>
        <w:t>号</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执行。材料价格参考《南通建设工程造价信息》202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年第</w:t>
      </w:r>
      <w:r>
        <w:rPr>
          <w:rFonts w:hint="eastAsia" w:ascii="宋体" w:hAnsi="宋体" w:cs="宋体"/>
          <w:color w:val="auto"/>
          <w:kern w:val="0"/>
          <w:sz w:val="24"/>
          <w:szCs w:val="24"/>
          <w:highlight w:val="none"/>
          <w:lang w:val="en-US" w:eastAsia="zh-CN"/>
        </w:rPr>
        <w:t>02</w:t>
      </w:r>
      <w:r>
        <w:rPr>
          <w:rFonts w:hint="eastAsia" w:ascii="宋体" w:hAnsi="宋体" w:cs="宋体"/>
          <w:color w:val="auto"/>
          <w:kern w:val="0"/>
          <w:sz w:val="24"/>
          <w:szCs w:val="24"/>
          <w:highlight w:val="none"/>
        </w:rPr>
        <w:t>期，缺项材料市场询价。</w:t>
      </w:r>
    </w:p>
    <w:p w14:paraId="2968BE07">
      <w:pPr>
        <w:spacing w:line="360" w:lineRule="auto"/>
        <w:ind w:firstLine="48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）本工程采用一般计税方法，具体按“省住房和城乡</w:t>
      </w:r>
      <w:r>
        <w:rPr>
          <w:rFonts w:hint="eastAsia" w:ascii="宋体" w:hAnsi="宋体" w:cs="宋体"/>
          <w:color w:val="auto"/>
          <w:kern w:val="0"/>
          <w:sz w:val="24"/>
          <w:szCs w:val="24"/>
          <w:highlight w:val="none"/>
          <w:lang w:eastAsia="zh-CN"/>
        </w:rPr>
        <w:t>建设厅关于建筑业实施营改增后江苏省建设工程计价依据调整的通知”苏建价（2016）154号文、省住房城乡建设厅关于调整建设工程计价增值税税率的通知苏建函价〔2019〕178号文相关要求执行。</w:t>
      </w:r>
    </w:p>
    <w:p w14:paraId="01039C28">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）本工程不可竞争费用项目及其费率见下表：</w:t>
      </w:r>
    </w:p>
    <w:tbl>
      <w:tblPr>
        <w:tblStyle w:val="51"/>
        <w:tblW w:w="44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0"/>
        <w:gridCol w:w="2662"/>
        <w:gridCol w:w="2127"/>
        <w:gridCol w:w="1275"/>
        <w:gridCol w:w="1198"/>
      </w:tblGrid>
      <w:tr w14:paraId="4954F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exact"/>
          <w:jc w:val="center"/>
        </w:trPr>
        <w:tc>
          <w:tcPr>
            <w:tcW w:w="1590" w:type="dxa"/>
            <w:noWrap/>
            <w:vAlign w:val="center"/>
          </w:tcPr>
          <w:p w14:paraId="54C46FB6">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费用类别</w:t>
            </w:r>
          </w:p>
        </w:tc>
        <w:tc>
          <w:tcPr>
            <w:tcW w:w="2662" w:type="dxa"/>
            <w:noWrap/>
            <w:vAlign w:val="center"/>
          </w:tcPr>
          <w:p w14:paraId="40B79D78">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费 用 名 称</w:t>
            </w:r>
          </w:p>
        </w:tc>
        <w:tc>
          <w:tcPr>
            <w:tcW w:w="2127" w:type="dxa"/>
            <w:noWrap/>
            <w:vAlign w:val="center"/>
          </w:tcPr>
          <w:p w14:paraId="521E9234">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计费</w:t>
            </w:r>
          </w:p>
          <w:p w14:paraId="4691F86F">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基数</w:t>
            </w:r>
          </w:p>
        </w:tc>
        <w:tc>
          <w:tcPr>
            <w:tcW w:w="1275" w:type="dxa"/>
            <w:noWrap/>
            <w:vAlign w:val="center"/>
          </w:tcPr>
          <w:p w14:paraId="32C3DEC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修复工程</w:t>
            </w:r>
          </w:p>
        </w:tc>
        <w:tc>
          <w:tcPr>
            <w:tcW w:w="1198" w:type="dxa"/>
            <w:noWrap/>
            <w:vAlign w:val="center"/>
          </w:tcPr>
          <w:p w14:paraId="06263C4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亮化工程</w:t>
            </w:r>
          </w:p>
        </w:tc>
      </w:tr>
      <w:tr w14:paraId="472FD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restart"/>
            <w:noWrap/>
            <w:vAlign w:val="center"/>
          </w:tcPr>
          <w:p w14:paraId="57E503FA">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规  费</w:t>
            </w:r>
          </w:p>
        </w:tc>
        <w:tc>
          <w:tcPr>
            <w:tcW w:w="2662" w:type="dxa"/>
            <w:noWrap/>
            <w:vAlign w:val="center"/>
          </w:tcPr>
          <w:p w14:paraId="5782B996">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环境保护税</w:t>
            </w:r>
          </w:p>
        </w:tc>
        <w:tc>
          <w:tcPr>
            <w:tcW w:w="2127" w:type="dxa"/>
            <w:noWrap/>
            <w:vAlign w:val="center"/>
          </w:tcPr>
          <w:p w14:paraId="725F2CA2">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A+B+C-D</w:t>
            </w:r>
          </w:p>
        </w:tc>
        <w:tc>
          <w:tcPr>
            <w:tcW w:w="1275" w:type="dxa"/>
            <w:noWrap/>
            <w:vAlign w:val="center"/>
          </w:tcPr>
          <w:p w14:paraId="28A13739">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198" w:type="dxa"/>
            <w:noWrap/>
            <w:vAlign w:val="center"/>
          </w:tcPr>
          <w:p w14:paraId="3F7D439D">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r>
      <w:tr w14:paraId="4833F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continue"/>
            <w:noWrap/>
            <w:vAlign w:val="center"/>
          </w:tcPr>
          <w:p w14:paraId="18AB9FB5">
            <w:pPr>
              <w:spacing w:line="360" w:lineRule="auto"/>
              <w:ind w:firstLine="562"/>
              <w:jc w:val="center"/>
              <w:rPr>
                <w:rFonts w:ascii="宋体" w:hAnsi="宋体" w:cs="宋体"/>
                <w:color w:val="auto"/>
                <w:kern w:val="0"/>
                <w:sz w:val="24"/>
                <w:szCs w:val="24"/>
                <w:highlight w:val="none"/>
              </w:rPr>
            </w:pPr>
          </w:p>
        </w:tc>
        <w:tc>
          <w:tcPr>
            <w:tcW w:w="2662" w:type="dxa"/>
            <w:noWrap/>
            <w:vAlign w:val="center"/>
          </w:tcPr>
          <w:p w14:paraId="43A8F16C">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社会保</w:t>
            </w:r>
            <w:r>
              <w:rPr>
                <w:rFonts w:hint="eastAsia" w:ascii="宋体" w:hAnsi="宋体" w:cs="宋体"/>
                <w:color w:val="auto"/>
                <w:kern w:val="0"/>
                <w:sz w:val="24"/>
                <w:szCs w:val="24"/>
                <w:highlight w:val="none"/>
                <w:lang w:val="en-US" w:eastAsia="zh-CN"/>
              </w:rPr>
              <w:t>险</w:t>
            </w:r>
            <w:r>
              <w:rPr>
                <w:rFonts w:hint="eastAsia" w:ascii="宋体" w:hAnsi="宋体" w:cs="宋体"/>
                <w:color w:val="auto"/>
                <w:kern w:val="0"/>
                <w:sz w:val="24"/>
                <w:szCs w:val="24"/>
                <w:highlight w:val="none"/>
              </w:rPr>
              <w:t>费</w:t>
            </w:r>
          </w:p>
        </w:tc>
        <w:tc>
          <w:tcPr>
            <w:tcW w:w="2127" w:type="dxa"/>
            <w:noWrap/>
            <w:vAlign w:val="center"/>
          </w:tcPr>
          <w:p w14:paraId="483217D0">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A+B+C-D</w:t>
            </w:r>
          </w:p>
        </w:tc>
        <w:tc>
          <w:tcPr>
            <w:tcW w:w="1275" w:type="dxa"/>
            <w:noWrap/>
            <w:vAlign w:val="center"/>
          </w:tcPr>
          <w:p w14:paraId="04BDE582">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3.3</w:t>
            </w:r>
          </w:p>
        </w:tc>
        <w:tc>
          <w:tcPr>
            <w:tcW w:w="1198" w:type="dxa"/>
            <w:noWrap/>
            <w:vAlign w:val="center"/>
          </w:tcPr>
          <w:p w14:paraId="67F1A64B">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2.4</w:t>
            </w:r>
          </w:p>
        </w:tc>
      </w:tr>
      <w:tr w14:paraId="3EF33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continue"/>
            <w:noWrap/>
            <w:vAlign w:val="center"/>
          </w:tcPr>
          <w:p w14:paraId="6A826B8B">
            <w:pPr>
              <w:spacing w:line="360" w:lineRule="auto"/>
              <w:ind w:firstLine="562"/>
              <w:jc w:val="center"/>
              <w:rPr>
                <w:rFonts w:ascii="宋体" w:hAnsi="宋体" w:cs="宋体"/>
                <w:color w:val="auto"/>
                <w:kern w:val="0"/>
                <w:sz w:val="24"/>
                <w:szCs w:val="24"/>
                <w:highlight w:val="none"/>
              </w:rPr>
            </w:pPr>
          </w:p>
        </w:tc>
        <w:tc>
          <w:tcPr>
            <w:tcW w:w="2662" w:type="dxa"/>
            <w:noWrap/>
            <w:vAlign w:val="center"/>
          </w:tcPr>
          <w:p w14:paraId="42729934">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住房公积金</w:t>
            </w:r>
          </w:p>
        </w:tc>
        <w:tc>
          <w:tcPr>
            <w:tcW w:w="2127" w:type="dxa"/>
            <w:noWrap/>
            <w:vAlign w:val="center"/>
          </w:tcPr>
          <w:p w14:paraId="6C65674A">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A+B+C-D</w:t>
            </w:r>
          </w:p>
        </w:tc>
        <w:tc>
          <w:tcPr>
            <w:tcW w:w="1275" w:type="dxa"/>
            <w:noWrap/>
            <w:vAlign w:val="center"/>
          </w:tcPr>
          <w:p w14:paraId="4A660E96">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0.55</w:t>
            </w:r>
          </w:p>
        </w:tc>
        <w:tc>
          <w:tcPr>
            <w:tcW w:w="1198" w:type="dxa"/>
            <w:noWrap/>
            <w:vAlign w:val="center"/>
          </w:tcPr>
          <w:p w14:paraId="5F6FC443">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0.42</w:t>
            </w:r>
          </w:p>
        </w:tc>
      </w:tr>
      <w:tr w14:paraId="7FCD5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exact"/>
          <w:jc w:val="center"/>
        </w:trPr>
        <w:tc>
          <w:tcPr>
            <w:tcW w:w="1590" w:type="dxa"/>
            <w:vMerge w:val="restart"/>
            <w:noWrap/>
            <w:vAlign w:val="center"/>
          </w:tcPr>
          <w:p w14:paraId="75EC71C8">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现场安全文明施工措施费</w:t>
            </w:r>
          </w:p>
        </w:tc>
        <w:tc>
          <w:tcPr>
            <w:tcW w:w="2662" w:type="dxa"/>
            <w:noWrap/>
            <w:vAlign w:val="center"/>
          </w:tcPr>
          <w:p w14:paraId="3F1044CE">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基本费</w:t>
            </w:r>
          </w:p>
        </w:tc>
        <w:tc>
          <w:tcPr>
            <w:tcW w:w="2127" w:type="dxa"/>
            <w:noWrap/>
            <w:vAlign w:val="center"/>
          </w:tcPr>
          <w:p w14:paraId="3BE95C1C">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A+B1-D</w:t>
            </w:r>
          </w:p>
        </w:tc>
        <w:tc>
          <w:tcPr>
            <w:tcW w:w="1275" w:type="dxa"/>
            <w:noWrap/>
            <w:vAlign w:val="center"/>
          </w:tcPr>
          <w:p w14:paraId="2C4A2122">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2.7</w:t>
            </w:r>
          </w:p>
        </w:tc>
        <w:tc>
          <w:tcPr>
            <w:tcW w:w="1198" w:type="dxa"/>
            <w:noWrap/>
            <w:vAlign w:val="center"/>
          </w:tcPr>
          <w:p w14:paraId="262AEF9C">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1.5</w:t>
            </w:r>
          </w:p>
        </w:tc>
      </w:tr>
      <w:tr w14:paraId="18204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exact"/>
          <w:jc w:val="center"/>
        </w:trPr>
        <w:tc>
          <w:tcPr>
            <w:tcW w:w="1590" w:type="dxa"/>
            <w:vMerge w:val="continue"/>
            <w:noWrap/>
            <w:vAlign w:val="center"/>
          </w:tcPr>
          <w:p w14:paraId="378463CA">
            <w:pPr>
              <w:spacing w:line="360" w:lineRule="auto"/>
              <w:ind w:firstLine="562"/>
              <w:jc w:val="center"/>
              <w:rPr>
                <w:rFonts w:ascii="宋体" w:hAnsi="宋体" w:cs="宋体"/>
                <w:color w:val="auto"/>
                <w:kern w:val="0"/>
                <w:sz w:val="24"/>
                <w:szCs w:val="24"/>
                <w:highlight w:val="none"/>
              </w:rPr>
            </w:pPr>
          </w:p>
        </w:tc>
        <w:tc>
          <w:tcPr>
            <w:tcW w:w="2662" w:type="dxa"/>
            <w:noWrap/>
            <w:vAlign w:val="center"/>
          </w:tcPr>
          <w:p w14:paraId="0FD69EF0">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标化工地增加费</w:t>
            </w:r>
          </w:p>
        </w:tc>
        <w:tc>
          <w:tcPr>
            <w:tcW w:w="2127" w:type="dxa"/>
            <w:noWrap/>
            <w:vAlign w:val="center"/>
          </w:tcPr>
          <w:p w14:paraId="31EAB20F">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A+B1-D</w:t>
            </w:r>
          </w:p>
        </w:tc>
        <w:tc>
          <w:tcPr>
            <w:tcW w:w="1275" w:type="dxa"/>
            <w:noWrap/>
            <w:vAlign w:val="center"/>
          </w:tcPr>
          <w:p w14:paraId="0B46653F">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c>
          <w:tcPr>
            <w:tcW w:w="1198" w:type="dxa"/>
            <w:noWrap/>
            <w:vAlign w:val="center"/>
          </w:tcPr>
          <w:p w14:paraId="5B90DBA9">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w:t>
            </w:r>
          </w:p>
        </w:tc>
      </w:tr>
      <w:tr w14:paraId="601F4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exact"/>
          <w:jc w:val="center"/>
        </w:trPr>
        <w:tc>
          <w:tcPr>
            <w:tcW w:w="1590" w:type="dxa"/>
            <w:vMerge w:val="continue"/>
            <w:noWrap/>
            <w:vAlign w:val="center"/>
          </w:tcPr>
          <w:p w14:paraId="7749B8C0">
            <w:pPr>
              <w:spacing w:line="360" w:lineRule="auto"/>
              <w:ind w:firstLine="562"/>
              <w:jc w:val="center"/>
              <w:rPr>
                <w:rFonts w:ascii="宋体" w:hAnsi="宋体" w:cs="宋体"/>
                <w:color w:val="auto"/>
                <w:kern w:val="0"/>
                <w:sz w:val="24"/>
                <w:szCs w:val="24"/>
                <w:highlight w:val="none"/>
              </w:rPr>
            </w:pPr>
          </w:p>
        </w:tc>
        <w:tc>
          <w:tcPr>
            <w:tcW w:w="2662" w:type="dxa"/>
            <w:noWrap/>
            <w:vAlign w:val="center"/>
          </w:tcPr>
          <w:p w14:paraId="74BF20C2">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扬尘污染防治</w:t>
            </w:r>
          </w:p>
          <w:p w14:paraId="1DA32446">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增加费</w:t>
            </w:r>
          </w:p>
        </w:tc>
        <w:tc>
          <w:tcPr>
            <w:tcW w:w="2127" w:type="dxa"/>
            <w:noWrap/>
            <w:vAlign w:val="center"/>
          </w:tcPr>
          <w:p w14:paraId="644DCDA2">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A+B1-D</w:t>
            </w:r>
          </w:p>
        </w:tc>
        <w:tc>
          <w:tcPr>
            <w:tcW w:w="1275" w:type="dxa"/>
            <w:noWrap/>
            <w:vAlign w:val="center"/>
          </w:tcPr>
          <w:p w14:paraId="76B1E69A">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0.31</w:t>
            </w:r>
          </w:p>
        </w:tc>
        <w:tc>
          <w:tcPr>
            <w:tcW w:w="1198" w:type="dxa"/>
            <w:noWrap/>
            <w:vAlign w:val="center"/>
          </w:tcPr>
          <w:p w14:paraId="00386588">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0.21</w:t>
            </w:r>
          </w:p>
        </w:tc>
      </w:tr>
      <w:tr w14:paraId="75B2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exact"/>
          <w:jc w:val="center"/>
        </w:trPr>
        <w:tc>
          <w:tcPr>
            <w:tcW w:w="4252" w:type="dxa"/>
            <w:gridSpan w:val="2"/>
            <w:noWrap/>
            <w:vAlign w:val="center"/>
          </w:tcPr>
          <w:p w14:paraId="4C841D2E">
            <w:pPr>
              <w:spacing w:line="360" w:lineRule="auto"/>
              <w:ind w:firstLine="562"/>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税  金</w:t>
            </w:r>
          </w:p>
        </w:tc>
        <w:tc>
          <w:tcPr>
            <w:tcW w:w="2127" w:type="dxa"/>
            <w:noWrap/>
            <w:vAlign w:val="center"/>
          </w:tcPr>
          <w:p w14:paraId="44E7790C">
            <w:pPr>
              <w:spacing w:line="360" w:lineRule="auto"/>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税前造价</w:t>
            </w:r>
          </w:p>
        </w:tc>
        <w:tc>
          <w:tcPr>
            <w:tcW w:w="1275" w:type="dxa"/>
            <w:noWrap/>
            <w:vAlign w:val="center"/>
          </w:tcPr>
          <w:p w14:paraId="4434057D">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1198" w:type="dxa"/>
            <w:noWrap/>
            <w:vAlign w:val="center"/>
          </w:tcPr>
          <w:p w14:paraId="21F3F43E">
            <w:pPr>
              <w:spacing w:line="360" w:lineRule="auto"/>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r>
    </w:tbl>
    <w:p w14:paraId="7AF915B0">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注：①计算基础：A为分部分项工程费，B为措施项目清单费，C其它项目费，D为除税工程设备费，B1为单价措施项目费。  </w:t>
      </w:r>
    </w:p>
    <w:p w14:paraId="34245E06">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②现场安全文明施工措施费率为暂定、最终以南通市建设工程造价管理处核定为准，否则在总价中扣除。</w:t>
      </w:r>
    </w:p>
    <w:p w14:paraId="0128F479">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③不可竞争费以网上公布的清单中的为准。</w:t>
      </w:r>
    </w:p>
    <w:p w14:paraId="14CD9EDA">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④其他有关费率：详见控制价文件。</w:t>
      </w:r>
    </w:p>
    <w:p w14:paraId="729AB233">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、响应报价方式：</w:t>
      </w:r>
    </w:p>
    <w:p w14:paraId="69B87FA1">
      <w:pPr>
        <w:widowControl/>
        <w:spacing w:line="360" w:lineRule="auto"/>
        <w:ind w:firstLine="562"/>
        <w:rPr>
          <w:rFonts w:hint="eastAsia" w:ascii="宋体" w:hAnsi="宋体" w:cs="宋体"/>
          <w:color w:val="auto"/>
          <w:kern w:val="0"/>
          <w:sz w:val="24"/>
          <w:szCs w:val="24"/>
          <w:highlight w:val="none"/>
          <w:lang w:eastAsia="zh-CN"/>
        </w:rPr>
      </w:pPr>
      <w:r>
        <w:rPr>
          <w:rFonts w:hint="eastAsia" w:ascii="宋体" w:hAnsi="宋体" w:cs="宋体"/>
          <w:color w:val="auto"/>
          <w:kern w:val="0"/>
          <w:sz w:val="24"/>
          <w:szCs w:val="24"/>
          <w:highlight w:val="none"/>
        </w:rPr>
        <w:t>本工程项目采用固定单价报价方式。工程量的风险由采购单位承担，价格风险在约定风险范围内的，由成交供应商承担，风险范围以外的按合同约定承担。竣工结算的工程量按发承包双方在合同中约定应予计量且实际完成的工程量确定，完成采购单位要求的合同以外的零星工作或发生非成交供应商责任事件的工程量按现场签证确定</w:t>
      </w:r>
      <w:r>
        <w:rPr>
          <w:rFonts w:hint="eastAsia" w:ascii="宋体" w:hAnsi="宋体" w:cs="宋体"/>
          <w:color w:val="auto"/>
          <w:kern w:val="0"/>
          <w:sz w:val="24"/>
          <w:szCs w:val="24"/>
          <w:highlight w:val="none"/>
          <w:lang w:eastAsia="zh-CN"/>
        </w:rPr>
        <w:t>。</w:t>
      </w:r>
    </w:p>
    <w:p w14:paraId="61F73C8B">
      <w:pPr>
        <w:widowControl/>
        <w:spacing w:line="360" w:lineRule="auto"/>
        <w:ind w:firstLine="562"/>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、响应报价的编制要求</w:t>
      </w:r>
      <w:r>
        <w:rPr>
          <w:rFonts w:hint="eastAsia" w:ascii="宋体" w:hAnsi="宋体" w:cs="宋体"/>
          <w:color w:val="auto"/>
          <w:kern w:val="0"/>
          <w:sz w:val="24"/>
          <w:szCs w:val="24"/>
          <w:highlight w:val="none"/>
          <w:lang w:eastAsia="zh-CN"/>
        </w:rPr>
        <w:t>：</w:t>
      </w:r>
    </w:p>
    <w:p w14:paraId="24411DE3">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（1）采用工程量清单计价方式，供应商不得采用总价让利或以总价百分比让利等办法进行响应报价。</w:t>
      </w:r>
    </w:p>
    <w:p w14:paraId="6DC92A45">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（2）除供应商自行补充的措施项目外，响应报价的项目编码、项目名称、项目特征、计量单位、工程量必须与采购单位提供的一致。</w:t>
      </w:r>
    </w:p>
    <w:p w14:paraId="25312F07">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（3）工程量清单中供应商没有填入单价或价格的子目，其费用视为已分摊在工程量清单中其他子目的单价或价格之中。</w:t>
      </w:r>
    </w:p>
    <w:p w14:paraId="68AF6DBD">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（4）报价书中的工程数量乘以综合单价必须等于合价，如有误差结算时以综合单价金额小的为计算依据。</w:t>
      </w:r>
    </w:p>
    <w:p w14:paraId="495426C1">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5）响应报价应根据采购文件中的工程量清单和有关要求、施工现场实际情况及拟定的施工方案或施工组织设计，依据企业定额和市场价格信息，实行自主报价（已列入不可竞争的项目除外）。供应商所报设备价、材料价如低于同期的省、市、县的造价信息或低于同期的市场价格信息，视为对采购单位的优惠。供应商响应文件中所报设备、材料其规格、尺寸、等级不得低于清单的要求。成交人应根据清单确定的标准、等级、规格组织施工。</w:t>
      </w:r>
    </w:p>
    <w:p w14:paraId="210BF9D8">
      <w:pPr>
        <w:spacing w:line="360" w:lineRule="auto"/>
        <w:ind w:firstLine="561"/>
        <w:rPr>
          <w:rFonts w:ascii="宋体" w:hAnsi="宋体" w:cs="宋体"/>
          <w:color w:val="auto"/>
          <w:kern w:val="0"/>
          <w:sz w:val="24"/>
          <w:szCs w:val="24"/>
          <w:highlight w:val="none"/>
        </w:rPr>
      </w:pPr>
      <w:r>
        <w:rPr>
          <w:rFonts w:hint="eastAsia" w:ascii="宋体" w:hAnsi="宋体" w:cs="宋体"/>
          <w:color w:val="auto"/>
          <w:kern w:val="0"/>
          <w:sz w:val="24"/>
          <w:szCs w:val="24"/>
          <w:highlight w:val="none"/>
        </w:rPr>
        <w:t>（6）供应商不得擅自改动采购单位提供的工程量清单上的内容。若对提供的工程量清单内容有疑义，请将书面疑问材料在规定的时间和方法向代理单位提出，其中清单内容的书面疑问材料经采购单位组织核实确认后提供最终工程量清单，供应商在响应报价时，不得增减清单工程量。</w:t>
      </w:r>
    </w:p>
    <w:p w14:paraId="68E3804A">
      <w:pPr>
        <w:spacing w:line="360" w:lineRule="auto"/>
        <w:ind w:firstLine="561"/>
        <w:rPr>
          <w:rFonts w:ascii="宋体" w:hAnsi="宋体" w:cs="宋体"/>
          <w:color w:val="auto"/>
          <w:kern w:val="0"/>
          <w:sz w:val="24"/>
          <w:szCs w:val="24"/>
          <w:highlight w:val="none"/>
        </w:rPr>
      </w:pPr>
      <w:r>
        <w:rPr>
          <w:rFonts w:hint="eastAsia" w:ascii="宋体" w:hAnsi="宋体" w:cs="宋体"/>
          <w:color w:val="auto"/>
          <w:kern w:val="0"/>
          <w:sz w:val="24"/>
          <w:szCs w:val="24"/>
          <w:highlight w:val="none"/>
        </w:rPr>
        <w:t>（7）本工程施工期间涉及环保、消防、城市卫生、市政、居委会、派出所等相关部门收取的费用，以及夜间文明施工、保护周边地下管线和架空线的安全的费用，吊篮或其他无工作面增加的措施费，软硬件调试费等，供应商均应综合考虑在响应报价中，竣工结算时一律不作调整。</w:t>
      </w:r>
    </w:p>
    <w:p w14:paraId="6719E810">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）供应商在响应报价时，不可竞争费用（率）不得调整，否则按无效响应文件处理。</w:t>
      </w:r>
    </w:p>
    <w:p w14:paraId="72A62EDD">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cs="宋体"/>
          <w:color w:val="auto"/>
          <w:kern w:val="0"/>
          <w:sz w:val="24"/>
          <w:szCs w:val="24"/>
          <w:highlight w:val="none"/>
        </w:rPr>
        <w:t>成交供应商不得拒绝完成采购单位在施工地点范围内变更或要求增加和减少的工程内容，并不得因此提出任何费用或工期索赔。</w:t>
      </w:r>
    </w:p>
    <w:p w14:paraId="14197F23">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）因施工场地狭小而发生的一切费用由各供应商自行考虑，所有费用包含在响应报价中，竣工结算时一律不作调整。</w:t>
      </w:r>
    </w:p>
    <w:p w14:paraId="28CBBE95">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供应商应自行根据现场实际情况，垃圾（含拆迁建筑垃圾）拆除清运费由供应商自行计入报价，实际施工中不再签证，结算时不予调整。清理标准必须得到采购单位认可，否则，如发生相关费用则由采购单位在工程结算价款中扣除。</w:t>
      </w:r>
    </w:p>
    <w:p w14:paraId="272DE141">
      <w:pPr>
        <w:widowControl/>
        <w:spacing w:line="360" w:lineRule="auto"/>
        <w:ind w:firstLine="562"/>
        <w:rPr>
          <w:rFonts w:hAnsi="Arial"/>
          <w:b/>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供应商必须认真仔细踏勘施工现场，结合本工程实际情况，并在响应报价时综合考虑赶工措施费、已完工程、原有地上及地下成品保护费、设备保护费、临时设施费等总价措施费项目，并计入报价，该费用一次性包定，结算时一律不作调整。如有损坏，应按照不低于原设计标准恢复，费用列入报价。</w:t>
      </w:r>
    </w:p>
    <w:p w14:paraId="0A8D5DB0">
      <w:pPr>
        <w:spacing w:line="360" w:lineRule="auto"/>
        <w:ind w:firstLine="480"/>
        <w:rPr>
          <w:rFonts w:ascii="宋体" w:hAnsi="宋体" w:cs="宋体"/>
          <w:color w:val="auto"/>
          <w:kern w:val="0"/>
          <w:sz w:val="24"/>
          <w:szCs w:val="24"/>
          <w:highlight w:val="none"/>
        </w:rPr>
      </w:pPr>
      <w:r>
        <w:rPr>
          <w:rFonts w:hint="eastAsia" w:ascii="方正仿宋_GB2312" w:hAnsi="Arial"/>
          <w:color w:val="auto"/>
          <w:kern w:val="0"/>
          <w:sz w:val="24"/>
          <w:szCs w:val="24"/>
          <w:highlight w:val="none"/>
        </w:rPr>
        <w:t>（</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3</w:t>
      </w:r>
      <w:r>
        <w:rPr>
          <w:rFonts w:hint="eastAsia" w:ascii="方正仿宋_GB2312" w:hAnsi="Arial"/>
          <w:color w:val="auto"/>
          <w:kern w:val="0"/>
          <w:sz w:val="24"/>
          <w:szCs w:val="24"/>
          <w:highlight w:val="none"/>
        </w:rPr>
        <w:t>）供应商应认真踏勘施工现场，并在报价中充分考虑施工现场情况、</w:t>
      </w:r>
      <w:r>
        <w:rPr>
          <w:rFonts w:hint="eastAsia" w:ascii="宋体" w:hAnsi="宋体" w:cs="宋体"/>
          <w:color w:val="auto"/>
          <w:kern w:val="0"/>
          <w:sz w:val="24"/>
          <w:szCs w:val="24"/>
          <w:highlight w:val="none"/>
        </w:rPr>
        <w:t>施工期的各种风险及施工期间或以后有可能发生的费用，并计入工程报价，一旦成交，不得提出额外增加费用要求。</w:t>
      </w:r>
    </w:p>
    <w:p w14:paraId="197C11BE">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）工程量清单应与施工图、</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技术要求、技术规范等文件结合起来阅读，除设计变更外，采购单位在工程量清单项目特征中未列明或项目特征描述不全，但供应商为满足采购单位和设计图纸的要求而必须完成的工作，供应商应计入工程量清单相应子目中，工程结算时采购单位不为此类项目另外支付费用。</w:t>
      </w:r>
    </w:p>
    <w:p w14:paraId="7DD602C9">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供应商须在竣工前拆除现场所有临时设施，建筑垃圾及剩余材料全部清运出场，相关费用（含渣土证费用）由各供应商在报价时自行考虑到响应报价中，竣工结算时不作任何调整。清理标准应得到采购单位的认可，否则，如发生相关费用则由采购单位在工程结算价款中扣除。</w:t>
      </w:r>
    </w:p>
    <w:p w14:paraId="4882DB02">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成交供应商应独立、有效地做好该工程周边的群众工作，如噪音、扬尘等，独立、有效地做好该工程周边的有关群众工作并充分考虑工程实施范围内外的单位、个人和其他可能出现阻挠施工的情况，若发生的机械台班停置费、二次机械进退场费、人员窝工、处理周边群众纠纷等费用和损失，由供应商自行考虑，并列入响应报价，工程竣工结算时不作调整。</w:t>
      </w:r>
    </w:p>
    <w:p w14:paraId="78D21424">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现场安全文明施工措施费、规费项目费、税金项目费、暂列金额（如有，使用权归业主方）、暂估价（如有，不允许调整，最终价格由采购单位通过合适的方法确定）不得调整外，供应商可根据自己的施工方案及企业自身情况不低于成本报价。</w:t>
      </w:r>
    </w:p>
    <w:p w14:paraId="43FC5AB9">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18</w:t>
      </w:r>
      <w:r>
        <w:rPr>
          <w:rFonts w:hint="eastAsia" w:ascii="宋体" w:hAnsi="宋体" w:cs="宋体"/>
          <w:color w:val="auto"/>
          <w:kern w:val="0"/>
          <w:sz w:val="24"/>
          <w:szCs w:val="24"/>
          <w:highlight w:val="none"/>
        </w:rPr>
        <w:t>）作为一个有经验的承包商，响应报价时应考虑施工过程中可能发生的各种风险因素，在整个工程施工过程中，若发生对周边相关构筑物、设施损坏的，承包人必须负责更换或修复，直至得到采购单位的认可，期间涉及的所有费用由供应商承担，采购单位不再另行支付该项费用，结算时一律不作调整。</w:t>
      </w:r>
    </w:p>
    <w:p w14:paraId="157A4645">
      <w:pPr>
        <w:spacing w:line="360" w:lineRule="auto"/>
        <w:ind w:firstLine="561"/>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19</w:t>
      </w:r>
      <w:r>
        <w:rPr>
          <w:rFonts w:hint="eastAsia" w:ascii="宋体" w:hAnsi="宋体" w:cs="宋体"/>
          <w:color w:val="auto"/>
          <w:kern w:val="0"/>
          <w:sz w:val="24"/>
          <w:szCs w:val="24"/>
          <w:highlight w:val="none"/>
        </w:rPr>
        <w:t>）若供应商在响应报价时擅自改变暂估价或暂列金额且评审时未被发现，报价低于暂估价或暂列金额结算时统一先按</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文件明确暂估价或暂列金额扣除，报价高于暂估价或暂列金额时统一先按报价扣除；若擅自改变采购文件及清单内容，且评标时未被发现的，实际施工时一律以</w:t>
      </w:r>
      <w:r>
        <w:rPr>
          <w:rFonts w:hint="eastAsia" w:ascii="宋体" w:hAnsi="宋体" w:cs="宋体"/>
          <w:color w:val="auto"/>
          <w:kern w:val="0"/>
          <w:sz w:val="24"/>
          <w:szCs w:val="24"/>
          <w:highlight w:val="none"/>
          <w:lang w:val="en-US" w:eastAsia="zh-CN"/>
        </w:rPr>
        <w:t>采购</w:t>
      </w:r>
      <w:r>
        <w:rPr>
          <w:rFonts w:hint="eastAsia" w:ascii="宋体" w:hAnsi="宋体" w:cs="宋体"/>
          <w:color w:val="auto"/>
          <w:kern w:val="0"/>
          <w:sz w:val="24"/>
          <w:szCs w:val="24"/>
          <w:highlight w:val="none"/>
        </w:rPr>
        <w:t>文件及清单内容执行，结算价格不予调整。</w:t>
      </w:r>
    </w:p>
    <w:p w14:paraId="058EAD8C">
      <w:pPr>
        <w:spacing w:line="360" w:lineRule="auto"/>
        <w:ind w:firstLine="561"/>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0</w:t>
      </w:r>
      <w:r>
        <w:rPr>
          <w:rFonts w:hint="eastAsia" w:ascii="宋体" w:hAnsi="宋体" w:cs="宋体"/>
          <w:color w:val="auto"/>
          <w:kern w:val="0"/>
          <w:sz w:val="24"/>
          <w:szCs w:val="24"/>
          <w:highlight w:val="none"/>
        </w:rPr>
        <w:t>）本工程涉及的群众问题及施工过程中出现的临时交通维护、施工临时占用道路及绿化的补偿或恢复、周边建筑的破损补偿或恢复、垃圾清理清杂、运出及可能出现的窝工、停工、怠工、对施工过程中遇到的应由承包人承担的补偿、赔偿、罚款、违约金等费用均由施工单位自行解决，并列入响应报价，工程结算时不作调整。</w:t>
      </w:r>
    </w:p>
    <w:p w14:paraId="6445EECD">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en-US" w:eastAsia="zh-CN"/>
        </w:rPr>
        <w:t>供应商</w:t>
      </w:r>
      <w:r>
        <w:rPr>
          <w:rFonts w:hint="eastAsia" w:ascii="宋体" w:hAnsi="宋体" w:cs="宋体"/>
          <w:color w:val="auto"/>
          <w:kern w:val="0"/>
          <w:sz w:val="24"/>
          <w:szCs w:val="24"/>
          <w:highlight w:val="none"/>
        </w:rPr>
        <w:t>在施工中应注意与相邻近的建筑物（构筑物）的关系，采取合理的措施，避免产生不利影响，相关措施费用自行考虑并列入措施清单，一次性包死，若因成交供应商原因造成建筑物（构筑物）出现位移、裂缝等情况，由成交供应商负责赔偿，相关费用自行估算并列入措施项目清单，一次性包死。</w:t>
      </w:r>
    </w:p>
    <w:p w14:paraId="28C3CD2D">
      <w:pPr>
        <w:widowControl/>
        <w:spacing w:line="360" w:lineRule="auto"/>
        <w:ind w:firstLine="562"/>
        <w:rPr>
          <w:rFonts w:ascii="宋体" w:hAnsi="宋体" w:cs="宋体"/>
          <w:b/>
          <w:bCs/>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w:t>
      </w:r>
      <w:r>
        <w:rPr>
          <w:rFonts w:hint="eastAsia" w:ascii="宋体" w:hAnsi="宋体" w:cs="宋体"/>
          <w:b/>
          <w:bCs/>
          <w:color w:val="auto"/>
          <w:kern w:val="0"/>
          <w:sz w:val="24"/>
          <w:szCs w:val="24"/>
          <w:highlight w:val="none"/>
          <w:lang w:val="en-US" w:eastAsia="zh-CN"/>
        </w:rPr>
        <w:t>九曲桥位于南通博物苑东侧濠河内，紧邻博物苑，博物苑苑内园路狭窄，大型车辆无法进入，相关措施项目由供应商自行踏勘现场，考虑安排并计入报价，结算时一律不做调整。</w:t>
      </w:r>
    </w:p>
    <w:p w14:paraId="3E030DFF">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成交供应商必须保护现有房屋、道路、结构物等成品，如有损坏，应按照不低于原设计标准恢复，费用自理。如成交供应商不能及时按采购单位要求恢复，采购单位有权委托其他单位实施，相关费用从成交供应商合同价中予以扣除。</w:t>
      </w:r>
    </w:p>
    <w:p w14:paraId="3F3D3E52">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）供应商确定响应报价时应考虑施工过程中运出的建筑垃圾等必须运出施工现场范围以外，否则，除须接受相关部门的处罚外，发现一次采购单位将视情节严重向</w:t>
      </w:r>
      <w:r>
        <w:rPr>
          <w:rFonts w:hint="eastAsia" w:ascii="宋体" w:hAnsi="宋体" w:cs="宋体"/>
          <w:color w:val="auto"/>
          <w:kern w:val="0"/>
          <w:sz w:val="24"/>
          <w:szCs w:val="24"/>
          <w:highlight w:val="none"/>
          <w:lang w:val="en-US" w:eastAsia="zh-CN"/>
        </w:rPr>
        <w:t>成交</w:t>
      </w:r>
      <w:r>
        <w:rPr>
          <w:rFonts w:hint="eastAsia" w:ascii="宋体" w:hAnsi="宋体" w:cs="宋体"/>
          <w:color w:val="auto"/>
          <w:kern w:val="0"/>
          <w:sz w:val="24"/>
          <w:szCs w:val="24"/>
          <w:highlight w:val="none"/>
        </w:rPr>
        <w:t>供应商收取履约保证金的10-20%，并有权要求其重新清运出。供应商清运前必须向采购单位指明堆放地点(该地点必须符合建筑垃圾(渣土)管理中心要求)，建筑垃圾(渣土)管理中心收取的建筑垃圾处置费由响应供应商考虑在报价中，结算时不予调整。</w:t>
      </w:r>
    </w:p>
    <w:p w14:paraId="3F521634">
      <w:pPr>
        <w:widowControl/>
        <w:spacing w:line="360" w:lineRule="auto"/>
        <w:ind w:firstLine="562"/>
        <w:rPr>
          <w:color w:val="auto"/>
          <w:kern w:val="0"/>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25</w:t>
      </w:r>
      <w:r>
        <w:rPr>
          <w:rFonts w:hint="eastAsia" w:ascii="宋体" w:hAnsi="宋体" w:cs="宋体"/>
          <w:color w:val="auto"/>
          <w:kern w:val="0"/>
          <w:sz w:val="24"/>
          <w:szCs w:val="24"/>
          <w:highlight w:val="none"/>
        </w:rPr>
        <w:t>）施工期间和竣工移交时的保洁工作及费用，响应供应商在报价时须综合考虑在响应报价中，结算时不做调整。</w:t>
      </w:r>
    </w:p>
    <w:p w14:paraId="7BB1F35A">
      <w:pPr>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（2</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）供应商施工期间应遵守</w:t>
      </w:r>
      <w:r>
        <w:rPr>
          <w:rFonts w:hint="eastAsia" w:ascii="宋体" w:hAnsi="宋体" w:cs="宋体"/>
          <w:color w:val="auto"/>
          <w:kern w:val="0"/>
          <w:sz w:val="24"/>
          <w:szCs w:val="24"/>
          <w:highlight w:val="none"/>
          <w:lang w:eastAsia="zh-CN"/>
        </w:rPr>
        <w:t>南通博物苑</w:t>
      </w:r>
      <w:r>
        <w:rPr>
          <w:rFonts w:hint="eastAsia" w:ascii="宋体" w:hAnsi="宋体" w:cs="宋体"/>
          <w:color w:val="auto"/>
          <w:kern w:val="0"/>
          <w:sz w:val="24"/>
          <w:szCs w:val="24"/>
          <w:highlight w:val="none"/>
        </w:rPr>
        <w:t>的有关施工管理和物业管理规定，做好每日施工场地清理、垃圾清运和保洁工作，上述费用包含在本次报价中，结算不作调整。</w:t>
      </w:r>
    </w:p>
    <w:p w14:paraId="7D8F880A">
      <w:pPr>
        <w:widowControl/>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r>
        <w:rPr>
          <w:rFonts w:hint="eastAsia" w:ascii="宋体" w:hAnsi="宋体" w:cs="宋体"/>
          <w:color w:val="auto"/>
          <w:kern w:val="0"/>
          <w:sz w:val="24"/>
          <w:szCs w:val="24"/>
          <w:highlight w:val="none"/>
          <w:lang w:val="en-US" w:eastAsia="zh-CN"/>
        </w:rPr>
        <w:t>7</w:t>
      </w:r>
      <w:r>
        <w:rPr>
          <w:rFonts w:hint="eastAsia" w:ascii="宋体" w:hAnsi="宋体" w:cs="宋体"/>
          <w:color w:val="auto"/>
          <w:kern w:val="0"/>
          <w:sz w:val="24"/>
          <w:szCs w:val="24"/>
          <w:highlight w:val="none"/>
        </w:rPr>
        <w:t>）赶工费、按质论价费、二次搬运费、特殊条件下施工增加费、冬雨季施工增加费、夜间施工增加费、临时设施费、已完工程及设备保护费等措施费由各供应商自行考虑，列入响应报价，一次性包定，结算时一律不作调整。</w:t>
      </w:r>
    </w:p>
    <w:p w14:paraId="3E5ACE3D">
      <w:pPr>
        <w:spacing w:line="360" w:lineRule="auto"/>
        <w:ind w:firstLine="56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28</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成交供应商的管理人员临时办公室、工人宿舍及配套生活用房须另行自理，因工程需要临时向其他单位租用场地的，由成交供应商自行解决，相关费用列入报价。</w:t>
      </w:r>
    </w:p>
    <w:p w14:paraId="5E1100B2">
      <w:pPr>
        <w:spacing w:line="360" w:lineRule="auto"/>
        <w:ind w:firstLine="562"/>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en-US" w:eastAsia="zh-CN"/>
        </w:rPr>
        <w:t>29</w:t>
      </w:r>
      <w:r>
        <w:rPr>
          <w:rFonts w:hint="eastAsia" w:ascii="宋体" w:hAnsi="宋体" w:cs="宋体"/>
          <w:color w:val="auto"/>
          <w:kern w:val="0"/>
          <w:sz w:val="24"/>
          <w:szCs w:val="24"/>
          <w:highlight w:val="none"/>
        </w:rPr>
        <w:t>）工程所有乙供材料均由承包人在确保质量的前提下自行采购，材料价格按照中</w:t>
      </w:r>
      <w:r>
        <w:rPr>
          <w:rFonts w:hint="eastAsia" w:ascii="宋体" w:hAnsi="宋体" w:cs="宋体"/>
          <w:color w:val="auto"/>
          <w:kern w:val="0"/>
          <w:sz w:val="24"/>
          <w:szCs w:val="24"/>
          <w:highlight w:val="none"/>
          <w:lang w:val="en-US" w:eastAsia="zh-CN"/>
        </w:rPr>
        <w:t>高</w:t>
      </w:r>
      <w:r>
        <w:rPr>
          <w:rFonts w:hint="eastAsia" w:ascii="宋体" w:hAnsi="宋体" w:cs="宋体"/>
          <w:color w:val="auto"/>
          <w:kern w:val="0"/>
          <w:sz w:val="24"/>
          <w:szCs w:val="24"/>
          <w:highlight w:val="none"/>
        </w:rPr>
        <w:t>档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14:paraId="36F9DD8C">
      <w:pPr>
        <w:spacing w:line="360" w:lineRule="auto"/>
        <w:ind w:firstLine="562"/>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30</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供应商应认真踏勘施工现场，考虑打桩船和施工便桥费用，</w:t>
      </w:r>
      <w:r>
        <w:rPr>
          <w:rFonts w:hint="eastAsia" w:ascii="宋体" w:hAnsi="宋体" w:cs="宋体"/>
          <w:b/>
          <w:bCs/>
          <w:color w:val="auto"/>
          <w:kern w:val="0"/>
          <w:sz w:val="24"/>
          <w:szCs w:val="24"/>
          <w:highlight w:val="none"/>
          <w:lang w:eastAsia="zh-CN"/>
        </w:rPr>
        <w:t>上述费用包含在投标报价中，结算不作调整。</w:t>
      </w:r>
    </w:p>
    <w:p w14:paraId="4071813C">
      <w:pPr>
        <w:spacing w:line="360" w:lineRule="auto"/>
        <w:ind w:firstLine="562"/>
        <w:rPr>
          <w:color w:val="auto"/>
          <w:kern w:val="0"/>
          <w:szCs w:val="24"/>
          <w:highlight w:val="none"/>
        </w:rPr>
      </w:pP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）其他未尽事宜在书面答疑中明确。</w:t>
      </w:r>
    </w:p>
    <w:p w14:paraId="4164ADEE">
      <w:pPr>
        <w:spacing w:line="360" w:lineRule="auto"/>
        <w:ind w:firstLine="56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（四）采购标的数量、采购项目交付或者实施的时间和地点</w:t>
      </w:r>
    </w:p>
    <w:p w14:paraId="4CE21CF7">
      <w:pPr>
        <w:spacing w:line="360" w:lineRule="auto"/>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1、采购需求清单：详见附件（工程量清单、图纸）。</w:t>
      </w:r>
    </w:p>
    <w:p w14:paraId="7B621785">
      <w:pPr>
        <w:spacing w:line="360" w:lineRule="auto"/>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2、实施时间：</w:t>
      </w:r>
      <w:r>
        <w:rPr>
          <w:rFonts w:hint="eastAsia" w:ascii="宋体" w:hAnsi="宋体" w:cs="宋体"/>
          <w:color w:val="auto"/>
          <w:kern w:val="0"/>
          <w:sz w:val="24"/>
          <w:szCs w:val="24"/>
          <w:highlight w:val="none"/>
          <w:lang w:val="en-US" w:eastAsia="zh-CN"/>
        </w:rPr>
        <w:t>100</w:t>
      </w:r>
      <w:r>
        <w:rPr>
          <w:rFonts w:hint="eastAsia" w:ascii="宋体" w:hAnsi="宋体" w:cs="宋体"/>
          <w:color w:val="auto"/>
          <w:kern w:val="0"/>
          <w:sz w:val="24"/>
          <w:szCs w:val="24"/>
          <w:highlight w:val="none"/>
        </w:rPr>
        <w:t>日历天内完工并通过验收，具体开工日期由采购单位安排。</w:t>
      </w:r>
    </w:p>
    <w:p w14:paraId="03036978">
      <w:pPr>
        <w:spacing w:line="360" w:lineRule="auto"/>
        <w:ind w:firstLine="560"/>
        <w:rPr>
          <w:rFonts w:ascii="宋体" w:hAnsi="宋体" w:cs="宋体"/>
          <w:color w:val="auto"/>
          <w:kern w:val="0"/>
          <w:sz w:val="24"/>
          <w:szCs w:val="24"/>
          <w:highlight w:val="none"/>
        </w:rPr>
      </w:pPr>
      <w:r>
        <w:rPr>
          <w:rFonts w:hint="eastAsia" w:ascii="宋体" w:hAnsi="宋体" w:cs="宋体"/>
          <w:color w:val="auto"/>
          <w:kern w:val="0"/>
          <w:sz w:val="24"/>
          <w:szCs w:val="24"/>
          <w:highlight w:val="none"/>
        </w:rPr>
        <w:t>3、建设地址：南通市崇川区</w:t>
      </w:r>
      <w:r>
        <w:rPr>
          <w:rFonts w:hint="eastAsia" w:ascii="宋体" w:hAnsi="宋体" w:cs="宋体"/>
          <w:color w:val="auto"/>
          <w:kern w:val="0"/>
          <w:sz w:val="24"/>
          <w:szCs w:val="24"/>
          <w:highlight w:val="none"/>
          <w:lang w:val="en-US" w:eastAsia="zh-CN"/>
        </w:rPr>
        <w:t>南通博物苑东侧濠河内</w:t>
      </w:r>
      <w:r>
        <w:rPr>
          <w:rFonts w:hint="eastAsia" w:ascii="宋体" w:hAnsi="宋体" w:cs="宋体"/>
          <w:color w:val="auto"/>
          <w:kern w:val="0"/>
          <w:sz w:val="24"/>
          <w:szCs w:val="24"/>
          <w:highlight w:val="none"/>
        </w:rPr>
        <w:t>。</w:t>
      </w:r>
    </w:p>
    <w:p w14:paraId="67A53B49">
      <w:pPr>
        <w:widowControl/>
        <w:spacing w:line="360" w:lineRule="auto"/>
        <w:ind w:firstLine="56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（五）采购标的需满足的服务标准、期限、效率等要求</w:t>
      </w:r>
    </w:p>
    <w:p w14:paraId="6494ADA8">
      <w:pPr>
        <w:tabs>
          <w:tab w:val="left" w:pos="0"/>
        </w:tabs>
        <w:spacing w:line="360" w:lineRule="auto"/>
        <w:ind w:firstLine="562"/>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本项目质量保修期为2年。质量保修期自工程竣工验收合格之日起计算。</w:t>
      </w:r>
    </w:p>
    <w:p w14:paraId="2AE2D32C">
      <w:pPr>
        <w:tabs>
          <w:tab w:val="left" w:pos="0"/>
        </w:tabs>
        <w:spacing w:line="360" w:lineRule="auto"/>
        <w:ind w:firstLine="562"/>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（六）采购标的验收标准</w:t>
      </w:r>
    </w:p>
    <w:p w14:paraId="7F1274F1">
      <w:pPr>
        <w:spacing w:line="360" w:lineRule="auto"/>
        <w:ind w:firstLine="560"/>
        <w:rPr>
          <w:rFonts w:hAnsi="宋体"/>
          <w:color w:val="auto"/>
          <w:spacing w:val="7"/>
          <w:kern w:val="0"/>
          <w:sz w:val="24"/>
          <w:szCs w:val="24"/>
          <w:highlight w:val="none"/>
          <w:shd w:val="clear" w:color="auto" w:fill="FFFFFF"/>
        </w:rPr>
      </w:pPr>
      <w:r>
        <w:rPr>
          <w:rFonts w:hint="eastAsia" w:ascii="宋体" w:hAnsi="宋体" w:cs="宋体"/>
          <w:color w:val="auto"/>
          <w:kern w:val="0"/>
          <w:sz w:val="24"/>
          <w:szCs w:val="24"/>
          <w:highlight w:val="none"/>
        </w:rPr>
        <w:t>验收标准根据有关规定及技术要求,验收通过为准。</w:t>
      </w:r>
    </w:p>
    <w:p w14:paraId="193D9397">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SA"/>
        </w:rPr>
        <w:t>（七）</w:t>
      </w:r>
      <w:r>
        <w:rPr>
          <w:rFonts w:hint="eastAsia" w:ascii="宋体" w:hAnsi="宋体" w:cs="宋体"/>
          <w:b/>
          <w:bCs/>
          <w:color w:val="auto"/>
          <w:kern w:val="0"/>
          <w:sz w:val="24"/>
          <w:szCs w:val="24"/>
          <w:highlight w:val="none"/>
        </w:rPr>
        <w:t>非单一产品采购项目，采购标的中的核心产品</w:t>
      </w:r>
    </w:p>
    <w:p w14:paraId="39350D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不涉及。</w:t>
      </w:r>
    </w:p>
    <w:p w14:paraId="3CCAC96C">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bidi="ar-SA"/>
        </w:rPr>
        <w:t>（八）</w:t>
      </w:r>
      <w:r>
        <w:rPr>
          <w:rFonts w:hint="eastAsia" w:ascii="宋体" w:hAnsi="宋体" w:cs="宋体"/>
          <w:b/>
          <w:bCs/>
          <w:color w:val="auto"/>
          <w:kern w:val="0"/>
          <w:sz w:val="24"/>
          <w:szCs w:val="24"/>
          <w:highlight w:val="none"/>
        </w:rPr>
        <w:t>付款方式</w:t>
      </w:r>
    </w:p>
    <w:p w14:paraId="7D5D7D3B">
      <w:pPr>
        <w:spacing w:line="360" w:lineRule="auto"/>
        <w:ind w:firstLine="588"/>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供应商足额缴纳履约保证金、签订合同后，供应商提交付款申请，采购人审核后七日内支付合同总价的30%；所有材料进场并经采购人确认后，供应商提交付款申请，采购人审核后七日内支付合同总价的10%；全部工程竣工并经验收合格后，供应商提交全部工程资料及付款申请，采购人审核后七日内支付合同总价的30%；完成工程审计后，供应商提交付款申请，采购人审核后七日内付至审计价的97%；余款于验收合格满1年且无质量问题后支付。每次支付前，供应商均应出具税务部门开具的相应金额的税务发票，供应商未提供合法有效的发票的，采购人有权延迟付款并且不承担违约责任。</w:t>
      </w:r>
    </w:p>
    <w:p w14:paraId="40F44128">
      <w:pPr>
        <w:spacing w:line="360" w:lineRule="auto"/>
        <w:ind w:firstLine="588"/>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（九）履约保证金</w:t>
      </w:r>
    </w:p>
    <w:p w14:paraId="58CA659D">
      <w:pPr>
        <w:spacing w:line="360" w:lineRule="auto"/>
        <w:ind w:firstLine="588"/>
        <w:rPr>
          <w:rFonts w:ascii="宋体" w:hAnsi="宋体" w:cs="宋体"/>
          <w:color w:val="auto"/>
          <w:kern w:val="0"/>
          <w:sz w:val="24"/>
          <w:szCs w:val="24"/>
          <w:highlight w:val="none"/>
        </w:rPr>
      </w:pPr>
      <w:r>
        <w:rPr>
          <w:rFonts w:hint="eastAsia" w:ascii="宋体" w:hAnsi="宋体" w:cs="宋体"/>
          <w:color w:val="auto"/>
          <w:kern w:val="0"/>
          <w:sz w:val="24"/>
          <w:szCs w:val="24"/>
          <w:highlight w:val="none"/>
        </w:rPr>
        <w:t>1、本项目成交后的履约保证金为项目合同总价款的</w:t>
      </w:r>
      <w:r>
        <w:rPr>
          <w:rFonts w:hint="eastAsia" w:ascii="宋体" w:hAnsi="宋体" w:cs="宋体"/>
          <w:color w:val="auto"/>
          <w:kern w:val="0"/>
          <w:sz w:val="24"/>
          <w:szCs w:val="24"/>
          <w:highlight w:val="none"/>
          <w:u w:val="single"/>
        </w:rPr>
        <w:t xml:space="preserve">10% </w:t>
      </w:r>
      <w:r>
        <w:rPr>
          <w:rFonts w:hint="eastAsia" w:ascii="宋体" w:hAnsi="宋体" w:cs="宋体"/>
          <w:color w:val="auto"/>
          <w:kern w:val="0"/>
          <w:sz w:val="24"/>
          <w:szCs w:val="24"/>
          <w:highlight w:val="none"/>
        </w:rPr>
        <w:t>。</w:t>
      </w:r>
    </w:p>
    <w:p w14:paraId="5816EEC1">
      <w:pPr>
        <w:spacing w:line="360" w:lineRule="auto"/>
        <w:ind w:firstLine="588"/>
        <w:rPr>
          <w:rFonts w:ascii="宋体" w:hAnsi="宋体" w:cs="宋体"/>
          <w:color w:val="auto"/>
          <w:kern w:val="0"/>
          <w:sz w:val="24"/>
          <w:szCs w:val="24"/>
          <w:highlight w:val="none"/>
        </w:rPr>
      </w:pPr>
      <w:r>
        <w:rPr>
          <w:rFonts w:hint="eastAsia" w:ascii="宋体" w:hAnsi="宋体" w:cs="宋体"/>
          <w:color w:val="auto"/>
          <w:kern w:val="0"/>
          <w:sz w:val="24"/>
          <w:szCs w:val="24"/>
          <w:highlight w:val="none"/>
        </w:rPr>
        <w:t>2、成交供应商的履约保证金须在成交通知书发出后7日内汇入采购单位账户，成交供应商凭成交通知书、履约保证金缴纳凭证在成交通知书发出后30日内与采购单位签订合同。超期或未有协商，则视为自动放弃成交资格。</w:t>
      </w:r>
    </w:p>
    <w:p w14:paraId="15380C80">
      <w:pPr>
        <w:spacing w:line="360" w:lineRule="auto"/>
        <w:ind w:firstLine="588"/>
        <w:rPr>
          <w:rFonts w:ascii="宋体" w:hAnsi="宋体" w:cs="宋体"/>
          <w:color w:val="auto"/>
          <w:kern w:val="0"/>
          <w:sz w:val="24"/>
          <w:szCs w:val="24"/>
          <w:highlight w:val="none"/>
        </w:rPr>
      </w:pPr>
      <w:r>
        <w:rPr>
          <w:rFonts w:hint="eastAsia" w:ascii="宋体" w:hAnsi="宋体" w:cs="宋体"/>
          <w:color w:val="auto"/>
          <w:kern w:val="0"/>
          <w:sz w:val="24"/>
          <w:szCs w:val="24"/>
          <w:highlight w:val="none"/>
        </w:rPr>
        <w:t>3、成交供应商按要求保质保量的完成该项目且通过最终验收后，一次性无息退还履约保证金。</w:t>
      </w:r>
    </w:p>
    <w:p w14:paraId="3A2D9EAD">
      <w:pPr>
        <w:spacing w:line="360" w:lineRule="auto"/>
        <w:ind w:firstLine="588"/>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4、因成交供应商原因，签订合同后出现不按合同履行的情况，采购单位有权将履约保证金作为违约金，全额不予退还，同时采购单位亦有权终止合同，成交供应商还须依法承担相应的赔偿责任。</w:t>
      </w:r>
    </w:p>
    <w:p w14:paraId="7076956E">
      <w:pPr>
        <w:spacing w:line="360" w:lineRule="auto"/>
        <w:ind w:firstLine="588"/>
        <w:rPr>
          <w:color w:val="auto"/>
          <w:highlight w:val="none"/>
        </w:rPr>
      </w:pPr>
      <w:r>
        <w:rPr>
          <w:rFonts w:hint="eastAsia" w:ascii="Times New Roman"/>
          <w:color w:val="auto"/>
          <w:sz w:val="24"/>
          <w:szCs w:val="24"/>
          <w:highlight w:val="none"/>
          <w:lang w:val="en-US" w:eastAsia="zh-CN"/>
        </w:rPr>
        <w:t>5、以履约保函（保险）形式向采购单位缴纳的，按照《关于在全省政府采购领域推行电子履约保函（保险）的通知》（苏财购〔2023〕150号），登录江苏政府采购网，选择“保险保函”模块，进行相关操作。供应商可登录江苏政府采购网“资料下载”栏目（网址：http://www.ccgp-jiangsu.gov.cn/jiangsu/zlxz)下载“政府采购电子履约保函（保险）操作手册”。</w:t>
      </w:r>
    </w:p>
    <w:p w14:paraId="38DF509E">
      <w:pPr>
        <w:rPr>
          <w:rFonts w:ascii="Times New Roman" w:hAnsi="Times New Roman"/>
          <w:b/>
          <w:bCs/>
          <w:color w:val="auto"/>
          <w:sz w:val="36"/>
          <w:szCs w:val="36"/>
          <w:highlight w:val="none"/>
        </w:rPr>
      </w:pPr>
      <w:bookmarkStart w:id="217" w:name="_Toc120614281"/>
      <w:r>
        <w:rPr>
          <w:rFonts w:ascii="Times New Roman" w:hAnsi="Times New Roman"/>
          <w:b/>
          <w:bCs/>
          <w:color w:val="auto"/>
          <w:sz w:val="36"/>
          <w:szCs w:val="36"/>
          <w:highlight w:val="none"/>
        </w:rPr>
        <w:br w:type="page"/>
      </w:r>
    </w:p>
    <w:p w14:paraId="07B2F4CF">
      <w:pPr>
        <w:keepNext/>
        <w:spacing w:line="360" w:lineRule="auto"/>
        <w:jc w:val="center"/>
        <w:outlineLvl w:val="0"/>
        <w:rPr>
          <w:rFonts w:ascii="Times New Roman" w:hAnsi="Times New Roman"/>
          <w:color w:val="auto"/>
          <w:szCs w:val="21"/>
          <w:highlight w:val="none"/>
        </w:rPr>
      </w:pPr>
      <w:bookmarkStart w:id="218" w:name="_Toc30005"/>
      <w:r>
        <w:rPr>
          <w:rFonts w:ascii="Times New Roman" w:hAnsi="Times New Roman"/>
          <w:b/>
          <w:bCs/>
          <w:color w:val="auto"/>
          <w:sz w:val="36"/>
          <w:szCs w:val="36"/>
          <w:highlight w:val="none"/>
        </w:rPr>
        <w:t>第五章</w:t>
      </w:r>
      <w:r>
        <w:rPr>
          <w:rFonts w:hint="eastAsia" w:ascii="Times New Roman" w:hAnsi="Times New Roman"/>
          <w:b/>
          <w:bCs/>
          <w:color w:val="auto"/>
          <w:sz w:val="36"/>
          <w:szCs w:val="36"/>
          <w:highlight w:val="none"/>
        </w:rPr>
        <w:t xml:space="preserve"> </w:t>
      </w:r>
      <w:r>
        <w:rPr>
          <w:rFonts w:ascii="Times New Roman" w:hAnsi="Times New Roman"/>
          <w:b/>
          <w:bCs/>
          <w:color w:val="auto"/>
          <w:sz w:val="36"/>
          <w:szCs w:val="36"/>
          <w:highlight w:val="none"/>
        </w:rPr>
        <w:t>评</w:t>
      </w:r>
      <w:r>
        <w:rPr>
          <w:rFonts w:hint="eastAsia" w:ascii="Times New Roman" w:hAnsi="Times New Roman"/>
          <w:b/>
          <w:bCs/>
          <w:color w:val="auto"/>
          <w:sz w:val="36"/>
          <w:szCs w:val="36"/>
          <w:highlight w:val="none"/>
        </w:rPr>
        <w:t>标</w:t>
      </w:r>
      <w:r>
        <w:rPr>
          <w:rFonts w:ascii="Times New Roman" w:hAnsi="Times New Roman"/>
          <w:b/>
          <w:bCs/>
          <w:color w:val="auto"/>
          <w:sz w:val="36"/>
          <w:szCs w:val="36"/>
          <w:highlight w:val="none"/>
        </w:rPr>
        <w:t>方法与评</w:t>
      </w:r>
      <w:r>
        <w:rPr>
          <w:rFonts w:hint="eastAsia" w:ascii="Times New Roman" w:hAnsi="Times New Roman"/>
          <w:b/>
          <w:bCs/>
          <w:color w:val="auto"/>
          <w:sz w:val="36"/>
          <w:szCs w:val="36"/>
          <w:highlight w:val="none"/>
        </w:rPr>
        <w:t>标</w:t>
      </w:r>
      <w:r>
        <w:rPr>
          <w:rFonts w:ascii="Times New Roman" w:hAnsi="Times New Roman"/>
          <w:b/>
          <w:bCs/>
          <w:color w:val="auto"/>
          <w:sz w:val="36"/>
          <w:szCs w:val="36"/>
          <w:highlight w:val="none"/>
        </w:rPr>
        <w:t>标准</w:t>
      </w:r>
      <w:bookmarkEnd w:id="218"/>
    </w:p>
    <w:p w14:paraId="1A59D24F">
      <w:pPr>
        <w:pStyle w:val="5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一、评审方法：</w:t>
      </w:r>
    </w:p>
    <w:p w14:paraId="41782C6A">
      <w:pPr>
        <w:pStyle w:val="5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采用综合评分法，经磋商确定最终采购需求和提交最后报价的供应商后，由磋商小组采用综合评分法对提交最后报价的供应商的响应文件和最后报价进行综合评分。</w:t>
      </w:r>
    </w:p>
    <w:p w14:paraId="2B4B2F19">
      <w:pPr>
        <w:pStyle w:val="50"/>
        <w:spacing w:line="360" w:lineRule="auto"/>
        <w:ind w:firstLine="480"/>
        <w:rPr>
          <w:rFonts w:ascii="Times New Roman" w:hAnsi="Times New Roman"/>
          <w:color w:val="auto"/>
          <w:sz w:val="24"/>
          <w:szCs w:val="24"/>
          <w:highlight w:val="none"/>
        </w:rPr>
      </w:pPr>
      <w:r>
        <w:rPr>
          <w:rFonts w:ascii="Times New Roman" w:hAnsi="Times New Roman"/>
          <w:color w:val="auto"/>
          <w:sz w:val="24"/>
          <w:szCs w:val="24"/>
          <w:highlight w:val="none"/>
        </w:rPr>
        <w:t>评标结果按评审后总得分由高到低顺序排列，确定成交候选人名单并按顺序确定成交供应商。评审得分相同的，按照最后报价由低到高的顺序推荐。评审得分且最后报价相同的，按照技术指标优劣顺序推荐。</w:t>
      </w:r>
    </w:p>
    <w:p w14:paraId="0D04C924">
      <w:pPr>
        <w:spacing w:before="120" w:after="120" w:line="360" w:lineRule="auto"/>
        <w:jc w:val="left"/>
        <w:rPr>
          <w:rFonts w:ascii="Times New Roman" w:hAnsi="Times New Roman"/>
          <w:b/>
          <w:color w:val="auto"/>
          <w:sz w:val="24"/>
          <w:szCs w:val="24"/>
          <w:highlight w:val="none"/>
        </w:rPr>
      </w:pPr>
      <w:r>
        <w:rPr>
          <w:rFonts w:ascii="Times New Roman" w:hAnsi="Times New Roman"/>
          <w:b/>
          <w:color w:val="auto"/>
          <w:sz w:val="24"/>
          <w:szCs w:val="24"/>
          <w:highlight w:val="none"/>
        </w:rPr>
        <w:t>二、政府采购政策功能落实</w:t>
      </w:r>
    </w:p>
    <w:p w14:paraId="1DE1497F">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1、小微型企业价格扣除</w:t>
      </w:r>
    </w:p>
    <w:p w14:paraId="65D2080E">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（1）本项目对小型和微型企业产品给予10%的扣除价格，用扣除后的价格参与评审。</w:t>
      </w:r>
    </w:p>
    <w:p w14:paraId="56D83CFF">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（2）供应商需按照《政府采购促进中小企业发展管理办法》（财库﹝2020﹞46 号）的规定提供相应的《中小企业声明函》。</w:t>
      </w:r>
    </w:p>
    <w:p w14:paraId="374E49E6">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（3）企业标准请参照《关于印发中小企业划型标准规定的通知》（工信部联企业[2011]300号）文件规定自行填写。</w:t>
      </w:r>
    </w:p>
    <w:p w14:paraId="20AB8BE7">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2、残疾人福利单位价格扣除</w:t>
      </w:r>
    </w:p>
    <w:p w14:paraId="2EB22F2D">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（1）本项目对残疾人福利性单位，给予10%的价格扣除，用扣除后的价格参与评审。</w:t>
      </w:r>
    </w:p>
    <w:p w14:paraId="7349075A">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（2）残疾人福利单位需按照采购文件的要求提供《残疾人福利性单位声明函》。</w:t>
      </w:r>
    </w:p>
    <w:p w14:paraId="4E43F64C">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（3）残疾人福利单位标准请参照《关于促进残疾人就业政府采购政策的通知》（财库〔2017〕141号）。</w:t>
      </w:r>
    </w:p>
    <w:p w14:paraId="74351F0C">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3、监狱和戒毒企业价格扣除</w:t>
      </w:r>
    </w:p>
    <w:p w14:paraId="497AF4A9">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（1）本项目对监狱和戒毒企业（简称监狱企业）给予10%的价格扣除，用扣除后的价格参与评审。</w:t>
      </w:r>
    </w:p>
    <w:p w14:paraId="34CF7308">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1AA6795A">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（3）监狱企业标准请参照《关于政府采购支持监狱企业发展有关问题的通知》（财库[2014]68号）。</w:t>
      </w:r>
    </w:p>
    <w:p w14:paraId="370A8147">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4、残疾人福利单位、监狱企业属于小型、微型企业的，不重复享受政策。</w:t>
      </w:r>
    </w:p>
    <w:p w14:paraId="6AFBD779">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14:paraId="5793F81F">
      <w:pPr>
        <w:pStyle w:val="50"/>
        <w:spacing w:line="360" w:lineRule="auto"/>
        <w:ind w:firstLine="482"/>
        <w:rPr>
          <w:rFonts w:ascii="Times New Roman" w:hAnsi="Times New Roman"/>
          <w:b w:val="0"/>
          <w:bCs/>
          <w:color w:val="auto"/>
          <w:sz w:val="24"/>
          <w:szCs w:val="24"/>
          <w:highlight w:val="none"/>
        </w:rPr>
      </w:pPr>
      <w:r>
        <w:rPr>
          <w:rFonts w:hint="eastAsia" w:ascii="Times New Roman" w:hAnsi="Times New Roman"/>
          <w:b w:val="0"/>
          <w:bCs/>
          <w:color w:val="auto"/>
          <w:sz w:val="24"/>
          <w:szCs w:val="24"/>
          <w:highlight w:val="none"/>
        </w:rPr>
        <w:t>6、联合体各方均为小型、微型企业（残疾人福利单位、监狱企业）的，联合体享受上述同类价格扣除，用扣除后的价格参与评审。</w:t>
      </w:r>
    </w:p>
    <w:p w14:paraId="37AB5D84">
      <w:pPr>
        <w:pStyle w:val="50"/>
        <w:spacing w:line="360" w:lineRule="auto"/>
        <w:ind w:firstLine="482"/>
        <w:rPr>
          <w:rFonts w:ascii="Times New Roman" w:hAnsi="Times New Roman"/>
          <w:b/>
          <w:bCs w:val="0"/>
          <w:color w:val="auto"/>
          <w:sz w:val="24"/>
          <w:szCs w:val="24"/>
          <w:highlight w:val="none"/>
        </w:rPr>
      </w:pPr>
      <w:r>
        <w:rPr>
          <w:rFonts w:hint="eastAsia" w:ascii="Times New Roman" w:hAnsi="Times New Roman"/>
          <w:b/>
          <w:bCs w:val="0"/>
          <w:color w:val="auto"/>
          <w:sz w:val="24"/>
          <w:szCs w:val="24"/>
          <w:highlight w:val="none"/>
        </w:rPr>
        <w:t>7、</w:t>
      </w:r>
      <w:r>
        <w:rPr>
          <w:rFonts w:hint="eastAsia" w:ascii="Times New Roman" w:hAnsi="Times New Roman"/>
          <w:b/>
          <w:bCs w:val="0"/>
          <w:color w:val="auto"/>
          <w:sz w:val="24"/>
          <w:szCs w:val="24"/>
          <w:highlight w:val="none"/>
          <w:lang w:val="en-US" w:eastAsia="zh-CN"/>
        </w:rPr>
        <w:t>本项目</w:t>
      </w:r>
      <w:r>
        <w:rPr>
          <w:rFonts w:hint="eastAsia" w:ascii="Times New Roman" w:hAnsi="Times New Roman"/>
          <w:b/>
          <w:bCs w:val="0"/>
          <w:color w:val="auto"/>
          <w:sz w:val="24"/>
          <w:szCs w:val="24"/>
          <w:highlight w:val="none"/>
        </w:rPr>
        <w:t>专门面向中小企业采购，不再执行价格评审优惠的扶持政策。</w:t>
      </w:r>
    </w:p>
    <w:p w14:paraId="227E7C1F">
      <w:pPr>
        <w:pStyle w:val="50"/>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三、评审方法与评审标准</w:t>
      </w:r>
    </w:p>
    <w:p w14:paraId="354D4847">
      <w:pPr>
        <w:pStyle w:val="50"/>
        <w:spacing w:line="360" w:lineRule="auto"/>
        <w:ind w:firstLine="482"/>
        <w:rPr>
          <w:rFonts w:ascii="Times New Roman" w:hAnsi="Times New Roman"/>
          <w:b/>
          <w:color w:val="auto"/>
          <w:sz w:val="24"/>
          <w:szCs w:val="24"/>
          <w:highlight w:val="none"/>
        </w:rPr>
      </w:pPr>
      <w:r>
        <w:rPr>
          <w:rFonts w:ascii="Times New Roman" w:hAnsi="Times New Roman"/>
          <w:b/>
          <w:color w:val="auto"/>
          <w:sz w:val="24"/>
          <w:szCs w:val="24"/>
          <w:highlight w:val="none"/>
        </w:rPr>
        <w:t>本项目采用综合评分法，磋商小组将按下列评审方法与评审标准进行评分，总分值为100分。</w:t>
      </w:r>
    </w:p>
    <w:p w14:paraId="366BD3DE">
      <w:pPr>
        <w:spacing w:line="360" w:lineRule="auto"/>
        <w:ind w:left="241"/>
        <w:rPr>
          <w:rFonts w:hint="eastAsia" w:ascii="宋体" w:hAnsi="宋体" w:cs="宋体"/>
          <w:b/>
          <w:bCs/>
          <w:color w:val="auto"/>
          <w:sz w:val="24"/>
          <w:szCs w:val="24"/>
          <w:highlight w:val="none"/>
        </w:rPr>
      </w:pPr>
      <w:r>
        <w:rPr>
          <w:rFonts w:hint="eastAsia" w:ascii="宋体" w:hAnsi="宋体" w:cs="宋体"/>
          <w:b/>
          <w:color w:val="auto"/>
          <w:sz w:val="24"/>
          <w:szCs w:val="24"/>
          <w:highlight w:val="none"/>
        </w:rPr>
        <w:t>（一）商务技术</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val="en-US" w:eastAsia="zh-CN"/>
        </w:rPr>
        <w:t>70</w:t>
      </w:r>
      <w:r>
        <w:rPr>
          <w:rFonts w:hint="eastAsia" w:ascii="宋体" w:hAnsi="宋体" w:cs="宋体"/>
          <w:b/>
          <w:bCs/>
          <w:color w:val="auto"/>
          <w:sz w:val="24"/>
          <w:szCs w:val="24"/>
          <w:highlight w:val="none"/>
        </w:rPr>
        <w:t>分）</w:t>
      </w:r>
    </w:p>
    <w:p w14:paraId="5504E856">
      <w:pPr>
        <w:widowControl/>
        <w:spacing w:line="360" w:lineRule="auto"/>
        <w:ind w:firstLine="241"/>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商务技术分是所有评委评分的算术平均值，分值保留小数点后两位。</w:t>
      </w:r>
    </w:p>
    <w:tbl>
      <w:tblPr>
        <w:tblStyle w:val="52"/>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571"/>
        <w:gridCol w:w="1362"/>
        <w:gridCol w:w="2863"/>
        <w:gridCol w:w="3298"/>
      </w:tblGrid>
      <w:tr w14:paraId="44E6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588" w:type="dxa"/>
            <w:noWrap w:val="0"/>
            <w:vAlign w:val="center"/>
          </w:tcPr>
          <w:p w14:paraId="0CADFE48">
            <w:pPr>
              <w:pStyle w:val="5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序号</w:t>
            </w:r>
          </w:p>
        </w:tc>
        <w:tc>
          <w:tcPr>
            <w:tcW w:w="1571" w:type="dxa"/>
            <w:noWrap w:val="0"/>
            <w:vAlign w:val="center"/>
          </w:tcPr>
          <w:p w14:paraId="30DDC72B">
            <w:pPr>
              <w:pStyle w:val="5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评审内容</w:t>
            </w:r>
          </w:p>
        </w:tc>
        <w:tc>
          <w:tcPr>
            <w:tcW w:w="4225" w:type="dxa"/>
            <w:gridSpan w:val="2"/>
            <w:noWrap w:val="0"/>
            <w:vAlign w:val="center"/>
          </w:tcPr>
          <w:p w14:paraId="6DCE9CB9">
            <w:pPr>
              <w:pStyle w:val="5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评审因素</w:t>
            </w:r>
          </w:p>
        </w:tc>
        <w:tc>
          <w:tcPr>
            <w:tcW w:w="3298" w:type="dxa"/>
            <w:noWrap w:val="0"/>
            <w:vAlign w:val="center"/>
          </w:tcPr>
          <w:p w14:paraId="3C88C567">
            <w:pPr>
              <w:pStyle w:val="50"/>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分值</w:t>
            </w:r>
          </w:p>
        </w:tc>
      </w:tr>
      <w:tr w14:paraId="7CF16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restart"/>
            <w:noWrap w:val="0"/>
            <w:vAlign w:val="center"/>
          </w:tcPr>
          <w:p w14:paraId="218D38B2">
            <w:pPr>
              <w:jc w:val="center"/>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1</w:t>
            </w:r>
          </w:p>
        </w:tc>
        <w:tc>
          <w:tcPr>
            <w:tcW w:w="1571" w:type="dxa"/>
            <w:vMerge w:val="restart"/>
            <w:noWrap w:val="0"/>
            <w:vAlign w:val="center"/>
          </w:tcPr>
          <w:p w14:paraId="66060BA4">
            <w:pPr>
              <w:jc w:val="center"/>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施工组织设计</w:t>
            </w:r>
            <w:r>
              <w:rPr>
                <w:rFonts w:hint="eastAsia" w:ascii="宋体" w:hAnsi="宋体" w:cs="宋体"/>
                <w:color w:val="auto"/>
                <w:sz w:val="20"/>
                <w:szCs w:val="22"/>
                <w:highlight w:val="none"/>
                <w:lang w:val="en-US" w:eastAsia="zh-CN"/>
              </w:rPr>
              <w:t>（42分）</w:t>
            </w:r>
          </w:p>
        </w:tc>
        <w:tc>
          <w:tcPr>
            <w:tcW w:w="1362" w:type="dxa"/>
            <w:noWrap w:val="0"/>
            <w:vAlign w:val="center"/>
          </w:tcPr>
          <w:p w14:paraId="4179F558">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2"/>
                <w:highlight w:val="none"/>
              </w:rPr>
              <w:t>总体施工方案与技术措施</w:t>
            </w:r>
          </w:p>
        </w:tc>
        <w:tc>
          <w:tcPr>
            <w:tcW w:w="2863" w:type="dxa"/>
            <w:noWrap w:val="0"/>
            <w:vAlign w:val="center"/>
          </w:tcPr>
          <w:p w14:paraId="55B10023">
            <w:pPr>
              <w:jc w:val="left"/>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根据供应商所提供</w:t>
            </w:r>
            <w:r>
              <w:rPr>
                <w:rFonts w:hint="eastAsia" w:ascii="宋体" w:hAnsi="宋体" w:eastAsia="宋体" w:cs="宋体"/>
                <w:color w:val="auto"/>
                <w:sz w:val="20"/>
                <w:szCs w:val="22"/>
                <w:highlight w:val="none"/>
              </w:rPr>
              <w:t>工程概况和总体部署</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施工方法和工艺</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施工进度计划和资源安排</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安全环保措施和应急预案</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施工组织设计</w:t>
            </w:r>
            <w:r>
              <w:rPr>
                <w:rFonts w:hint="eastAsia" w:ascii="宋体" w:hAnsi="宋体" w:eastAsia="宋体" w:cs="宋体"/>
                <w:color w:val="auto"/>
                <w:sz w:val="20"/>
                <w:szCs w:val="22"/>
                <w:highlight w:val="none"/>
                <w:lang w:val="en-US" w:eastAsia="zh-CN"/>
              </w:rPr>
              <w:t>的完整性、可行性进行打分</w:t>
            </w:r>
          </w:p>
        </w:tc>
        <w:tc>
          <w:tcPr>
            <w:tcW w:w="3298" w:type="dxa"/>
            <w:noWrap w:val="0"/>
            <w:vAlign w:val="center"/>
          </w:tcPr>
          <w:p w14:paraId="08C7E968">
            <w:pPr>
              <w:jc w:val="both"/>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rPr>
              <w:t>总体施工方案与技术措施</w:t>
            </w:r>
            <w:r>
              <w:rPr>
                <w:rFonts w:hint="eastAsia" w:ascii="宋体" w:hAnsi="宋体" w:eastAsia="宋体" w:cs="宋体"/>
                <w:color w:val="auto"/>
                <w:sz w:val="20"/>
                <w:szCs w:val="22"/>
                <w:highlight w:val="none"/>
                <w:lang w:eastAsia="zh-CN"/>
              </w:rPr>
              <w:t>具有</w:t>
            </w:r>
            <w:r>
              <w:rPr>
                <w:rFonts w:hint="eastAsia" w:ascii="宋体" w:hAnsi="宋体" w:eastAsia="宋体" w:cs="宋体"/>
                <w:color w:val="auto"/>
                <w:sz w:val="20"/>
                <w:szCs w:val="22"/>
                <w:highlight w:val="none"/>
                <w:lang w:val="en-US" w:eastAsia="zh-CN"/>
              </w:rPr>
              <w:t>完整性、可行性进行得</w:t>
            </w:r>
            <w:r>
              <w:rPr>
                <w:rFonts w:hint="eastAsia" w:ascii="宋体" w:hAnsi="宋体" w:cs="宋体"/>
                <w:color w:val="auto"/>
                <w:sz w:val="20"/>
                <w:szCs w:val="22"/>
                <w:highlight w:val="none"/>
                <w:lang w:val="en-US" w:eastAsia="zh-CN"/>
              </w:rPr>
              <w:t>8</w:t>
            </w:r>
            <w:r>
              <w:rPr>
                <w:rFonts w:hint="eastAsia" w:ascii="宋体" w:hAnsi="宋体" w:eastAsia="宋体" w:cs="宋体"/>
                <w:color w:val="auto"/>
                <w:sz w:val="20"/>
                <w:szCs w:val="22"/>
                <w:highlight w:val="none"/>
                <w:lang w:val="en-US" w:eastAsia="zh-CN"/>
              </w:rPr>
              <w:t>分；方案内容缺乏一定完整性、可行性的得</w:t>
            </w:r>
            <w:r>
              <w:rPr>
                <w:rFonts w:hint="eastAsia" w:ascii="宋体" w:hAnsi="宋体" w:cs="宋体"/>
                <w:color w:val="auto"/>
                <w:sz w:val="20"/>
                <w:szCs w:val="22"/>
                <w:highlight w:val="none"/>
                <w:lang w:val="en-US" w:eastAsia="zh-CN"/>
              </w:rPr>
              <w:t>6.4</w:t>
            </w:r>
            <w:r>
              <w:rPr>
                <w:rFonts w:hint="eastAsia" w:ascii="宋体" w:hAnsi="宋体" w:eastAsia="宋体" w:cs="宋体"/>
                <w:color w:val="auto"/>
                <w:sz w:val="20"/>
                <w:szCs w:val="22"/>
                <w:highlight w:val="none"/>
                <w:lang w:val="en-US" w:eastAsia="zh-CN"/>
              </w:rPr>
              <w:t>分；方案内容一般的得</w:t>
            </w:r>
            <w:r>
              <w:rPr>
                <w:rFonts w:hint="eastAsia" w:ascii="宋体" w:hAnsi="宋体" w:cs="宋体"/>
                <w:color w:val="auto"/>
                <w:sz w:val="20"/>
                <w:szCs w:val="22"/>
                <w:highlight w:val="none"/>
                <w:lang w:val="en-US" w:eastAsia="zh-CN"/>
              </w:rPr>
              <w:t>5.6</w:t>
            </w:r>
            <w:r>
              <w:rPr>
                <w:rFonts w:hint="eastAsia" w:ascii="宋体" w:hAnsi="宋体" w:eastAsia="宋体" w:cs="宋体"/>
                <w:color w:val="auto"/>
                <w:sz w:val="20"/>
                <w:szCs w:val="22"/>
                <w:highlight w:val="none"/>
                <w:lang w:val="en-US" w:eastAsia="zh-CN"/>
              </w:rPr>
              <w:t>分；未提供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r>
              <w:rPr>
                <w:rFonts w:hint="eastAsia" w:ascii="宋体" w:hAnsi="宋体" w:cs="宋体"/>
                <w:color w:val="auto"/>
                <w:sz w:val="20"/>
                <w:szCs w:val="22"/>
                <w:highlight w:val="none"/>
                <w:lang w:val="en-US" w:eastAsia="zh-CN"/>
              </w:rPr>
              <w:t>。</w:t>
            </w:r>
          </w:p>
        </w:tc>
      </w:tr>
      <w:tr w14:paraId="7EA3C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center"/>
          </w:tcPr>
          <w:p w14:paraId="15DB7FFB">
            <w:pPr>
              <w:jc w:val="center"/>
              <w:rPr>
                <w:rFonts w:hint="eastAsia" w:ascii="宋体" w:hAnsi="宋体" w:eastAsia="宋体" w:cs="宋体"/>
                <w:color w:val="auto"/>
                <w:sz w:val="20"/>
                <w:szCs w:val="22"/>
                <w:highlight w:val="none"/>
                <w:lang w:val="en-US" w:eastAsia="zh-CN"/>
              </w:rPr>
            </w:pPr>
          </w:p>
        </w:tc>
        <w:tc>
          <w:tcPr>
            <w:tcW w:w="1571" w:type="dxa"/>
            <w:vMerge w:val="continue"/>
            <w:noWrap w:val="0"/>
            <w:vAlign w:val="center"/>
          </w:tcPr>
          <w:p w14:paraId="102053EE">
            <w:pPr>
              <w:jc w:val="center"/>
              <w:rPr>
                <w:rFonts w:hint="eastAsia" w:ascii="宋体" w:hAnsi="宋体" w:eastAsia="宋体" w:cs="宋体"/>
                <w:color w:val="auto"/>
                <w:sz w:val="20"/>
                <w:szCs w:val="22"/>
                <w:highlight w:val="none"/>
              </w:rPr>
            </w:pPr>
          </w:p>
        </w:tc>
        <w:tc>
          <w:tcPr>
            <w:tcW w:w="1362" w:type="dxa"/>
            <w:noWrap w:val="0"/>
            <w:vAlign w:val="center"/>
          </w:tcPr>
          <w:p w14:paraId="2278264F">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2"/>
                <w:highlight w:val="none"/>
              </w:rPr>
              <w:t>质量管理体系与措施</w:t>
            </w:r>
          </w:p>
        </w:tc>
        <w:tc>
          <w:tcPr>
            <w:tcW w:w="2863" w:type="dxa"/>
            <w:noWrap w:val="0"/>
            <w:vAlign w:val="center"/>
          </w:tcPr>
          <w:p w14:paraId="3386B28E">
            <w:pPr>
              <w:jc w:val="left"/>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根据供应商所提供</w:t>
            </w:r>
            <w:r>
              <w:rPr>
                <w:rFonts w:hint="eastAsia" w:ascii="宋体" w:hAnsi="宋体" w:eastAsia="宋体" w:cs="宋体"/>
                <w:color w:val="auto"/>
                <w:sz w:val="20"/>
                <w:szCs w:val="22"/>
                <w:highlight w:val="none"/>
              </w:rPr>
              <w:t>质量方针</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质量目标</w:t>
            </w:r>
            <w:r>
              <w:rPr>
                <w:rFonts w:hint="default" w:ascii="宋体" w:hAnsi="宋体" w:eastAsia="宋体" w:cs="宋体"/>
                <w:color w:val="auto"/>
                <w:sz w:val="20"/>
                <w:szCs w:val="22"/>
                <w:highlight w:val="none"/>
              </w:rPr>
              <w:t>‌</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质量计划</w:t>
            </w:r>
            <w:r>
              <w:rPr>
                <w:rFonts w:hint="default"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的完整性、合理性进行打分</w:t>
            </w:r>
          </w:p>
        </w:tc>
        <w:tc>
          <w:tcPr>
            <w:tcW w:w="3298" w:type="dxa"/>
            <w:noWrap w:val="0"/>
            <w:vAlign w:val="center"/>
          </w:tcPr>
          <w:p w14:paraId="5834153F">
            <w:pPr>
              <w:jc w:val="both"/>
              <w:rPr>
                <w:rFonts w:hint="eastAsia" w:ascii="宋体" w:hAnsi="宋体" w:cs="宋体"/>
                <w:color w:val="auto"/>
                <w:sz w:val="20"/>
                <w:szCs w:val="22"/>
                <w:highlight w:val="none"/>
                <w:lang w:val="en-US" w:eastAsia="zh-CN"/>
              </w:rPr>
            </w:pPr>
            <w:r>
              <w:rPr>
                <w:rFonts w:hint="eastAsia" w:ascii="宋体" w:hAnsi="宋体" w:eastAsia="宋体" w:cs="宋体"/>
                <w:color w:val="auto"/>
                <w:sz w:val="20"/>
                <w:szCs w:val="22"/>
                <w:highlight w:val="none"/>
              </w:rPr>
              <w:t>质量管理体系与措施</w:t>
            </w:r>
            <w:r>
              <w:rPr>
                <w:rFonts w:hint="eastAsia" w:ascii="宋体" w:hAnsi="宋体" w:cs="宋体"/>
                <w:color w:val="auto"/>
                <w:sz w:val="20"/>
                <w:szCs w:val="22"/>
                <w:highlight w:val="none"/>
                <w:lang w:eastAsia="zh-CN"/>
              </w:rPr>
              <w:t>内容具有</w:t>
            </w:r>
            <w:r>
              <w:rPr>
                <w:rFonts w:hint="eastAsia" w:ascii="宋体" w:hAnsi="宋体" w:eastAsia="宋体" w:cs="宋体"/>
                <w:color w:val="auto"/>
                <w:sz w:val="20"/>
                <w:szCs w:val="22"/>
                <w:highlight w:val="none"/>
                <w:lang w:val="en-US" w:eastAsia="zh-CN"/>
              </w:rPr>
              <w:t>完整性、合理性</w:t>
            </w:r>
            <w:r>
              <w:rPr>
                <w:rFonts w:hint="eastAsia" w:ascii="宋体" w:hAnsi="宋体" w:cs="宋体"/>
                <w:color w:val="auto"/>
                <w:sz w:val="20"/>
                <w:szCs w:val="22"/>
                <w:highlight w:val="none"/>
                <w:lang w:val="en-US" w:eastAsia="zh-CN"/>
              </w:rPr>
              <w:t>得6分；</w:t>
            </w:r>
            <w:r>
              <w:rPr>
                <w:rFonts w:hint="eastAsia" w:ascii="宋体" w:hAnsi="宋体" w:eastAsia="宋体" w:cs="宋体"/>
                <w:color w:val="auto"/>
                <w:sz w:val="20"/>
                <w:szCs w:val="22"/>
                <w:highlight w:val="none"/>
                <w:lang w:val="en-US" w:eastAsia="zh-CN"/>
              </w:rPr>
              <w:t>内容缺乏一定完整性、可行性的得</w:t>
            </w:r>
            <w:r>
              <w:rPr>
                <w:rFonts w:hint="eastAsia" w:ascii="宋体" w:hAnsi="宋体" w:cs="宋体"/>
                <w:color w:val="auto"/>
                <w:sz w:val="20"/>
                <w:szCs w:val="22"/>
                <w:highlight w:val="none"/>
                <w:lang w:val="en-US" w:eastAsia="zh-CN"/>
              </w:rPr>
              <w:t>4.8</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内容一般的得</w:t>
            </w:r>
            <w:r>
              <w:rPr>
                <w:rFonts w:hint="eastAsia" w:ascii="宋体" w:hAnsi="宋体" w:cs="宋体"/>
                <w:color w:val="auto"/>
                <w:sz w:val="20"/>
                <w:szCs w:val="22"/>
                <w:highlight w:val="none"/>
                <w:lang w:val="en-US" w:eastAsia="zh-CN"/>
              </w:rPr>
              <w:t>4.2</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p>
        </w:tc>
      </w:tr>
      <w:tr w14:paraId="58614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center"/>
          </w:tcPr>
          <w:p w14:paraId="4E10B674">
            <w:pPr>
              <w:jc w:val="center"/>
              <w:rPr>
                <w:rFonts w:hint="eastAsia" w:ascii="宋体" w:hAnsi="宋体" w:eastAsia="宋体" w:cs="宋体"/>
                <w:color w:val="auto"/>
                <w:sz w:val="20"/>
                <w:szCs w:val="22"/>
                <w:highlight w:val="none"/>
                <w:lang w:val="en-US" w:eastAsia="zh-CN"/>
              </w:rPr>
            </w:pPr>
          </w:p>
        </w:tc>
        <w:tc>
          <w:tcPr>
            <w:tcW w:w="1571" w:type="dxa"/>
            <w:vMerge w:val="continue"/>
            <w:noWrap w:val="0"/>
            <w:vAlign w:val="center"/>
          </w:tcPr>
          <w:p w14:paraId="02AD6A90">
            <w:pPr>
              <w:jc w:val="center"/>
              <w:rPr>
                <w:rFonts w:hint="eastAsia" w:ascii="宋体" w:hAnsi="宋体" w:eastAsia="宋体" w:cs="宋体"/>
                <w:color w:val="auto"/>
                <w:sz w:val="20"/>
                <w:szCs w:val="22"/>
                <w:highlight w:val="none"/>
                <w:lang w:val="en-US" w:eastAsia="zh-CN"/>
              </w:rPr>
            </w:pPr>
          </w:p>
        </w:tc>
        <w:tc>
          <w:tcPr>
            <w:tcW w:w="1362" w:type="dxa"/>
            <w:noWrap w:val="0"/>
            <w:vAlign w:val="center"/>
          </w:tcPr>
          <w:p w14:paraId="697E25E7">
            <w:pPr>
              <w:jc w:val="center"/>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lang w:val="en-US" w:eastAsia="zh-CN"/>
              </w:rPr>
              <w:t>项目实施的重点、难点和解决方案</w:t>
            </w:r>
          </w:p>
        </w:tc>
        <w:tc>
          <w:tcPr>
            <w:tcW w:w="2863" w:type="dxa"/>
            <w:noWrap w:val="0"/>
            <w:vAlign w:val="center"/>
          </w:tcPr>
          <w:p w14:paraId="4FB1E26A">
            <w:pPr>
              <w:jc w:val="left"/>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根据供应商所提出的项目重点难点的分析、重点难点工程的施工方案、方法</w:t>
            </w:r>
            <w:r>
              <w:rPr>
                <w:rFonts w:hint="eastAsia" w:ascii="宋体" w:hAnsi="宋体" w:eastAsia="宋体" w:cs="宋体"/>
                <w:color w:val="auto"/>
                <w:sz w:val="20"/>
                <w:szCs w:val="22"/>
                <w:highlight w:val="none"/>
              </w:rPr>
              <w:t>的</w:t>
            </w:r>
            <w:r>
              <w:rPr>
                <w:rFonts w:hint="eastAsia" w:ascii="宋体" w:hAnsi="宋体" w:eastAsia="宋体" w:cs="宋体"/>
                <w:color w:val="auto"/>
                <w:sz w:val="20"/>
                <w:szCs w:val="22"/>
                <w:highlight w:val="none"/>
                <w:lang w:val="en-US" w:eastAsia="zh-CN"/>
              </w:rPr>
              <w:t>准确性、合理性、可行性进行打分</w:t>
            </w:r>
          </w:p>
        </w:tc>
        <w:tc>
          <w:tcPr>
            <w:tcW w:w="3298" w:type="dxa"/>
            <w:noWrap w:val="0"/>
            <w:vAlign w:val="center"/>
          </w:tcPr>
          <w:p w14:paraId="1BB9317B">
            <w:pPr>
              <w:jc w:val="both"/>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lang w:val="en-US" w:eastAsia="zh-CN"/>
              </w:rPr>
              <w:t>项目实施的重点、难点和解决方案</w:t>
            </w:r>
            <w:r>
              <w:rPr>
                <w:rFonts w:hint="eastAsia" w:ascii="宋体" w:hAnsi="宋体" w:cs="宋体"/>
                <w:color w:val="auto"/>
                <w:sz w:val="20"/>
                <w:szCs w:val="22"/>
                <w:highlight w:val="none"/>
                <w:lang w:eastAsia="zh-CN"/>
              </w:rPr>
              <w:t>具有</w:t>
            </w:r>
            <w:r>
              <w:rPr>
                <w:rFonts w:hint="eastAsia" w:ascii="宋体" w:hAnsi="宋体" w:eastAsia="宋体" w:cs="宋体"/>
                <w:color w:val="auto"/>
                <w:sz w:val="20"/>
                <w:szCs w:val="22"/>
                <w:highlight w:val="none"/>
                <w:lang w:val="en-US" w:eastAsia="zh-CN"/>
              </w:rPr>
              <w:t>准确性、合理性、可行性</w:t>
            </w:r>
            <w:r>
              <w:rPr>
                <w:rFonts w:hint="eastAsia" w:ascii="宋体" w:hAnsi="宋体" w:cs="宋体"/>
                <w:color w:val="auto"/>
                <w:sz w:val="20"/>
                <w:szCs w:val="22"/>
                <w:highlight w:val="none"/>
                <w:lang w:val="en-US" w:eastAsia="zh-CN"/>
              </w:rPr>
              <w:t>得6分；</w:t>
            </w:r>
            <w:r>
              <w:rPr>
                <w:rFonts w:hint="eastAsia" w:ascii="宋体" w:hAnsi="宋体" w:eastAsia="宋体" w:cs="宋体"/>
                <w:color w:val="auto"/>
                <w:sz w:val="20"/>
                <w:szCs w:val="22"/>
                <w:highlight w:val="none"/>
                <w:lang w:val="en-US" w:eastAsia="zh-CN"/>
              </w:rPr>
              <w:t>内容缺乏一定准确性、合理性、可行性的得</w:t>
            </w:r>
            <w:r>
              <w:rPr>
                <w:rFonts w:hint="eastAsia" w:ascii="宋体" w:hAnsi="宋体" w:cs="宋体"/>
                <w:color w:val="auto"/>
                <w:sz w:val="20"/>
                <w:szCs w:val="22"/>
                <w:highlight w:val="none"/>
                <w:lang w:val="en-US" w:eastAsia="zh-CN"/>
              </w:rPr>
              <w:t>4.8</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内容一般的得</w:t>
            </w:r>
            <w:r>
              <w:rPr>
                <w:rFonts w:hint="eastAsia" w:ascii="宋体" w:hAnsi="宋体" w:cs="宋体"/>
                <w:color w:val="auto"/>
                <w:sz w:val="20"/>
                <w:szCs w:val="22"/>
                <w:highlight w:val="none"/>
                <w:lang w:val="en-US" w:eastAsia="zh-CN"/>
              </w:rPr>
              <w:t>4.2</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r>
              <w:rPr>
                <w:rFonts w:hint="eastAsia" w:ascii="宋体" w:hAnsi="宋体" w:cs="宋体"/>
                <w:color w:val="auto"/>
                <w:sz w:val="20"/>
                <w:szCs w:val="22"/>
                <w:highlight w:val="none"/>
                <w:lang w:val="en-US" w:eastAsia="zh-CN"/>
              </w:rPr>
              <w:t>。</w:t>
            </w:r>
          </w:p>
        </w:tc>
      </w:tr>
      <w:tr w14:paraId="60EE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588" w:type="dxa"/>
            <w:vMerge w:val="continue"/>
            <w:noWrap w:val="0"/>
            <w:vAlign w:val="center"/>
          </w:tcPr>
          <w:p w14:paraId="7FBFAF5C">
            <w:pPr>
              <w:jc w:val="center"/>
              <w:rPr>
                <w:rFonts w:hint="eastAsia" w:ascii="宋体" w:hAnsi="宋体" w:eastAsia="宋体" w:cs="宋体"/>
                <w:color w:val="auto"/>
                <w:sz w:val="20"/>
                <w:szCs w:val="22"/>
                <w:highlight w:val="none"/>
                <w:lang w:val="en-US" w:eastAsia="zh-CN"/>
              </w:rPr>
            </w:pPr>
          </w:p>
        </w:tc>
        <w:tc>
          <w:tcPr>
            <w:tcW w:w="1571" w:type="dxa"/>
            <w:vMerge w:val="continue"/>
            <w:noWrap w:val="0"/>
            <w:vAlign w:val="center"/>
          </w:tcPr>
          <w:p w14:paraId="6693FAAC">
            <w:pPr>
              <w:jc w:val="center"/>
              <w:rPr>
                <w:rFonts w:hint="eastAsia" w:ascii="宋体" w:hAnsi="宋体" w:eastAsia="宋体" w:cs="宋体"/>
                <w:color w:val="auto"/>
                <w:sz w:val="20"/>
                <w:szCs w:val="22"/>
                <w:highlight w:val="none"/>
              </w:rPr>
            </w:pPr>
          </w:p>
        </w:tc>
        <w:tc>
          <w:tcPr>
            <w:tcW w:w="1362" w:type="dxa"/>
            <w:noWrap w:val="0"/>
            <w:vAlign w:val="center"/>
          </w:tcPr>
          <w:p w14:paraId="033C50D0">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2"/>
                <w:highlight w:val="none"/>
              </w:rPr>
              <w:t>安全管理体系与措施</w:t>
            </w:r>
          </w:p>
        </w:tc>
        <w:tc>
          <w:tcPr>
            <w:tcW w:w="2863" w:type="dxa"/>
            <w:noWrap w:val="0"/>
            <w:vAlign w:val="center"/>
          </w:tcPr>
          <w:p w14:paraId="3C313ACA">
            <w:pPr>
              <w:jc w:val="left"/>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根据供应商所提供</w:t>
            </w:r>
            <w:r>
              <w:rPr>
                <w:rFonts w:hint="eastAsia" w:ascii="宋体" w:hAnsi="宋体" w:eastAsia="宋体" w:cs="宋体"/>
                <w:color w:val="auto"/>
                <w:sz w:val="20"/>
                <w:szCs w:val="22"/>
                <w:highlight w:val="none"/>
              </w:rPr>
              <w:t>安全生产方针和目标</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管理机构和安全检查制度</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安全管理体系</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安全生产控制目标</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安全保证体系</w:t>
            </w:r>
            <w:r>
              <w:rPr>
                <w:rFonts w:hint="default" w:ascii="宋体" w:hAnsi="宋体" w:eastAsia="宋体" w:cs="宋体"/>
                <w:color w:val="auto"/>
                <w:sz w:val="20"/>
                <w:szCs w:val="22"/>
                <w:highlight w:val="none"/>
              </w:rPr>
              <w:t>‌</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特殊工作措施</w:t>
            </w:r>
            <w:r>
              <w:rPr>
                <w:rFonts w:hint="eastAsia" w:ascii="宋体" w:hAnsi="宋体" w:eastAsia="宋体" w:cs="宋体"/>
                <w:color w:val="auto"/>
                <w:sz w:val="20"/>
                <w:szCs w:val="22"/>
                <w:highlight w:val="none"/>
                <w:lang w:val="en-US" w:eastAsia="zh-CN"/>
              </w:rPr>
              <w:t>的完整性、可行性进行打分</w:t>
            </w:r>
          </w:p>
        </w:tc>
        <w:tc>
          <w:tcPr>
            <w:tcW w:w="3298" w:type="dxa"/>
            <w:noWrap w:val="0"/>
            <w:vAlign w:val="center"/>
          </w:tcPr>
          <w:p w14:paraId="6E533E8D">
            <w:pPr>
              <w:jc w:val="both"/>
              <w:rPr>
                <w:rFonts w:hint="default" w:ascii="宋体" w:hAnsi="宋体" w:eastAsia="宋体" w:cs="宋体"/>
                <w:color w:val="auto"/>
                <w:sz w:val="20"/>
                <w:szCs w:val="20"/>
                <w:highlight w:val="none"/>
                <w:lang w:val="en-US" w:eastAsia="zh-CN"/>
              </w:rPr>
            </w:pPr>
            <w:r>
              <w:rPr>
                <w:rFonts w:hint="eastAsia" w:ascii="宋体" w:hAnsi="宋体" w:eastAsia="宋体" w:cs="宋体"/>
                <w:color w:val="auto"/>
                <w:sz w:val="20"/>
                <w:szCs w:val="22"/>
                <w:highlight w:val="none"/>
              </w:rPr>
              <w:t>安全管理体系与措施</w:t>
            </w:r>
            <w:r>
              <w:rPr>
                <w:rFonts w:hint="eastAsia" w:ascii="宋体" w:hAnsi="宋体" w:cs="宋体"/>
                <w:color w:val="auto"/>
                <w:sz w:val="20"/>
                <w:szCs w:val="22"/>
                <w:highlight w:val="none"/>
                <w:lang w:eastAsia="zh-CN"/>
              </w:rPr>
              <w:t>内容具有</w:t>
            </w:r>
            <w:r>
              <w:rPr>
                <w:rFonts w:hint="eastAsia" w:ascii="宋体" w:hAnsi="宋体" w:eastAsia="宋体" w:cs="宋体"/>
                <w:color w:val="auto"/>
                <w:sz w:val="20"/>
                <w:szCs w:val="22"/>
                <w:highlight w:val="none"/>
                <w:lang w:val="en-US" w:eastAsia="zh-CN"/>
              </w:rPr>
              <w:t>完整性、可行性</w:t>
            </w:r>
            <w:r>
              <w:rPr>
                <w:rFonts w:hint="eastAsia" w:ascii="宋体" w:hAnsi="宋体" w:cs="宋体"/>
                <w:color w:val="auto"/>
                <w:sz w:val="20"/>
                <w:szCs w:val="22"/>
                <w:highlight w:val="none"/>
                <w:lang w:val="en-US" w:eastAsia="zh-CN"/>
              </w:rPr>
              <w:t>得6分；</w:t>
            </w:r>
            <w:r>
              <w:rPr>
                <w:rFonts w:hint="eastAsia" w:ascii="宋体" w:hAnsi="宋体" w:eastAsia="宋体" w:cs="宋体"/>
                <w:color w:val="auto"/>
                <w:sz w:val="20"/>
                <w:szCs w:val="22"/>
                <w:highlight w:val="none"/>
                <w:lang w:val="en-US" w:eastAsia="zh-CN"/>
              </w:rPr>
              <w:t>内容缺乏一定</w:t>
            </w:r>
            <w:r>
              <w:rPr>
                <w:rFonts w:hint="eastAsia" w:ascii="宋体" w:hAnsi="宋体" w:cs="宋体"/>
                <w:color w:val="auto"/>
                <w:sz w:val="20"/>
                <w:szCs w:val="22"/>
                <w:highlight w:val="none"/>
                <w:lang w:val="en-US" w:eastAsia="zh-CN"/>
              </w:rPr>
              <w:t>完整</w:t>
            </w:r>
            <w:r>
              <w:rPr>
                <w:rFonts w:hint="eastAsia" w:ascii="宋体" w:hAnsi="宋体" w:eastAsia="宋体" w:cs="宋体"/>
                <w:color w:val="auto"/>
                <w:sz w:val="20"/>
                <w:szCs w:val="22"/>
                <w:highlight w:val="none"/>
                <w:lang w:val="en-US" w:eastAsia="zh-CN"/>
              </w:rPr>
              <w:t>性、可行性的得</w:t>
            </w:r>
            <w:r>
              <w:rPr>
                <w:rFonts w:hint="eastAsia" w:ascii="宋体" w:hAnsi="宋体" w:cs="宋体"/>
                <w:color w:val="auto"/>
                <w:sz w:val="20"/>
                <w:szCs w:val="22"/>
                <w:highlight w:val="none"/>
                <w:lang w:val="en-US" w:eastAsia="zh-CN"/>
              </w:rPr>
              <w:t>4.8</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内容一般的得</w:t>
            </w:r>
            <w:r>
              <w:rPr>
                <w:rFonts w:hint="eastAsia" w:ascii="宋体" w:hAnsi="宋体" w:cs="宋体"/>
                <w:color w:val="auto"/>
                <w:sz w:val="20"/>
                <w:szCs w:val="22"/>
                <w:highlight w:val="none"/>
                <w:lang w:val="en-US" w:eastAsia="zh-CN"/>
              </w:rPr>
              <w:t>4.2</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p>
        </w:tc>
      </w:tr>
      <w:tr w14:paraId="3068C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center"/>
          </w:tcPr>
          <w:p w14:paraId="42B44BBB">
            <w:pPr>
              <w:jc w:val="center"/>
              <w:rPr>
                <w:rFonts w:hint="eastAsia" w:ascii="宋体" w:hAnsi="宋体" w:eastAsia="宋体" w:cs="宋体"/>
                <w:color w:val="auto"/>
                <w:sz w:val="20"/>
                <w:szCs w:val="22"/>
                <w:highlight w:val="none"/>
                <w:lang w:val="en-US" w:eastAsia="zh-CN"/>
              </w:rPr>
            </w:pPr>
          </w:p>
        </w:tc>
        <w:tc>
          <w:tcPr>
            <w:tcW w:w="1571" w:type="dxa"/>
            <w:vMerge w:val="continue"/>
            <w:noWrap w:val="0"/>
            <w:vAlign w:val="center"/>
          </w:tcPr>
          <w:p w14:paraId="094840F1">
            <w:pPr>
              <w:jc w:val="center"/>
              <w:rPr>
                <w:rFonts w:hint="eastAsia" w:ascii="宋体" w:hAnsi="宋体" w:eastAsia="宋体" w:cs="宋体"/>
                <w:color w:val="auto"/>
                <w:sz w:val="20"/>
                <w:szCs w:val="22"/>
                <w:highlight w:val="none"/>
              </w:rPr>
            </w:pPr>
          </w:p>
        </w:tc>
        <w:tc>
          <w:tcPr>
            <w:tcW w:w="1362" w:type="dxa"/>
            <w:noWrap w:val="0"/>
            <w:vAlign w:val="center"/>
          </w:tcPr>
          <w:p w14:paraId="411D5CD5">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2"/>
                <w:highlight w:val="none"/>
              </w:rPr>
              <w:t>环境保护管理体系与措施</w:t>
            </w:r>
          </w:p>
        </w:tc>
        <w:tc>
          <w:tcPr>
            <w:tcW w:w="2863" w:type="dxa"/>
            <w:noWrap w:val="0"/>
            <w:vAlign w:val="center"/>
          </w:tcPr>
          <w:p w14:paraId="200215D7">
            <w:pPr>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lang w:val="en-US" w:eastAsia="zh-CN"/>
              </w:rPr>
              <w:t>根据供应商所提供</w:t>
            </w:r>
            <w:r>
              <w:rPr>
                <w:rFonts w:hint="eastAsia" w:ascii="宋体" w:hAnsi="宋体" w:eastAsia="宋体" w:cs="宋体"/>
                <w:color w:val="auto"/>
                <w:sz w:val="20"/>
                <w:szCs w:val="22"/>
                <w:highlight w:val="none"/>
              </w:rPr>
              <w:t>环境保护管理体系</w:t>
            </w:r>
            <w:r>
              <w:rPr>
                <w:rFonts w:hint="eastAsia" w:ascii="宋体" w:hAnsi="宋体" w:eastAsia="宋体" w:cs="宋体"/>
                <w:color w:val="auto"/>
                <w:sz w:val="20"/>
                <w:szCs w:val="22"/>
                <w:highlight w:val="none"/>
                <w:lang w:val="en-US" w:eastAsia="zh-CN"/>
              </w:rPr>
              <w:t>证书</w:t>
            </w:r>
            <w:r>
              <w:rPr>
                <w:rFonts w:hint="eastAsia" w:ascii="宋体" w:hAnsi="宋体" w:eastAsia="宋体" w:cs="宋体"/>
                <w:color w:val="auto"/>
                <w:sz w:val="20"/>
                <w:szCs w:val="22"/>
                <w:highlight w:val="none"/>
              </w:rPr>
              <w:t>与组织措施</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减少污染及防扰民措施</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w:t>
            </w:r>
            <w:r>
              <w:rPr>
                <w:rFonts w:hint="default" w:ascii="宋体" w:hAnsi="宋体" w:eastAsia="宋体" w:cs="宋体"/>
                <w:color w:val="auto"/>
                <w:sz w:val="20"/>
                <w:szCs w:val="22"/>
                <w:highlight w:val="none"/>
              </w:rPr>
              <w:t>降低噪音污染措施</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施工车辆管理控制</w:t>
            </w:r>
            <w:r>
              <w:rPr>
                <w:rFonts w:hint="default"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的完整性、可行性进行打分</w:t>
            </w:r>
          </w:p>
        </w:tc>
        <w:tc>
          <w:tcPr>
            <w:tcW w:w="3298" w:type="dxa"/>
            <w:noWrap w:val="0"/>
            <w:vAlign w:val="center"/>
          </w:tcPr>
          <w:p w14:paraId="017811CB">
            <w:pPr>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2"/>
                <w:highlight w:val="none"/>
              </w:rPr>
              <w:t>环境保护管理体系与措施</w:t>
            </w:r>
            <w:r>
              <w:rPr>
                <w:rFonts w:hint="eastAsia" w:ascii="宋体" w:hAnsi="宋体" w:cs="宋体"/>
                <w:color w:val="auto"/>
                <w:sz w:val="20"/>
                <w:szCs w:val="22"/>
                <w:highlight w:val="none"/>
                <w:lang w:eastAsia="zh-CN"/>
              </w:rPr>
              <w:t>内容具有</w:t>
            </w:r>
            <w:r>
              <w:rPr>
                <w:rFonts w:hint="eastAsia" w:ascii="宋体" w:hAnsi="宋体" w:eastAsia="宋体" w:cs="宋体"/>
                <w:color w:val="auto"/>
                <w:sz w:val="20"/>
                <w:szCs w:val="22"/>
                <w:highlight w:val="none"/>
                <w:lang w:val="en-US" w:eastAsia="zh-CN"/>
              </w:rPr>
              <w:t>完整性、可行性</w:t>
            </w:r>
            <w:r>
              <w:rPr>
                <w:rFonts w:hint="eastAsia" w:ascii="宋体" w:hAnsi="宋体" w:cs="宋体"/>
                <w:color w:val="auto"/>
                <w:sz w:val="20"/>
                <w:szCs w:val="22"/>
                <w:highlight w:val="none"/>
                <w:lang w:val="en-US" w:eastAsia="zh-CN"/>
              </w:rPr>
              <w:t>的得5分；</w:t>
            </w:r>
            <w:r>
              <w:rPr>
                <w:rFonts w:hint="eastAsia" w:ascii="宋体" w:hAnsi="宋体" w:eastAsia="宋体" w:cs="宋体"/>
                <w:color w:val="auto"/>
                <w:sz w:val="20"/>
                <w:szCs w:val="22"/>
                <w:highlight w:val="none"/>
                <w:lang w:val="en-US" w:eastAsia="zh-CN"/>
              </w:rPr>
              <w:t>内容缺乏一定</w:t>
            </w:r>
            <w:r>
              <w:rPr>
                <w:rFonts w:hint="eastAsia" w:ascii="宋体" w:hAnsi="宋体" w:cs="宋体"/>
                <w:color w:val="auto"/>
                <w:sz w:val="20"/>
                <w:szCs w:val="22"/>
                <w:highlight w:val="none"/>
                <w:lang w:val="en-US" w:eastAsia="zh-CN"/>
              </w:rPr>
              <w:t>完整</w:t>
            </w:r>
            <w:r>
              <w:rPr>
                <w:rFonts w:hint="eastAsia" w:ascii="宋体" w:hAnsi="宋体" w:eastAsia="宋体" w:cs="宋体"/>
                <w:color w:val="auto"/>
                <w:sz w:val="20"/>
                <w:szCs w:val="22"/>
                <w:highlight w:val="none"/>
                <w:lang w:val="en-US" w:eastAsia="zh-CN"/>
              </w:rPr>
              <w:t>性、可行性的得</w:t>
            </w:r>
            <w:r>
              <w:rPr>
                <w:rFonts w:hint="eastAsia" w:ascii="宋体" w:hAnsi="宋体" w:cs="宋体"/>
                <w:color w:val="auto"/>
                <w:sz w:val="20"/>
                <w:szCs w:val="22"/>
                <w:highlight w:val="none"/>
                <w:lang w:val="en-US" w:eastAsia="zh-CN"/>
              </w:rPr>
              <w:t>4</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内容一般的得</w:t>
            </w:r>
            <w:r>
              <w:rPr>
                <w:rFonts w:hint="eastAsia" w:ascii="宋体" w:hAnsi="宋体" w:cs="宋体"/>
                <w:color w:val="auto"/>
                <w:sz w:val="20"/>
                <w:szCs w:val="22"/>
                <w:highlight w:val="none"/>
                <w:lang w:val="en-US" w:eastAsia="zh-CN"/>
              </w:rPr>
              <w:t>3.5</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r>
              <w:rPr>
                <w:rFonts w:hint="eastAsia" w:ascii="宋体" w:hAnsi="宋体" w:cs="宋体"/>
                <w:color w:val="auto"/>
                <w:sz w:val="20"/>
                <w:szCs w:val="22"/>
                <w:highlight w:val="none"/>
                <w:lang w:val="en-US" w:eastAsia="zh-CN"/>
              </w:rPr>
              <w:t>。</w:t>
            </w:r>
          </w:p>
        </w:tc>
      </w:tr>
      <w:tr w14:paraId="0DF0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center"/>
          </w:tcPr>
          <w:p w14:paraId="15991EE3">
            <w:pPr>
              <w:jc w:val="center"/>
              <w:rPr>
                <w:rFonts w:hint="eastAsia" w:ascii="宋体" w:hAnsi="宋体" w:eastAsia="宋体" w:cs="宋体"/>
                <w:color w:val="auto"/>
                <w:sz w:val="20"/>
                <w:szCs w:val="22"/>
                <w:highlight w:val="none"/>
                <w:lang w:val="en-US" w:eastAsia="zh-CN"/>
              </w:rPr>
            </w:pPr>
          </w:p>
        </w:tc>
        <w:tc>
          <w:tcPr>
            <w:tcW w:w="1571" w:type="dxa"/>
            <w:vMerge w:val="continue"/>
            <w:noWrap w:val="0"/>
            <w:vAlign w:val="center"/>
          </w:tcPr>
          <w:p w14:paraId="120B69E4">
            <w:pPr>
              <w:jc w:val="center"/>
              <w:rPr>
                <w:rFonts w:hint="eastAsia" w:ascii="宋体" w:hAnsi="宋体" w:eastAsia="宋体" w:cs="宋体"/>
                <w:color w:val="auto"/>
                <w:sz w:val="20"/>
                <w:szCs w:val="22"/>
                <w:highlight w:val="none"/>
              </w:rPr>
            </w:pPr>
          </w:p>
        </w:tc>
        <w:tc>
          <w:tcPr>
            <w:tcW w:w="1362" w:type="dxa"/>
            <w:noWrap w:val="0"/>
            <w:vAlign w:val="center"/>
          </w:tcPr>
          <w:p w14:paraId="451E30A7">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2"/>
                <w:highlight w:val="none"/>
              </w:rPr>
              <w:t>工程进度计划与措施</w:t>
            </w:r>
          </w:p>
        </w:tc>
        <w:tc>
          <w:tcPr>
            <w:tcW w:w="2863" w:type="dxa"/>
            <w:noWrap w:val="0"/>
            <w:vAlign w:val="center"/>
          </w:tcPr>
          <w:p w14:paraId="425BF185">
            <w:pPr>
              <w:jc w:val="left"/>
              <w:rPr>
                <w:rFonts w:hint="eastAsia" w:ascii="宋体" w:hAnsi="宋体" w:eastAsia="宋体" w:cs="宋体"/>
                <w:color w:val="auto"/>
                <w:sz w:val="20"/>
                <w:szCs w:val="22"/>
                <w:highlight w:val="none"/>
              </w:rPr>
            </w:pPr>
            <w:r>
              <w:rPr>
                <w:rFonts w:hint="eastAsia" w:ascii="宋体" w:hAnsi="宋体" w:eastAsia="宋体" w:cs="宋体"/>
                <w:color w:val="auto"/>
                <w:sz w:val="20"/>
                <w:szCs w:val="22"/>
                <w:highlight w:val="none"/>
                <w:lang w:val="en-US" w:eastAsia="zh-CN"/>
              </w:rPr>
              <w:t>根据供应商所提供施工进度计划、安全保障措施‌、</w:t>
            </w:r>
            <w:r>
              <w:rPr>
                <w:rFonts w:hint="eastAsia" w:ascii="宋体" w:hAnsi="宋体" w:eastAsia="宋体" w:cs="宋体"/>
                <w:color w:val="auto"/>
                <w:sz w:val="20"/>
                <w:szCs w:val="22"/>
                <w:highlight w:val="none"/>
              </w:rPr>
              <w:t>质量保障措施</w:t>
            </w:r>
            <w:r>
              <w:rPr>
                <w:rFonts w:hint="default" w:ascii="宋体" w:hAnsi="宋体" w:eastAsia="宋体" w:cs="宋体"/>
                <w:color w:val="auto"/>
                <w:sz w:val="20"/>
                <w:szCs w:val="22"/>
                <w:highlight w:val="none"/>
              </w:rPr>
              <w:t>‌</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进度管理举措</w:t>
            </w:r>
            <w:r>
              <w:rPr>
                <w:rFonts w:hint="eastAsia" w:ascii="宋体" w:hAnsi="宋体" w:eastAsia="宋体" w:cs="宋体"/>
                <w:color w:val="auto"/>
                <w:sz w:val="20"/>
                <w:szCs w:val="22"/>
                <w:highlight w:val="none"/>
                <w:lang w:eastAsia="zh-CN"/>
              </w:rPr>
              <w:t>、</w:t>
            </w:r>
            <w:r>
              <w:rPr>
                <w:rFonts w:hint="eastAsia" w:ascii="宋体" w:hAnsi="宋体" w:eastAsia="宋体" w:cs="宋体"/>
                <w:color w:val="auto"/>
                <w:sz w:val="20"/>
                <w:szCs w:val="22"/>
                <w:highlight w:val="none"/>
              </w:rPr>
              <w:t>进度控制的措施</w:t>
            </w:r>
            <w:r>
              <w:rPr>
                <w:rFonts w:hint="default"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的完整性、可行性进行打分</w:t>
            </w:r>
          </w:p>
        </w:tc>
        <w:tc>
          <w:tcPr>
            <w:tcW w:w="3298" w:type="dxa"/>
            <w:noWrap w:val="0"/>
            <w:vAlign w:val="center"/>
          </w:tcPr>
          <w:p w14:paraId="33504615">
            <w:pPr>
              <w:jc w:val="both"/>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2"/>
                <w:highlight w:val="none"/>
              </w:rPr>
              <w:t>工程进度计划与措施</w:t>
            </w:r>
            <w:r>
              <w:rPr>
                <w:rFonts w:hint="eastAsia" w:ascii="宋体" w:hAnsi="宋体" w:cs="宋体"/>
                <w:color w:val="auto"/>
                <w:sz w:val="20"/>
                <w:szCs w:val="22"/>
                <w:highlight w:val="none"/>
                <w:lang w:eastAsia="zh-CN"/>
              </w:rPr>
              <w:t>内容具有</w:t>
            </w:r>
            <w:r>
              <w:rPr>
                <w:rFonts w:hint="eastAsia" w:ascii="宋体" w:hAnsi="宋体" w:eastAsia="宋体" w:cs="宋体"/>
                <w:color w:val="auto"/>
                <w:sz w:val="20"/>
                <w:szCs w:val="22"/>
                <w:highlight w:val="none"/>
                <w:lang w:val="en-US" w:eastAsia="zh-CN"/>
              </w:rPr>
              <w:t>完整性、可行性</w:t>
            </w:r>
            <w:r>
              <w:rPr>
                <w:rFonts w:hint="eastAsia" w:ascii="宋体" w:hAnsi="宋体" w:cs="宋体"/>
                <w:color w:val="auto"/>
                <w:sz w:val="20"/>
                <w:szCs w:val="22"/>
                <w:highlight w:val="none"/>
                <w:lang w:val="en-US" w:eastAsia="zh-CN"/>
              </w:rPr>
              <w:t>的得6分；</w:t>
            </w:r>
            <w:r>
              <w:rPr>
                <w:rFonts w:hint="eastAsia" w:ascii="宋体" w:hAnsi="宋体" w:eastAsia="宋体" w:cs="宋体"/>
                <w:color w:val="auto"/>
                <w:sz w:val="20"/>
                <w:szCs w:val="22"/>
                <w:highlight w:val="none"/>
                <w:lang w:val="en-US" w:eastAsia="zh-CN"/>
              </w:rPr>
              <w:t>内容缺乏一定</w:t>
            </w:r>
            <w:r>
              <w:rPr>
                <w:rFonts w:hint="eastAsia" w:ascii="宋体" w:hAnsi="宋体" w:cs="宋体"/>
                <w:color w:val="auto"/>
                <w:sz w:val="20"/>
                <w:szCs w:val="22"/>
                <w:highlight w:val="none"/>
                <w:lang w:val="en-US" w:eastAsia="zh-CN"/>
              </w:rPr>
              <w:t>完整</w:t>
            </w:r>
            <w:r>
              <w:rPr>
                <w:rFonts w:hint="eastAsia" w:ascii="宋体" w:hAnsi="宋体" w:eastAsia="宋体" w:cs="宋体"/>
                <w:color w:val="auto"/>
                <w:sz w:val="20"/>
                <w:szCs w:val="22"/>
                <w:highlight w:val="none"/>
                <w:lang w:val="en-US" w:eastAsia="zh-CN"/>
              </w:rPr>
              <w:t>性、可行性的得</w:t>
            </w:r>
            <w:r>
              <w:rPr>
                <w:rFonts w:hint="eastAsia" w:ascii="宋体" w:hAnsi="宋体" w:cs="宋体"/>
                <w:color w:val="auto"/>
                <w:sz w:val="20"/>
                <w:szCs w:val="22"/>
                <w:highlight w:val="none"/>
                <w:lang w:val="en-US" w:eastAsia="zh-CN"/>
              </w:rPr>
              <w:t>4.8</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内容一般的得</w:t>
            </w:r>
            <w:r>
              <w:rPr>
                <w:rFonts w:hint="eastAsia" w:ascii="宋体" w:hAnsi="宋体" w:cs="宋体"/>
                <w:color w:val="auto"/>
                <w:sz w:val="20"/>
                <w:szCs w:val="22"/>
                <w:highlight w:val="none"/>
                <w:lang w:val="en-US" w:eastAsia="zh-CN"/>
              </w:rPr>
              <w:t>4.2</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r>
              <w:rPr>
                <w:rFonts w:hint="eastAsia" w:ascii="宋体" w:hAnsi="宋体" w:cs="宋体"/>
                <w:color w:val="auto"/>
                <w:sz w:val="20"/>
                <w:szCs w:val="22"/>
                <w:highlight w:val="none"/>
                <w:lang w:val="en-US" w:eastAsia="zh-CN"/>
              </w:rPr>
              <w:t>。</w:t>
            </w:r>
          </w:p>
        </w:tc>
      </w:tr>
      <w:tr w14:paraId="1C8AD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8" w:type="dxa"/>
            <w:vMerge w:val="continue"/>
            <w:noWrap w:val="0"/>
            <w:vAlign w:val="center"/>
          </w:tcPr>
          <w:p w14:paraId="009AEA15">
            <w:pPr>
              <w:jc w:val="center"/>
              <w:rPr>
                <w:rFonts w:hint="eastAsia" w:ascii="宋体" w:hAnsi="宋体" w:eastAsia="宋体" w:cs="宋体"/>
                <w:color w:val="auto"/>
                <w:sz w:val="20"/>
                <w:szCs w:val="22"/>
                <w:highlight w:val="none"/>
                <w:lang w:val="en-US" w:eastAsia="zh-CN"/>
              </w:rPr>
            </w:pPr>
          </w:p>
        </w:tc>
        <w:tc>
          <w:tcPr>
            <w:tcW w:w="1571" w:type="dxa"/>
            <w:vMerge w:val="continue"/>
            <w:noWrap w:val="0"/>
            <w:vAlign w:val="center"/>
          </w:tcPr>
          <w:p w14:paraId="2513B017">
            <w:pPr>
              <w:jc w:val="center"/>
              <w:rPr>
                <w:rFonts w:hint="eastAsia" w:ascii="宋体" w:hAnsi="宋体" w:eastAsia="宋体" w:cs="宋体"/>
                <w:color w:val="auto"/>
                <w:sz w:val="20"/>
                <w:szCs w:val="22"/>
                <w:highlight w:val="none"/>
              </w:rPr>
            </w:pPr>
          </w:p>
        </w:tc>
        <w:tc>
          <w:tcPr>
            <w:tcW w:w="1362" w:type="dxa"/>
            <w:noWrap w:val="0"/>
            <w:vAlign w:val="center"/>
          </w:tcPr>
          <w:p w14:paraId="6F959632">
            <w:pPr>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sz w:val="20"/>
                <w:szCs w:val="22"/>
                <w:highlight w:val="none"/>
              </w:rPr>
              <w:t>资源配备计划</w:t>
            </w:r>
          </w:p>
        </w:tc>
        <w:tc>
          <w:tcPr>
            <w:tcW w:w="2863" w:type="dxa"/>
            <w:noWrap w:val="0"/>
            <w:vAlign w:val="center"/>
          </w:tcPr>
          <w:p w14:paraId="71FD5556">
            <w:pPr>
              <w:jc w:val="left"/>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根据供应商提供的‌‌劳动力配备计划‌、‌‌材料和设备采购计划的完整性、可行性进行打分</w:t>
            </w:r>
          </w:p>
        </w:tc>
        <w:tc>
          <w:tcPr>
            <w:tcW w:w="3298" w:type="dxa"/>
            <w:noWrap w:val="0"/>
            <w:vAlign w:val="top"/>
          </w:tcPr>
          <w:p w14:paraId="17FE1022">
            <w:pPr>
              <w:jc w:val="both"/>
              <w:rPr>
                <w:rFonts w:hint="eastAsia" w:ascii="宋体" w:hAnsi="宋体" w:eastAsia="宋体" w:cs="宋体"/>
                <w:color w:val="auto"/>
                <w:sz w:val="20"/>
                <w:szCs w:val="20"/>
                <w:highlight w:val="none"/>
                <w:lang w:eastAsia="zh-CN"/>
              </w:rPr>
            </w:pPr>
            <w:r>
              <w:rPr>
                <w:rFonts w:hint="eastAsia" w:ascii="宋体" w:hAnsi="宋体" w:eastAsia="宋体" w:cs="宋体"/>
                <w:color w:val="auto"/>
                <w:sz w:val="20"/>
                <w:szCs w:val="22"/>
                <w:highlight w:val="none"/>
              </w:rPr>
              <w:t>资源配备计划</w:t>
            </w:r>
            <w:r>
              <w:rPr>
                <w:rFonts w:hint="eastAsia" w:ascii="宋体" w:hAnsi="宋体" w:cs="宋体"/>
                <w:color w:val="auto"/>
                <w:sz w:val="20"/>
                <w:szCs w:val="22"/>
                <w:highlight w:val="none"/>
                <w:lang w:eastAsia="zh-CN"/>
              </w:rPr>
              <w:t>内容具有</w:t>
            </w:r>
            <w:r>
              <w:rPr>
                <w:rFonts w:hint="eastAsia" w:ascii="宋体" w:hAnsi="宋体" w:eastAsia="宋体" w:cs="宋体"/>
                <w:color w:val="auto"/>
                <w:sz w:val="20"/>
                <w:szCs w:val="22"/>
                <w:highlight w:val="none"/>
                <w:lang w:val="en-US" w:eastAsia="zh-CN"/>
              </w:rPr>
              <w:t>完整性、可行性</w:t>
            </w:r>
            <w:r>
              <w:rPr>
                <w:rFonts w:hint="eastAsia" w:ascii="宋体" w:hAnsi="宋体" w:cs="宋体"/>
                <w:color w:val="auto"/>
                <w:sz w:val="20"/>
                <w:szCs w:val="22"/>
                <w:highlight w:val="none"/>
                <w:lang w:val="en-US" w:eastAsia="zh-CN"/>
              </w:rPr>
              <w:t>得5分；</w:t>
            </w:r>
            <w:r>
              <w:rPr>
                <w:rFonts w:hint="eastAsia" w:ascii="宋体" w:hAnsi="宋体" w:eastAsia="宋体" w:cs="宋体"/>
                <w:color w:val="auto"/>
                <w:sz w:val="20"/>
                <w:szCs w:val="22"/>
                <w:highlight w:val="none"/>
                <w:lang w:val="en-US" w:eastAsia="zh-CN"/>
              </w:rPr>
              <w:t>内容缺乏一定</w:t>
            </w:r>
            <w:r>
              <w:rPr>
                <w:rFonts w:hint="eastAsia" w:ascii="宋体" w:hAnsi="宋体" w:cs="宋体"/>
                <w:color w:val="auto"/>
                <w:sz w:val="20"/>
                <w:szCs w:val="22"/>
                <w:highlight w:val="none"/>
                <w:lang w:val="en-US" w:eastAsia="zh-CN"/>
              </w:rPr>
              <w:t>完整</w:t>
            </w:r>
            <w:r>
              <w:rPr>
                <w:rFonts w:hint="eastAsia" w:ascii="宋体" w:hAnsi="宋体" w:eastAsia="宋体" w:cs="宋体"/>
                <w:color w:val="auto"/>
                <w:sz w:val="20"/>
                <w:szCs w:val="22"/>
                <w:highlight w:val="none"/>
                <w:lang w:val="en-US" w:eastAsia="zh-CN"/>
              </w:rPr>
              <w:t>性、可行性的得</w:t>
            </w:r>
            <w:r>
              <w:rPr>
                <w:rFonts w:hint="eastAsia" w:ascii="宋体" w:hAnsi="宋体" w:cs="宋体"/>
                <w:color w:val="auto"/>
                <w:sz w:val="20"/>
                <w:szCs w:val="22"/>
                <w:highlight w:val="none"/>
                <w:lang w:val="en-US" w:eastAsia="zh-CN"/>
              </w:rPr>
              <w:t>4</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内容一般的得</w:t>
            </w:r>
            <w:r>
              <w:rPr>
                <w:rFonts w:hint="eastAsia" w:ascii="宋体" w:hAnsi="宋体" w:cs="宋体"/>
                <w:color w:val="auto"/>
                <w:sz w:val="20"/>
                <w:szCs w:val="22"/>
                <w:highlight w:val="none"/>
                <w:lang w:val="en-US" w:eastAsia="zh-CN"/>
              </w:rPr>
              <w:t>3.5</w:t>
            </w:r>
            <w:r>
              <w:rPr>
                <w:rFonts w:hint="eastAsia" w:ascii="宋体" w:hAnsi="宋体" w:eastAsia="宋体" w:cs="宋体"/>
                <w:color w:val="auto"/>
                <w:sz w:val="20"/>
                <w:szCs w:val="22"/>
                <w:highlight w:val="none"/>
                <w:lang w:val="en-US" w:eastAsia="zh-CN"/>
              </w:rPr>
              <w:t>分</w:t>
            </w:r>
            <w:r>
              <w:rPr>
                <w:rFonts w:hint="eastAsia" w:ascii="宋体" w:hAnsi="宋体" w:cs="宋体"/>
                <w:color w:val="auto"/>
                <w:sz w:val="20"/>
                <w:szCs w:val="22"/>
                <w:highlight w:val="none"/>
                <w:lang w:val="en-US" w:eastAsia="zh-CN"/>
              </w:rPr>
              <w:t>；</w:t>
            </w:r>
            <w:r>
              <w:rPr>
                <w:rFonts w:hint="eastAsia" w:ascii="宋体" w:hAnsi="宋体" w:eastAsia="宋体" w:cs="宋体"/>
                <w:color w:val="auto"/>
                <w:sz w:val="20"/>
                <w:szCs w:val="22"/>
                <w:highlight w:val="none"/>
                <w:lang w:val="en-US" w:eastAsia="zh-CN"/>
              </w:rPr>
              <w:t>未提供</w:t>
            </w:r>
            <w:r>
              <w:rPr>
                <w:rFonts w:hint="eastAsia" w:ascii="宋体" w:hAnsi="宋体" w:cs="宋体"/>
                <w:color w:val="auto"/>
                <w:sz w:val="20"/>
                <w:szCs w:val="22"/>
                <w:highlight w:val="none"/>
                <w:lang w:val="en-US" w:eastAsia="zh-CN"/>
              </w:rPr>
              <w:t>或不完整的</w:t>
            </w:r>
            <w:r>
              <w:rPr>
                <w:rFonts w:hint="eastAsia" w:ascii="宋体" w:hAnsi="宋体" w:eastAsia="宋体" w:cs="宋体"/>
                <w:color w:val="auto"/>
                <w:sz w:val="20"/>
                <w:szCs w:val="22"/>
                <w:highlight w:val="none"/>
                <w:lang w:val="en-US" w:eastAsia="zh-CN"/>
              </w:rPr>
              <w:t>不得分</w:t>
            </w:r>
            <w:r>
              <w:rPr>
                <w:rFonts w:hint="eastAsia" w:ascii="宋体" w:hAnsi="宋体" w:cs="宋体"/>
                <w:color w:val="auto"/>
                <w:sz w:val="20"/>
                <w:szCs w:val="22"/>
                <w:highlight w:val="none"/>
                <w:lang w:val="en-US" w:eastAsia="zh-CN"/>
              </w:rPr>
              <w:t>。</w:t>
            </w:r>
          </w:p>
        </w:tc>
      </w:tr>
      <w:tr w14:paraId="6A672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588" w:type="dxa"/>
            <w:noWrap w:val="0"/>
            <w:vAlign w:val="center"/>
          </w:tcPr>
          <w:p w14:paraId="56E0952F">
            <w:pPr>
              <w:jc w:val="center"/>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2</w:t>
            </w:r>
          </w:p>
        </w:tc>
        <w:tc>
          <w:tcPr>
            <w:tcW w:w="1571" w:type="dxa"/>
            <w:noWrap w:val="0"/>
            <w:vAlign w:val="center"/>
          </w:tcPr>
          <w:p w14:paraId="2545025A">
            <w:pPr>
              <w:jc w:val="center"/>
              <w:rPr>
                <w:rFonts w:hint="default" w:ascii="宋体" w:hAnsi="宋体" w:eastAsia="宋体" w:cs="宋体"/>
                <w:color w:val="auto"/>
                <w:sz w:val="20"/>
                <w:szCs w:val="22"/>
                <w:highlight w:val="none"/>
                <w:lang w:val="en-US" w:eastAsia="zh-CN"/>
              </w:rPr>
            </w:pPr>
            <w:r>
              <w:rPr>
                <w:rFonts w:hint="default" w:ascii="宋体" w:hAnsi="宋体" w:eastAsia="宋体" w:cs="宋体"/>
                <w:color w:val="auto"/>
                <w:sz w:val="20"/>
                <w:szCs w:val="22"/>
                <w:highlight w:val="none"/>
                <w:lang w:val="en-US" w:eastAsia="zh-CN"/>
              </w:rPr>
              <w:t>项目组人员配备</w:t>
            </w:r>
          </w:p>
        </w:tc>
        <w:tc>
          <w:tcPr>
            <w:tcW w:w="4225" w:type="dxa"/>
            <w:gridSpan w:val="2"/>
            <w:noWrap w:val="0"/>
            <w:vAlign w:val="center"/>
          </w:tcPr>
          <w:p w14:paraId="42008614">
            <w:pPr>
              <w:jc w:val="lef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1.项目负责人具有市政公用工程专业壹级注册建造师或水利水电工程专业壹级注册建造师的，得</w:t>
            </w:r>
            <w:r>
              <w:rPr>
                <w:rFonts w:hint="eastAsia" w:ascii="宋体" w:hAnsi="宋体" w:cs="宋体"/>
                <w:color w:val="auto"/>
                <w:sz w:val="20"/>
                <w:szCs w:val="22"/>
                <w:highlight w:val="none"/>
                <w:lang w:val="en-US" w:eastAsia="zh-CN"/>
              </w:rPr>
              <w:t>3</w:t>
            </w:r>
            <w:r>
              <w:rPr>
                <w:rFonts w:hint="eastAsia" w:ascii="宋体" w:hAnsi="宋体" w:eastAsia="宋体" w:cs="宋体"/>
                <w:color w:val="auto"/>
                <w:sz w:val="20"/>
                <w:szCs w:val="22"/>
                <w:highlight w:val="none"/>
                <w:lang w:val="en-US" w:eastAsia="zh-CN"/>
              </w:rPr>
              <w:t>分；具备中级及以上职称的，得2分；本项最多得</w:t>
            </w:r>
            <w:r>
              <w:rPr>
                <w:rFonts w:hint="eastAsia" w:ascii="宋体" w:hAnsi="宋体" w:cs="宋体"/>
                <w:color w:val="auto"/>
                <w:sz w:val="20"/>
                <w:szCs w:val="22"/>
                <w:highlight w:val="none"/>
                <w:lang w:val="en-US" w:eastAsia="zh-CN"/>
              </w:rPr>
              <w:t>5</w:t>
            </w:r>
            <w:r>
              <w:rPr>
                <w:rFonts w:hint="eastAsia" w:ascii="宋体" w:hAnsi="宋体" w:eastAsia="宋体" w:cs="宋体"/>
                <w:color w:val="auto"/>
                <w:sz w:val="20"/>
                <w:szCs w:val="22"/>
                <w:highlight w:val="none"/>
                <w:lang w:val="en-US" w:eastAsia="zh-CN"/>
              </w:rPr>
              <w:t>分；</w:t>
            </w:r>
          </w:p>
          <w:p w14:paraId="26E4E44A">
            <w:pPr>
              <w:jc w:val="lef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2.项目组成员（除项目负责人以外）具有市政公用工程专业贰级及以上注册建造师或水利水电工程专业贰级及以上注册建造师的，每提供一人得2分，最多得4分；</w:t>
            </w:r>
          </w:p>
          <w:p w14:paraId="5105F76F">
            <w:pPr>
              <w:jc w:val="lef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3.项目组成员（除项目负责人以外）具有中级及以上职称每提供一人得</w:t>
            </w:r>
            <w:r>
              <w:rPr>
                <w:rFonts w:hint="eastAsia" w:ascii="宋体" w:hAnsi="宋体" w:cs="宋体"/>
                <w:color w:val="auto"/>
                <w:sz w:val="20"/>
                <w:szCs w:val="22"/>
                <w:highlight w:val="none"/>
                <w:lang w:val="en-US" w:eastAsia="zh-CN"/>
              </w:rPr>
              <w:t>2</w:t>
            </w:r>
            <w:r>
              <w:rPr>
                <w:rFonts w:hint="eastAsia" w:ascii="宋体" w:hAnsi="宋体" w:eastAsia="宋体" w:cs="宋体"/>
                <w:color w:val="auto"/>
                <w:sz w:val="20"/>
                <w:szCs w:val="22"/>
                <w:highlight w:val="none"/>
                <w:lang w:val="en-US" w:eastAsia="zh-CN"/>
              </w:rPr>
              <w:t>分，最多得</w:t>
            </w:r>
            <w:r>
              <w:rPr>
                <w:rFonts w:hint="eastAsia" w:ascii="宋体" w:hAnsi="宋体" w:cs="宋体"/>
                <w:color w:val="auto"/>
                <w:sz w:val="20"/>
                <w:szCs w:val="22"/>
                <w:highlight w:val="none"/>
                <w:lang w:val="en-US" w:eastAsia="zh-CN"/>
              </w:rPr>
              <w:t>4</w:t>
            </w:r>
            <w:r>
              <w:rPr>
                <w:rFonts w:hint="eastAsia" w:ascii="宋体" w:hAnsi="宋体" w:eastAsia="宋体" w:cs="宋体"/>
                <w:color w:val="auto"/>
                <w:sz w:val="20"/>
                <w:szCs w:val="22"/>
                <w:highlight w:val="none"/>
                <w:lang w:val="en-US" w:eastAsia="zh-CN"/>
              </w:rPr>
              <w:t>分。</w:t>
            </w:r>
          </w:p>
          <w:p w14:paraId="0AC4ECB2">
            <w:pPr>
              <w:jc w:val="lef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(须对应提供证书、职称证及供应商为其缴纳的响应截止时间前三个月（不含响应截止时间当月）中至少一个月的养老保险缴纳证明材料（若为响应截止时间当月新开办企业，则无需提供）)。</w:t>
            </w:r>
          </w:p>
          <w:p w14:paraId="5BE42F76">
            <w:pPr>
              <w:jc w:val="left"/>
              <w:rPr>
                <w:rFonts w:hint="eastAsia"/>
                <w:color w:val="auto"/>
                <w:sz w:val="20"/>
                <w:szCs w:val="21"/>
                <w:highlight w:val="none"/>
                <w:lang w:val="en-US" w:eastAsia="zh-CN"/>
              </w:rPr>
            </w:pPr>
            <w:r>
              <w:rPr>
                <w:rFonts w:hint="eastAsia" w:ascii="宋体" w:hAnsi="宋体" w:cs="宋体"/>
                <w:color w:val="auto"/>
                <w:sz w:val="20"/>
                <w:szCs w:val="22"/>
                <w:highlight w:val="none"/>
                <w:lang w:val="en-US" w:eastAsia="zh-CN"/>
              </w:rPr>
              <w:t>备注：建造师证书</w:t>
            </w:r>
            <w:r>
              <w:rPr>
                <w:rFonts w:hint="eastAsia" w:ascii="宋体" w:hAnsi="宋体" w:eastAsia="宋体" w:cs="宋体"/>
                <w:color w:val="auto"/>
                <w:sz w:val="20"/>
                <w:szCs w:val="22"/>
                <w:highlight w:val="none"/>
                <w:lang w:val="en-US" w:eastAsia="zh-CN"/>
              </w:rPr>
              <w:t>须根据《住房和城乡建设部办公厅关于全面实行一级建造师电子注册证书的通知》(建办市(2021)40号)、《省住房和城乡建设厅关于我省二级建造师、二级造价工程师、二级注册建筑师、二级注册结构工程师注册证书电子证照换发的公告》((2023)第 26号)的规定文件要求执行，其他省份二级建造师注册证书按当地相关规定执行，否则不予认可。</w:t>
            </w:r>
          </w:p>
        </w:tc>
        <w:tc>
          <w:tcPr>
            <w:tcW w:w="3298" w:type="dxa"/>
            <w:noWrap w:val="0"/>
            <w:vAlign w:val="center"/>
          </w:tcPr>
          <w:p w14:paraId="5572673C">
            <w:pPr>
              <w:jc w:val="center"/>
              <w:rPr>
                <w:rFonts w:hint="default" w:ascii="宋体" w:hAnsi="宋体" w:eastAsia="宋体" w:cs="宋体"/>
                <w:color w:val="auto"/>
                <w:sz w:val="20"/>
                <w:szCs w:val="22"/>
                <w:highlight w:val="none"/>
                <w:lang w:val="en-US" w:eastAsia="zh-CN"/>
              </w:rPr>
            </w:pPr>
            <w:r>
              <w:rPr>
                <w:rFonts w:hint="eastAsia" w:ascii="宋体" w:hAnsi="宋体" w:cs="宋体"/>
                <w:color w:val="auto"/>
                <w:sz w:val="20"/>
                <w:szCs w:val="22"/>
                <w:highlight w:val="none"/>
                <w:lang w:val="en-US" w:eastAsia="zh-CN"/>
              </w:rPr>
              <w:t>13</w:t>
            </w:r>
          </w:p>
        </w:tc>
      </w:tr>
      <w:tr w14:paraId="4495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88" w:type="dxa"/>
            <w:noWrap w:val="0"/>
            <w:vAlign w:val="center"/>
          </w:tcPr>
          <w:p w14:paraId="22B86537">
            <w:pPr>
              <w:jc w:val="center"/>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3</w:t>
            </w:r>
          </w:p>
        </w:tc>
        <w:tc>
          <w:tcPr>
            <w:tcW w:w="1571" w:type="dxa"/>
            <w:noWrap w:val="0"/>
            <w:vAlign w:val="center"/>
          </w:tcPr>
          <w:p w14:paraId="31A703FE">
            <w:pPr>
              <w:jc w:val="center"/>
              <w:rPr>
                <w:rFonts w:hint="default"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业绩1</w:t>
            </w:r>
          </w:p>
        </w:tc>
        <w:tc>
          <w:tcPr>
            <w:tcW w:w="4225" w:type="dxa"/>
            <w:gridSpan w:val="2"/>
            <w:noWrap w:val="0"/>
            <w:vAlign w:val="center"/>
          </w:tcPr>
          <w:p w14:paraId="0F980865">
            <w:pPr>
              <w:jc w:val="lef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拟派项目负责人自2020年1月1日至今，在供应商任职期间承担过</w:t>
            </w:r>
            <w:r>
              <w:rPr>
                <w:rFonts w:hint="eastAsia" w:ascii="宋体" w:hAnsi="宋体" w:eastAsia="宋体" w:cs="宋体"/>
                <w:b/>
                <w:bCs/>
                <w:color w:val="auto"/>
                <w:sz w:val="20"/>
                <w:szCs w:val="22"/>
                <w:highlight w:val="none"/>
                <w:lang w:val="en-US" w:eastAsia="zh-CN"/>
              </w:rPr>
              <w:t>市政桥梁或园桥顶目</w:t>
            </w:r>
            <w:r>
              <w:rPr>
                <w:rFonts w:hint="eastAsia" w:ascii="宋体" w:hAnsi="宋体" w:eastAsia="宋体" w:cs="宋体"/>
                <w:color w:val="auto"/>
                <w:sz w:val="20"/>
                <w:szCs w:val="22"/>
                <w:highlight w:val="none"/>
                <w:lang w:val="en-US" w:eastAsia="zh-CN"/>
              </w:rPr>
              <w:t>施工（时间以竣工验收证明的验收时间为准。），并在该项目中担任项目负责人职务。每提供一个得</w:t>
            </w:r>
            <w:r>
              <w:rPr>
                <w:rFonts w:hint="eastAsia" w:ascii="宋体" w:hAnsi="宋体" w:cs="宋体"/>
                <w:color w:val="auto"/>
                <w:sz w:val="20"/>
                <w:szCs w:val="22"/>
                <w:highlight w:val="none"/>
                <w:lang w:val="en-US" w:eastAsia="zh-CN"/>
              </w:rPr>
              <w:t>4</w:t>
            </w:r>
            <w:r>
              <w:rPr>
                <w:rFonts w:hint="eastAsia" w:ascii="宋体" w:hAnsi="宋体" w:eastAsia="宋体" w:cs="宋体"/>
                <w:color w:val="auto"/>
                <w:sz w:val="20"/>
                <w:szCs w:val="22"/>
                <w:highlight w:val="none"/>
                <w:lang w:val="en-US" w:eastAsia="zh-CN"/>
              </w:rPr>
              <w:t>分，本项最多得</w:t>
            </w:r>
            <w:r>
              <w:rPr>
                <w:rFonts w:hint="eastAsia" w:ascii="宋体" w:hAnsi="宋体" w:cs="宋体"/>
                <w:color w:val="auto"/>
                <w:sz w:val="20"/>
                <w:szCs w:val="22"/>
                <w:highlight w:val="none"/>
                <w:lang w:val="en-US" w:eastAsia="zh-CN"/>
              </w:rPr>
              <w:t>12</w:t>
            </w:r>
            <w:r>
              <w:rPr>
                <w:rFonts w:hint="eastAsia" w:ascii="宋体" w:hAnsi="宋体" w:eastAsia="宋体" w:cs="宋体"/>
                <w:color w:val="auto"/>
                <w:sz w:val="20"/>
                <w:szCs w:val="22"/>
                <w:highlight w:val="none"/>
                <w:lang w:val="en-US" w:eastAsia="zh-CN"/>
              </w:rPr>
              <w:t>分。</w:t>
            </w:r>
          </w:p>
          <w:p w14:paraId="5B0377EC">
            <w:pPr>
              <w:pStyle w:val="38"/>
              <w:rPr>
                <w:rFonts w:hint="eastAsia"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注：</w:t>
            </w:r>
          </w:p>
          <w:p w14:paraId="0EB26327">
            <w:pPr>
              <w:pStyle w:val="38"/>
              <w:rPr>
                <w:rFonts w:hint="default"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①</w:t>
            </w:r>
            <w:r>
              <w:rPr>
                <w:rFonts w:hint="default" w:ascii="Times New Roman" w:hAnsi="Times New Roman" w:eastAsia="宋体" w:cs="Times New Roman"/>
                <w:b w:val="0"/>
                <w:bCs w:val="0"/>
                <w:color w:val="auto"/>
                <w:kern w:val="0"/>
                <w:sz w:val="20"/>
                <w:szCs w:val="21"/>
                <w:highlight w:val="none"/>
                <w:lang w:val="en-US" w:eastAsia="zh-CN" w:bidi="ar-SA"/>
              </w:rPr>
              <w:t>提供业绩证明材料</w:t>
            </w:r>
            <w:r>
              <w:rPr>
                <w:rFonts w:hint="eastAsia" w:ascii="Times New Roman" w:hAnsi="Times New Roman" w:eastAsia="宋体" w:cs="Times New Roman"/>
                <w:b w:val="0"/>
                <w:bCs w:val="0"/>
                <w:color w:val="auto"/>
                <w:kern w:val="0"/>
                <w:sz w:val="20"/>
                <w:szCs w:val="21"/>
                <w:highlight w:val="none"/>
                <w:lang w:val="en-US" w:eastAsia="zh-CN" w:bidi="ar-SA"/>
              </w:rPr>
              <w:t>为</w:t>
            </w:r>
            <w:r>
              <w:rPr>
                <w:rFonts w:hint="default" w:ascii="Times New Roman" w:hAnsi="Times New Roman" w:eastAsia="宋体" w:cs="Times New Roman"/>
                <w:b w:val="0"/>
                <w:bCs w:val="0"/>
                <w:color w:val="auto"/>
                <w:kern w:val="0"/>
                <w:sz w:val="20"/>
                <w:szCs w:val="21"/>
                <w:highlight w:val="none"/>
                <w:lang w:val="en-US" w:eastAsia="zh-CN" w:bidi="ar-SA"/>
              </w:rPr>
              <w:t>中标通知书（如为直接发包项目，可提供直接发包通知书）、施工合同、竣工验收证明</w:t>
            </w:r>
            <w:r>
              <w:rPr>
                <w:rFonts w:hint="eastAsia" w:ascii="Times New Roman" w:hAnsi="Times New Roman" w:cs="Times New Roman"/>
                <w:b w:val="0"/>
                <w:bCs w:val="0"/>
                <w:color w:val="auto"/>
                <w:kern w:val="0"/>
                <w:sz w:val="20"/>
                <w:szCs w:val="21"/>
                <w:highlight w:val="none"/>
                <w:lang w:val="en-US" w:eastAsia="zh-CN" w:bidi="ar-SA"/>
              </w:rPr>
              <w:t>、和施工完成后的现状照片</w:t>
            </w:r>
            <w:r>
              <w:rPr>
                <w:rFonts w:hint="default" w:ascii="Times New Roman" w:hAnsi="Times New Roman" w:eastAsia="宋体" w:cs="Times New Roman"/>
                <w:b w:val="0"/>
                <w:bCs w:val="0"/>
                <w:color w:val="auto"/>
                <w:kern w:val="0"/>
                <w:sz w:val="20"/>
                <w:szCs w:val="21"/>
                <w:highlight w:val="none"/>
                <w:lang w:val="en-US" w:eastAsia="zh-CN" w:bidi="ar-SA"/>
              </w:rPr>
              <w:t>，以上</w:t>
            </w:r>
            <w:r>
              <w:rPr>
                <w:rFonts w:hint="eastAsia" w:ascii="Times New Roman" w:hAnsi="Times New Roman" w:cs="Times New Roman"/>
                <w:b w:val="0"/>
                <w:bCs w:val="0"/>
                <w:color w:val="auto"/>
                <w:kern w:val="0"/>
                <w:sz w:val="20"/>
                <w:szCs w:val="21"/>
                <w:highlight w:val="none"/>
                <w:lang w:val="en-US" w:eastAsia="zh-CN" w:bidi="ar-SA"/>
              </w:rPr>
              <w:t>四</w:t>
            </w:r>
            <w:r>
              <w:rPr>
                <w:rFonts w:hint="default" w:ascii="Times New Roman" w:hAnsi="Times New Roman" w:eastAsia="宋体" w:cs="Times New Roman"/>
                <w:b w:val="0"/>
                <w:bCs w:val="0"/>
                <w:color w:val="auto"/>
                <w:kern w:val="0"/>
                <w:sz w:val="20"/>
                <w:szCs w:val="21"/>
                <w:highlight w:val="none"/>
                <w:lang w:val="en-US" w:eastAsia="zh-CN" w:bidi="ar-SA"/>
              </w:rPr>
              <w:t>项证明材料须齐全，缺一不可。</w:t>
            </w:r>
          </w:p>
          <w:p w14:paraId="2319F2B9">
            <w:pPr>
              <w:pStyle w:val="38"/>
              <w:rPr>
                <w:rFonts w:hint="default"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②</w:t>
            </w:r>
            <w:r>
              <w:rPr>
                <w:rFonts w:hint="default" w:ascii="Times New Roman" w:hAnsi="Times New Roman" w:eastAsia="宋体" w:cs="Times New Roman"/>
                <w:b w:val="0"/>
                <w:bCs w:val="0"/>
                <w:color w:val="auto"/>
                <w:kern w:val="0"/>
                <w:sz w:val="20"/>
                <w:szCs w:val="21"/>
                <w:highlight w:val="none"/>
                <w:lang w:val="en-US" w:eastAsia="zh-CN" w:bidi="ar-SA"/>
              </w:rPr>
              <w:t>项目负责人发生变更的业绩，不予认可；若中标通知书（或直接发包通知书）、施工合同和竣工验收证明这三项证明材料中载明拟派项目负责人，则载明的项目负责人须为同一人，否则不予认可。如对应业绩材料无法体现项目负责人姓名的，须提供经</w:t>
            </w:r>
            <w:r>
              <w:rPr>
                <w:rFonts w:hint="eastAsia" w:ascii="Times New Roman" w:hAnsi="Times New Roman" w:eastAsia="宋体" w:cs="Times New Roman"/>
                <w:b w:val="0"/>
                <w:bCs w:val="0"/>
                <w:color w:val="auto"/>
                <w:kern w:val="0"/>
                <w:sz w:val="20"/>
                <w:szCs w:val="21"/>
                <w:highlight w:val="none"/>
                <w:lang w:val="en-US" w:eastAsia="zh-CN" w:bidi="ar-SA"/>
              </w:rPr>
              <w:t>原</w:t>
            </w:r>
            <w:r>
              <w:rPr>
                <w:rFonts w:hint="default" w:ascii="Times New Roman" w:hAnsi="Times New Roman" w:eastAsia="宋体" w:cs="Times New Roman"/>
                <w:b w:val="0"/>
                <w:bCs w:val="0"/>
                <w:color w:val="auto"/>
                <w:kern w:val="0"/>
                <w:sz w:val="20"/>
                <w:szCs w:val="21"/>
                <w:highlight w:val="none"/>
                <w:lang w:val="en-US" w:eastAsia="zh-CN" w:bidi="ar-SA"/>
              </w:rPr>
              <w:t>建设单位加盖公章的书面证明材料。</w:t>
            </w:r>
          </w:p>
          <w:p w14:paraId="37B44DE5">
            <w:pPr>
              <w:pStyle w:val="38"/>
              <w:rPr>
                <w:rFonts w:hint="eastAsia"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③</w:t>
            </w:r>
            <w:r>
              <w:rPr>
                <w:rFonts w:hint="default" w:ascii="Times New Roman" w:hAnsi="Times New Roman" w:eastAsia="宋体" w:cs="Times New Roman"/>
                <w:b w:val="0"/>
                <w:bCs w:val="0"/>
                <w:color w:val="auto"/>
                <w:kern w:val="0"/>
                <w:sz w:val="20"/>
                <w:szCs w:val="21"/>
                <w:highlight w:val="none"/>
                <w:lang w:val="en-US" w:eastAsia="zh-CN" w:bidi="ar-SA"/>
              </w:rPr>
              <w:t>如上述业绩证明材料未能体现相应要求，须提供经</w:t>
            </w:r>
            <w:r>
              <w:rPr>
                <w:rFonts w:hint="eastAsia" w:ascii="Times New Roman" w:hAnsi="Times New Roman" w:eastAsia="宋体" w:cs="Times New Roman"/>
                <w:b w:val="0"/>
                <w:bCs w:val="0"/>
                <w:color w:val="auto"/>
                <w:kern w:val="0"/>
                <w:sz w:val="20"/>
                <w:szCs w:val="21"/>
                <w:highlight w:val="none"/>
                <w:lang w:val="en-US" w:eastAsia="zh-CN" w:bidi="ar-SA"/>
              </w:rPr>
              <w:t>原</w:t>
            </w:r>
            <w:r>
              <w:rPr>
                <w:rFonts w:hint="default" w:ascii="Times New Roman" w:hAnsi="Times New Roman" w:eastAsia="宋体" w:cs="Times New Roman"/>
                <w:b w:val="0"/>
                <w:bCs w:val="0"/>
                <w:color w:val="auto"/>
                <w:kern w:val="0"/>
                <w:sz w:val="20"/>
                <w:szCs w:val="21"/>
                <w:highlight w:val="none"/>
                <w:lang w:val="en-US" w:eastAsia="zh-CN" w:bidi="ar-SA"/>
              </w:rPr>
              <w:t>建设单位加盖公章的书面证明材料，否则不予认可。</w:t>
            </w:r>
          </w:p>
        </w:tc>
        <w:tc>
          <w:tcPr>
            <w:tcW w:w="3298" w:type="dxa"/>
            <w:noWrap w:val="0"/>
            <w:vAlign w:val="center"/>
          </w:tcPr>
          <w:p w14:paraId="06F7845A">
            <w:pPr>
              <w:jc w:val="center"/>
              <w:rPr>
                <w:rFonts w:hint="default" w:ascii="宋体" w:hAnsi="宋体" w:eastAsia="宋体" w:cs="宋体"/>
                <w:color w:val="auto"/>
                <w:sz w:val="20"/>
                <w:szCs w:val="22"/>
                <w:highlight w:val="none"/>
                <w:lang w:val="en-US" w:eastAsia="zh-CN"/>
              </w:rPr>
            </w:pPr>
            <w:r>
              <w:rPr>
                <w:rFonts w:hint="eastAsia" w:ascii="宋体" w:hAnsi="宋体" w:cs="宋体"/>
                <w:color w:val="auto"/>
                <w:sz w:val="20"/>
                <w:szCs w:val="22"/>
                <w:highlight w:val="none"/>
                <w:lang w:val="en-US" w:eastAsia="zh-CN"/>
              </w:rPr>
              <w:t>12</w:t>
            </w:r>
          </w:p>
        </w:tc>
      </w:tr>
      <w:tr w14:paraId="4E83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88" w:type="dxa"/>
            <w:noWrap w:val="0"/>
            <w:vAlign w:val="center"/>
          </w:tcPr>
          <w:p w14:paraId="3B4B92EC">
            <w:pPr>
              <w:jc w:val="center"/>
              <w:rPr>
                <w:rFonts w:hint="eastAsia" w:ascii="宋体" w:hAnsi="宋体" w:eastAsia="宋体" w:cs="宋体"/>
                <w:color w:val="auto"/>
                <w:sz w:val="20"/>
                <w:szCs w:val="22"/>
                <w:highlight w:val="none"/>
                <w:lang w:val="en-US" w:eastAsia="zh-CN"/>
              </w:rPr>
            </w:pPr>
          </w:p>
        </w:tc>
        <w:tc>
          <w:tcPr>
            <w:tcW w:w="1571" w:type="dxa"/>
            <w:noWrap w:val="0"/>
            <w:vAlign w:val="center"/>
          </w:tcPr>
          <w:p w14:paraId="17151EF0">
            <w:pPr>
              <w:jc w:val="center"/>
              <w:rPr>
                <w:rFonts w:hint="default" w:ascii="宋体" w:hAnsi="宋体" w:eastAsia="宋体" w:cs="宋体"/>
                <w:color w:val="auto"/>
                <w:kern w:val="2"/>
                <w:sz w:val="20"/>
                <w:szCs w:val="22"/>
                <w:highlight w:val="none"/>
                <w:lang w:val="en-US" w:eastAsia="zh-CN" w:bidi="ar-SA"/>
              </w:rPr>
            </w:pPr>
            <w:r>
              <w:rPr>
                <w:rFonts w:hint="eastAsia" w:ascii="宋体" w:hAnsi="宋体" w:eastAsia="宋体" w:cs="宋体"/>
                <w:color w:val="auto"/>
                <w:sz w:val="20"/>
                <w:szCs w:val="22"/>
                <w:highlight w:val="none"/>
                <w:lang w:val="en-US" w:eastAsia="zh-CN"/>
              </w:rPr>
              <w:t>业绩2</w:t>
            </w:r>
          </w:p>
        </w:tc>
        <w:tc>
          <w:tcPr>
            <w:tcW w:w="4225" w:type="dxa"/>
            <w:gridSpan w:val="2"/>
            <w:noWrap w:val="0"/>
            <w:vAlign w:val="center"/>
          </w:tcPr>
          <w:p w14:paraId="05C33A54">
            <w:pPr>
              <w:jc w:val="left"/>
              <w:rPr>
                <w:rFonts w:hint="eastAsia" w:ascii="宋体" w:hAnsi="宋体" w:eastAsia="宋体" w:cs="宋体"/>
                <w:color w:val="auto"/>
                <w:sz w:val="20"/>
                <w:szCs w:val="22"/>
                <w:highlight w:val="none"/>
                <w:lang w:val="en-US" w:eastAsia="zh-CN"/>
              </w:rPr>
            </w:pPr>
            <w:r>
              <w:rPr>
                <w:rFonts w:hint="eastAsia" w:ascii="宋体" w:hAnsi="宋体" w:eastAsia="宋体" w:cs="宋体"/>
                <w:color w:val="auto"/>
                <w:sz w:val="20"/>
                <w:szCs w:val="22"/>
                <w:highlight w:val="none"/>
                <w:lang w:val="en-US" w:eastAsia="zh-CN"/>
              </w:rPr>
              <w:t>拟派项目负责人自2020年1月1日至今，在供应商任职期间承担过</w:t>
            </w:r>
            <w:r>
              <w:rPr>
                <w:rFonts w:hint="eastAsia" w:ascii="宋体" w:hAnsi="宋体" w:eastAsia="宋体" w:cs="宋体"/>
                <w:b/>
                <w:bCs/>
                <w:color w:val="auto"/>
                <w:sz w:val="20"/>
                <w:szCs w:val="22"/>
                <w:highlight w:val="none"/>
                <w:lang w:val="en-US" w:eastAsia="zh-CN"/>
              </w:rPr>
              <w:t>仿古建筑或文物类古建筑修复工程</w:t>
            </w:r>
            <w:r>
              <w:rPr>
                <w:rFonts w:hint="eastAsia" w:ascii="宋体" w:hAnsi="宋体" w:eastAsia="宋体" w:cs="宋体"/>
                <w:color w:val="auto"/>
                <w:sz w:val="20"/>
                <w:szCs w:val="22"/>
                <w:highlight w:val="none"/>
                <w:lang w:val="en-US" w:eastAsia="zh-CN"/>
              </w:rPr>
              <w:t>施工（时间以竣工验收证明的验收时间为准。），并在该项目中担任项目负责人职务。每提供一个得</w:t>
            </w:r>
            <w:r>
              <w:rPr>
                <w:rFonts w:hint="eastAsia" w:ascii="宋体" w:hAnsi="宋体" w:cs="宋体"/>
                <w:color w:val="auto"/>
                <w:sz w:val="20"/>
                <w:szCs w:val="22"/>
                <w:highlight w:val="none"/>
                <w:lang w:val="en-US" w:eastAsia="zh-CN"/>
              </w:rPr>
              <w:t>1</w:t>
            </w:r>
            <w:r>
              <w:rPr>
                <w:rFonts w:hint="eastAsia" w:ascii="宋体" w:hAnsi="宋体" w:eastAsia="宋体" w:cs="宋体"/>
                <w:color w:val="auto"/>
                <w:sz w:val="20"/>
                <w:szCs w:val="22"/>
                <w:highlight w:val="none"/>
                <w:lang w:val="en-US" w:eastAsia="zh-CN"/>
              </w:rPr>
              <w:t>分，本项最多得</w:t>
            </w:r>
            <w:r>
              <w:rPr>
                <w:rFonts w:hint="eastAsia" w:ascii="宋体" w:hAnsi="宋体" w:cs="宋体"/>
                <w:color w:val="auto"/>
                <w:sz w:val="20"/>
                <w:szCs w:val="22"/>
                <w:highlight w:val="none"/>
                <w:lang w:val="en-US" w:eastAsia="zh-CN"/>
              </w:rPr>
              <w:t>3</w:t>
            </w:r>
            <w:r>
              <w:rPr>
                <w:rFonts w:hint="eastAsia" w:ascii="宋体" w:hAnsi="宋体" w:eastAsia="宋体" w:cs="宋体"/>
                <w:color w:val="auto"/>
                <w:sz w:val="20"/>
                <w:szCs w:val="22"/>
                <w:highlight w:val="none"/>
                <w:lang w:val="en-US" w:eastAsia="zh-CN"/>
              </w:rPr>
              <w:t>分。</w:t>
            </w:r>
          </w:p>
          <w:p w14:paraId="201D44AB">
            <w:pPr>
              <w:pStyle w:val="38"/>
              <w:rPr>
                <w:rFonts w:hint="eastAsia"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注：</w:t>
            </w:r>
          </w:p>
          <w:p w14:paraId="51F15162">
            <w:pPr>
              <w:pStyle w:val="38"/>
              <w:rPr>
                <w:rFonts w:hint="default"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①</w:t>
            </w:r>
            <w:r>
              <w:rPr>
                <w:rFonts w:hint="default" w:ascii="Times New Roman" w:hAnsi="Times New Roman" w:eastAsia="宋体" w:cs="Times New Roman"/>
                <w:b w:val="0"/>
                <w:bCs w:val="0"/>
                <w:color w:val="auto"/>
                <w:kern w:val="0"/>
                <w:sz w:val="20"/>
                <w:szCs w:val="21"/>
                <w:highlight w:val="none"/>
                <w:lang w:val="en-US" w:eastAsia="zh-CN" w:bidi="ar-SA"/>
              </w:rPr>
              <w:t>提供业绩证明材料</w:t>
            </w:r>
            <w:r>
              <w:rPr>
                <w:rFonts w:hint="eastAsia" w:ascii="Times New Roman" w:hAnsi="Times New Roman" w:eastAsia="宋体" w:cs="Times New Roman"/>
                <w:b w:val="0"/>
                <w:bCs w:val="0"/>
                <w:color w:val="auto"/>
                <w:kern w:val="0"/>
                <w:sz w:val="20"/>
                <w:szCs w:val="21"/>
                <w:highlight w:val="none"/>
                <w:lang w:val="en-US" w:eastAsia="zh-CN" w:bidi="ar-SA"/>
              </w:rPr>
              <w:t>为</w:t>
            </w:r>
            <w:r>
              <w:rPr>
                <w:rFonts w:hint="default" w:ascii="Times New Roman" w:hAnsi="Times New Roman" w:eastAsia="宋体" w:cs="Times New Roman"/>
                <w:b w:val="0"/>
                <w:bCs w:val="0"/>
                <w:color w:val="auto"/>
                <w:kern w:val="0"/>
                <w:sz w:val="20"/>
                <w:szCs w:val="21"/>
                <w:highlight w:val="none"/>
                <w:lang w:val="en-US" w:eastAsia="zh-CN" w:bidi="ar-SA"/>
              </w:rPr>
              <w:t>中标通知书（如为直接发包项目，可提供直接发包通知书）、施工合同、竣工验收证明</w:t>
            </w:r>
            <w:r>
              <w:rPr>
                <w:rFonts w:hint="eastAsia" w:ascii="Times New Roman" w:hAnsi="Times New Roman" w:cs="Times New Roman"/>
                <w:b w:val="0"/>
                <w:bCs w:val="0"/>
                <w:color w:val="auto"/>
                <w:kern w:val="0"/>
                <w:sz w:val="20"/>
                <w:szCs w:val="21"/>
                <w:highlight w:val="none"/>
                <w:lang w:val="en-US" w:eastAsia="zh-CN" w:bidi="ar-SA"/>
              </w:rPr>
              <w:t>、和施工完成后的现状照片</w:t>
            </w:r>
            <w:r>
              <w:rPr>
                <w:rFonts w:hint="default" w:ascii="Times New Roman" w:hAnsi="Times New Roman" w:eastAsia="宋体" w:cs="Times New Roman"/>
                <w:b w:val="0"/>
                <w:bCs w:val="0"/>
                <w:color w:val="auto"/>
                <w:kern w:val="0"/>
                <w:sz w:val="20"/>
                <w:szCs w:val="21"/>
                <w:highlight w:val="none"/>
                <w:lang w:val="en-US" w:eastAsia="zh-CN" w:bidi="ar-SA"/>
              </w:rPr>
              <w:t>，以上</w:t>
            </w:r>
            <w:r>
              <w:rPr>
                <w:rFonts w:hint="eastAsia" w:ascii="Times New Roman" w:hAnsi="Times New Roman" w:cs="Times New Roman"/>
                <w:b w:val="0"/>
                <w:bCs w:val="0"/>
                <w:color w:val="auto"/>
                <w:kern w:val="0"/>
                <w:sz w:val="20"/>
                <w:szCs w:val="21"/>
                <w:highlight w:val="none"/>
                <w:lang w:val="en-US" w:eastAsia="zh-CN" w:bidi="ar-SA"/>
              </w:rPr>
              <w:t>四</w:t>
            </w:r>
            <w:r>
              <w:rPr>
                <w:rFonts w:hint="default" w:ascii="Times New Roman" w:hAnsi="Times New Roman" w:eastAsia="宋体" w:cs="Times New Roman"/>
                <w:b w:val="0"/>
                <w:bCs w:val="0"/>
                <w:color w:val="auto"/>
                <w:kern w:val="0"/>
                <w:sz w:val="20"/>
                <w:szCs w:val="21"/>
                <w:highlight w:val="none"/>
                <w:lang w:val="en-US" w:eastAsia="zh-CN" w:bidi="ar-SA"/>
              </w:rPr>
              <w:t>项证明材料须齐全，缺一不可。</w:t>
            </w:r>
          </w:p>
          <w:p w14:paraId="27EE5097">
            <w:pPr>
              <w:pStyle w:val="38"/>
              <w:rPr>
                <w:rFonts w:hint="default"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②</w:t>
            </w:r>
            <w:r>
              <w:rPr>
                <w:rFonts w:hint="default" w:ascii="Times New Roman" w:hAnsi="Times New Roman" w:eastAsia="宋体" w:cs="Times New Roman"/>
                <w:b w:val="0"/>
                <w:bCs w:val="0"/>
                <w:color w:val="auto"/>
                <w:kern w:val="0"/>
                <w:sz w:val="20"/>
                <w:szCs w:val="21"/>
                <w:highlight w:val="none"/>
                <w:lang w:val="en-US" w:eastAsia="zh-CN" w:bidi="ar-SA"/>
              </w:rPr>
              <w:t>项目负责人发生变更的业绩，不予认可；若中标通知书（或直接发包通知书）、施工合同和竣工验收证明这三项证明材料中载明拟派项目负责人，则载明的项目负责人须为同一人，否则不予认可。如对应业绩材料无法体现项目负责人姓名的，须提供经</w:t>
            </w:r>
            <w:r>
              <w:rPr>
                <w:rFonts w:hint="eastAsia" w:ascii="Times New Roman" w:hAnsi="Times New Roman" w:eastAsia="宋体" w:cs="Times New Roman"/>
                <w:b w:val="0"/>
                <w:bCs w:val="0"/>
                <w:color w:val="auto"/>
                <w:kern w:val="0"/>
                <w:sz w:val="20"/>
                <w:szCs w:val="21"/>
                <w:highlight w:val="none"/>
                <w:lang w:val="en-US" w:eastAsia="zh-CN" w:bidi="ar-SA"/>
              </w:rPr>
              <w:t>原</w:t>
            </w:r>
            <w:r>
              <w:rPr>
                <w:rFonts w:hint="default" w:ascii="Times New Roman" w:hAnsi="Times New Roman" w:eastAsia="宋体" w:cs="Times New Roman"/>
                <w:b w:val="0"/>
                <w:bCs w:val="0"/>
                <w:color w:val="auto"/>
                <w:kern w:val="0"/>
                <w:sz w:val="20"/>
                <w:szCs w:val="21"/>
                <w:highlight w:val="none"/>
                <w:lang w:val="en-US" w:eastAsia="zh-CN" w:bidi="ar-SA"/>
              </w:rPr>
              <w:t>建设单位加盖公章的书面证明材料。</w:t>
            </w:r>
          </w:p>
          <w:p w14:paraId="0552D4B7">
            <w:pPr>
              <w:pStyle w:val="38"/>
              <w:rPr>
                <w:rFonts w:hint="eastAsia" w:ascii="Times New Roman" w:hAnsi="Times New Roman" w:eastAsia="宋体" w:cs="Times New Roman"/>
                <w:b w:val="0"/>
                <w:bCs w:val="0"/>
                <w:color w:val="auto"/>
                <w:kern w:val="0"/>
                <w:sz w:val="20"/>
                <w:szCs w:val="21"/>
                <w:highlight w:val="none"/>
                <w:lang w:val="en-US" w:eastAsia="zh-CN" w:bidi="ar-SA"/>
              </w:rPr>
            </w:pPr>
            <w:r>
              <w:rPr>
                <w:rFonts w:hint="eastAsia" w:ascii="Times New Roman" w:hAnsi="Times New Roman" w:eastAsia="宋体" w:cs="Times New Roman"/>
                <w:b w:val="0"/>
                <w:bCs w:val="0"/>
                <w:color w:val="auto"/>
                <w:kern w:val="0"/>
                <w:sz w:val="20"/>
                <w:szCs w:val="21"/>
                <w:highlight w:val="none"/>
                <w:lang w:val="en-US" w:eastAsia="zh-CN" w:bidi="ar-SA"/>
              </w:rPr>
              <w:t>③</w:t>
            </w:r>
            <w:r>
              <w:rPr>
                <w:rFonts w:hint="default" w:ascii="Times New Roman" w:hAnsi="Times New Roman" w:eastAsia="宋体" w:cs="Times New Roman"/>
                <w:b w:val="0"/>
                <w:bCs w:val="0"/>
                <w:color w:val="auto"/>
                <w:kern w:val="0"/>
                <w:sz w:val="20"/>
                <w:szCs w:val="21"/>
                <w:highlight w:val="none"/>
                <w:lang w:val="en-US" w:eastAsia="zh-CN" w:bidi="ar-SA"/>
              </w:rPr>
              <w:t>如上述业绩证明材料未能体现相应要求，须提供经</w:t>
            </w:r>
            <w:r>
              <w:rPr>
                <w:rFonts w:hint="eastAsia" w:ascii="Times New Roman" w:hAnsi="Times New Roman" w:eastAsia="宋体" w:cs="Times New Roman"/>
                <w:b w:val="0"/>
                <w:bCs w:val="0"/>
                <w:color w:val="auto"/>
                <w:kern w:val="0"/>
                <w:sz w:val="20"/>
                <w:szCs w:val="21"/>
                <w:highlight w:val="none"/>
                <w:lang w:val="en-US" w:eastAsia="zh-CN" w:bidi="ar-SA"/>
              </w:rPr>
              <w:t>原</w:t>
            </w:r>
            <w:r>
              <w:rPr>
                <w:rFonts w:hint="default" w:ascii="Times New Roman" w:hAnsi="Times New Roman" w:eastAsia="宋体" w:cs="Times New Roman"/>
                <w:b w:val="0"/>
                <w:bCs w:val="0"/>
                <w:color w:val="auto"/>
                <w:kern w:val="0"/>
                <w:sz w:val="20"/>
                <w:szCs w:val="21"/>
                <w:highlight w:val="none"/>
                <w:lang w:val="en-US" w:eastAsia="zh-CN" w:bidi="ar-SA"/>
              </w:rPr>
              <w:t>建设单位加盖公章的书面证明材料，否则不予认可。</w:t>
            </w:r>
          </w:p>
        </w:tc>
        <w:tc>
          <w:tcPr>
            <w:tcW w:w="3298" w:type="dxa"/>
            <w:noWrap w:val="0"/>
            <w:vAlign w:val="center"/>
          </w:tcPr>
          <w:p w14:paraId="04474294">
            <w:pPr>
              <w:jc w:val="center"/>
              <w:rPr>
                <w:rFonts w:hint="default" w:ascii="宋体" w:hAnsi="宋体" w:eastAsia="宋体" w:cs="宋体"/>
                <w:color w:val="auto"/>
                <w:sz w:val="20"/>
                <w:szCs w:val="22"/>
                <w:highlight w:val="none"/>
                <w:lang w:val="en-US" w:eastAsia="zh-CN"/>
              </w:rPr>
            </w:pPr>
            <w:r>
              <w:rPr>
                <w:rFonts w:hint="eastAsia" w:ascii="宋体" w:hAnsi="宋体" w:cs="宋体"/>
                <w:color w:val="auto"/>
                <w:sz w:val="20"/>
                <w:szCs w:val="22"/>
                <w:highlight w:val="none"/>
                <w:lang w:val="en-US" w:eastAsia="zh-CN"/>
              </w:rPr>
              <w:t>3</w:t>
            </w:r>
          </w:p>
        </w:tc>
      </w:tr>
    </w:tbl>
    <w:p w14:paraId="570250D3">
      <w:pPr>
        <w:spacing w:line="360" w:lineRule="auto"/>
        <w:ind w:firstLine="241"/>
        <w:rPr>
          <w:rFonts w:ascii="Times New Roman" w:hAnsi="Times New Roman"/>
          <w:b/>
          <w:color w:val="auto"/>
          <w:sz w:val="24"/>
          <w:szCs w:val="24"/>
          <w:highlight w:val="none"/>
        </w:rPr>
      </w:pPr>
    </w:p>
    <w:p w14:paraId="635BF82A">
      <w:pPr>
        <w:spacing w:line="360" w:lineRule="auto"/>
        <w:ind w:firstLine="241"/>
        <w:rPr>
          <w:rFonts w:ascii="Times New Roman" w:hAnsi="Times New Roman"/>
          <w:b/>
          <w:color w:val="auto"/>
          <w:sz w:val="24"/>
          <w:szCs w:val="24"/>
          <w:highlight w:val="none"/>
        </w:rPr>
      </w:pPr>
      <w:r>
        <w:rPr>
          <w:rFonts w:hint="eastAsia" w:ascii="Times New Roman" w:hAnsi="Times New Roman"/>
          <w:b/>
          <w:color w:val="auto"/>
          <w:sz w:val="24"/>
          <w:szCs w:val="24"/>
          <w:highlight w:val="none"/>
          <w:lang w:eastAsia="zh-CN"/>
        </w:rPr>
        <w:t>（</w:t>
      </w:r>
      <w:r>
        <w:rPr>
          <w:rFonts w:hint="eastAsia" w:ascii="Times New Roman" w:hAnsi="Times New Roman"/>
          <w:b/>
          <w:color w:val="auto"/>
          <w:sz w:val="24"/>
          <w:szCs w:val="24"/>
          <w:highlight w:val="none"/>
          <w:lang w:val="en-US" w:eastAsia="zh-CN"/>
        </w:rPr>
        <w:t>二</w:t>
      </w:r>
      <w:r>
        <w:rPr>
          <w:rFonts w:hint="eastAsia" w:ascii="Times New Roman" w:hAnsi="Times New Roman"/>
          <w:b/>
          <w:color w:val="auto"/>
          <w:sz w:val="24"/>
          <w:szCs w:val="24"/>
          <w:highlight w:val="none"/>
          <w:lang w:eastAsia="zh-CN"/>
        </w:rPr>
        <w:t>）</w:t>
      </w:r>
      <w:r>
        <w:rPr>
          <w:rFonts w:ascii="Times New Roman" w:hAnsi="Times New Roman"/>
          <w:b/>
          <w:color w:val="auto"/>
          <w:sz w:val="24"/>
          <w:szCs w:val="24"/>
          <w:highlight w:val="none"/>
        </w:rPr>
        <w:t>价格分：</w:t>
      </w:r>
      <w:r>
        <w:rPr>
          <w:rFonts w:hint="eastAsia" w:ascii="Times New Roman" w:hAnsi="Times New Roman"/>
          <w:b/>
          <w:color w:val="auto"/>
          <w:sz w:val="24"/>
          <w:szCs w:val="24"/>
          <w:highlight w:val="none"/>
          <w:lang w:val="en-US" w:eastAsia="zh-CN"/>
        </w:rPr>
        <w:t>30</w:t>
      </w:r>
      <w:r>
        <w:rPr>
          <w:rFonts w:ascii="Times New Roman" w:hAnsi="Times New Roman"/>
          <w:b/>
          <w:color w:val="auto"/>
          <w:sz w:val="24"/>
          <w:szCs w:val="24"/>
          <w:highlight w:val="none"/>
        </w:rPr>
        <w:t>分</w:t>
      </w:r>
    </w:p>
    <w:p w14:paraId="04D500C9">
      <w:pPr>
        <w:spacing w:line="360" w:lineRule="auto"/>
        <w:ind w:firstLine="555"/>
        <w:rPr>
          <w:rFonts w:ascii="Times New Roman" w:hAnsi="Times New Roman"/>
          <w:b/>
          <w:color w:val="auto"/>
          <w:sz w:val="24"/>
          <w:szCs w:val="24"/>
          <w:highlight w:val="none"/>
        </w:rPr>
      </w:pPr>
      <w:r>
        <w:rPr>
          <w:rFonts w:ascii="Times New Roman" w:hAnsi="Times New Roman"/>
          <w:b/>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371888EE">
      <w:pPr>
        <w:spacing w:line="360" w:lineRule="auto"/>
        <w:ind w:firstLine="555"/>
        <w:rPr>
          <w:rFonts w:ascii="Times New Roman" w:hAnsi="Times New Roman"/>
          <w:b/>
          <w:color w:val="auto"/>
          <w:sz w:val="24"/>
          <w:szCs w:val="24"/>
          <w:highlight w:val="none"/>
        </w:rPr>
      </w:pPr>
      <w:r>
        <w:rPr>
          <w:rFonts w:ascii="Times New Roman" w:hAnsi="Times New Roman"/>
          <w:b/>
          <w:color w:val="auto"/>
          <w:sz w:val="24"/>
          <w:szCs w:val="24"/>
          <w:highlight w:val="none"/>
        </w:rPr>
        <w:t>磋商报价得分=（磋商基准价/最后磋商报价）×价格权值×100</w:t>
      </w:r>
    </w:p>
    <w:p w14:paraId="21E273E2">
      <w:pPr>
        <w:pStyle w:val="50"/>
        <w:spacing w:line="360" w:lineRule="auto"/>
        <w:rPr>
          <w:rFonts w:hint="eastAsia"/>
          <w:color w:val="auto"/>
          <w:highlight w:val="none"/>
        </w:rPr>
      </w:pPr>
    </w:p>
    <w:p w14:paraId="354987DD">
      <w:pPr>
        <w:spacing w:line="360" w:lineRule="auto"/>
        <w:jc w:val="center"/>
        <w:rPr>
          <w:rFonts w:ascii="Times New Roman" w:hAnsi="Times New Roman"/>
          <w:b/>
          <w:bCs/>
          <w:color w:val="auto"/>
          <w:sz w:val="32"/>
          <w:szCs w:val="32"/>
          <w:highlight w:val="none"/>
        </w:rPr>
        <w:sectPr>
          <w:footerReference r:id="rId4" w:type="default"/>
          <w:pgSz w:w="11906" w:h="16839"/>
          <w:pgMar w:top="1431" w:right="1404" w:bottom="1061" w:left="1182" w:header="0" w:footer="902" w:gutter="0"/>
          <w:pgNumType w:start="1"/>
          <w:cols w:space="720" w:num="1"/>
          <w:docGrid w:linePitch="360" w:charSpace="0"/>
        </w:sectPr>
      </w:pPr>
    </w:p>
    <w:p w14:paraId="376BEE7D">
      <w:pPr>
        <w:keepNext/>
        <w:spacing w:line="360" w:lineRule="auto"/>
        <w:jc w:val="center"/>
        <w:outlineLvl w:val="0"/>
        <w:rPr>
          <w:rFonts w:ascii="Times New Roman" w:hAnsi="Times New Roman"/>
          <w:b/>
          <w:bCs/>
          <w:color w:val="auto"/>
          <w:sz w:val="36"/>
          <w:szCs w:val="36"/>
          <w:highlight w:val="none"/>
        </w:rPr>
      </w:pPr>
      <w:bookmarkStart w:id="219" w:name="_Toc536"/>
      <w:r>
        <w:rPr>
          <w:rFonts w:ascii="Times New Roman" w:hAnsi="Times New Roman"/>
          <w:b/>
          <w:bCs/>
          <w:color w:val="auto"/>
          <w:sz w:val="36"/>
          <w:szCs w:val="36"/>
          <w:highlight w:val="none"/>
        </w:rPr>
        <w:t>第六章</w:t>
      </w:r>
      <w:bookmarkEnd w:id="215"/>
      <w:bookmarkEnd w:id="216"/>
      <w:bookmarkEnd w:id="217"/>
      <w:r>
        <w:rPr>
          <w:rFonts w:hint="eastAsia" w:ascii="Times New Roman" w:hAnsi="Times New Roman"/>
          <w:b/>
          <w:bCs/>
          <w:color w:val="auto"/>
          <w:sz w:val="36"/>
          <w:szCs w:val="36"/>
          <w:highlight w:val="none"/>
          <w:lang w:val="en-US" w:eastAsia="zh-CN"/>
        </w:rPr>
        <w:t xml:space="preserve"> </w:t>
      </w:r>
      <w:r>
        <w:rPr>
          <w:rFonts w:ascii="Times New Roman" w:hAnsi="Times New Roman"/>
          <w:b/>
          <w:bCs/>
          <w:color w:val="auto"/>
          <w:sz w:val="36"/>
          <w:szCs w:val="36"/>
          <w:highlight w:val="none"/>
        </w:rPr>
        <w:t>响应文件格式</w:t>
      </w:r>
      <w:bookmarkEnd w:id="219"/>
    </w:p>
    <w:p w14:paraId="4A4EFE53">
      <w:pPr>
        <w:spacing w:line="360" w:lineRule="auto"/>
        <w:rPr>
          <w:rFonts w:ascii="Times New Roman" w:hAnsi="Times New Roman"/>
          <w:color w:val="auto"/>
          <w:highlight w:val="none"/>
        </w:rPr>
      </w:pPr>
      <w:bookmarkStart w:id="220" w:name="_Hlt26671244"/>
      <w:bookmarkEnd w:id="220"/>
      <w:bookmarkStart w:id="221" w:name="_Hlt26955039"/>
      <w:bookmarkEnd w:id="221"/>
      <w:bookmarkStart w:id="222" w:name="_Toc49090576"/>
      <w:bookmarkStart w:id="223" w:name="_Toc120614282"/>
      <w:bookmarkStart w:id="224" w:name="_Toc26554094"/>
    </w:p>
    <w:p w14:paraId="102EBFFC">
      <w:pPr>
        <w:spacing w:line="360" w:lineRule="auto"/>
        <w:ind w:firstLine="883"/>
        <w:jc w:val="center"/>
        <w:rPr>
          <w:rFonts w:ascii="Times New Roman" w:hAnsi="Times New Roman"/>
          <w:b/>
          <w:color w:val="auto"/>
          <w:sz w:val="44"/>
          <w:szCs w:val="44"/>
          <w:highlight w:val="none"/>
        </w:rPr>
      </w:pPr>
    </w:p>
    <w:p w14:paraId="0D9ADBBE">
      <w:pPr>
        <w:spacing w:line="360" w:lineRule="auto"/>
        <w:ind w:firstLine="883"/>
        <w:jc w:val="center"/>
        <w:rPr>
          <w:rFonts w:ascii="Times New Roman" w:hAnsi="Times New Roman"/>
          <w:b/>
          <w:color w:val="auto"/>
          <w:sz w:val="44"/>
          <w:szCs w:val="44"/>
          <w:highlight w:val="none"/>
        </w:rPr>
      </w:pPr>
    </w:p>
    <w:p w14:paraId="32E13BF3">
      <w:pPr>
        <w:spacing w:line="360" w:lineRule="auto"/>
        <w:ind w:firstLine="723"/>
        <w:jc w:val="center"/>
        <w:rPr>
          <w:rFonts w:ascii="Times New Roman" w:hAnsi="Times New Roman"/>
          <w:b/>
          <w:color w:val="auto"/>
          <w:sz w:val="36"/>
          <w:szCs w:val="36"/>
          <w:highlight w:val="none"/>
        </w:rPr>
      </w:pPr>
    </w:p>
    <w:p w14:paraId="09628EE7">
      <w:pPr>
        <w:spacing w:line="360" w:lineRule="auto"/>
        <w:jc w:val="center"/>
        <w:rPr>
          <w:rFonts w:ascii="Times New Roman" w:hAnsi="Times New Roman"/>
          <w:b/>
          <w:color w:val="auto"/>
          <w:sz w:val="72"/>
          <w:szCs w:val="72"/>
          <w:highlight w:val="none"/>
        </w:rPr>
      </w:pPr>
      <w:r>
        <w:rPr>
          <w:rFonts w:ascii="Times New Roman" w:hAnsi="Times New Roman"/>
          <w:b/>
          <w:color w:val="auto"/>
          <w:sz w:val="72"/>
          <w:szCs w:val="72"/>
          <w:highlight w:val="none"/>
        </w:rPr>
        <w:t>响</w:t>
      </w:r>
      <w:r>
        <w:rPr>
          <w:rFonts w:hint="eastAsia" w:ascii="Times New Roman" w:hAnsi="Times New Roman"/>
          <w:b/>
          <w:color w:val="auto"/>
          <w:sz w:val="72"/>
          <w:szCs w:val="72"/>
          <w:highlight w:val="none"/>
          <w:lang w:val="en-US" w:eastAsia="zh-CN"/>
        </w:rPr>
        <w:t xml:space="preserve">  </w:t>
      </w:r>
      <w:r>
        <w:rPr>
          <w:rFonts w:ascii="Times New Roman" w:hAnsi="Times New Roman"/>
          <w:b/>
          <w:color w:val="auto"/>
          <w:sz w:val="72"/>
          <w:szCs w:val="72"/>
          <w:highlight w:val="none"/>
        </w:rPr>
        <w:t>应</w:t>
      </w:r>
      <w:r>
        <w:rPr>
          <w:rFonts w:hint="eastAsia" w:ascii="Times New Roman" w:hAnsi="Times New Roman"/>
          <w:b/>
          <w:color w:val="auto"/>
          <w:sz w:val="72"/>
          <w:szCs w:val="72"/>
          <w:highlight w:val="none"/>
          <w:lang w:val="en-US" w:eastAsia="zh-CN"/>
        </w:rPr>
        <w:t xml:space="preserve">  </w:t>
      </w:r>
      <w:r>
        <w:rPr>
          <w:rFonts w:ascii="Times New Roman" w:hAnsi="Times New Roman"/>
          <w:b/>
          <w:color w:val="auto"/>
          <w:sz w:val="72"/>
          <w:szCs w:val="72"/>
          <w:highlight w:val="none"/>
        </w:rPr>
        <w:t>文</w:t>
      </w:r>
      <w:r>
        <w:rPr>
          <w:rFonts w:hint="eastAsia" w:ascii="Times New Roman" w:hAnsi="Times New Roman"/>
          <w:b/>
          <w:color w:val="auto"/>
          <w:sz w:val="72"/>
          <w:szCs w:val="72"/>
          <w:highlight w:val="none"/>
          <w:lang w:val="en-US" w:eastAsia="zh-CN"/>
        </w:rPr>
        <w:t xml:space="preserve">  </w:t>
      </w:r>
      <w:r>
        <w:rPr>
          <w:rFonts w:ascii="Times New Roman" w:hAnsi="Times New Roman"/>
          <w:b/>
          <w:color w:val="auto"/>
          <w:sz w:val="72"/>
          <w:szCs w:val="72"/>
          <w:highlight w:val="none"/>
        </w:rPr>
        <w:t>件</w:t>
      </w:r>
    </w:p>
    <w:p w14:paraId="6AF0E15D">
      <w:pPr>
        <w:spacing w:line="360" w:lineRule="auto"/>
        <w:ind w:firstLine="1446"/>
        <w:jc w:val="center"/>
        <w:rPr>
          <w:rFonts w:ascii="Times New Roman" w:hAnsi="Times New Roman"/>
          <w:b/>
          <w:color w:val="auto"/>
          <w:sz w:val="72"/>
          <w:szCs w:val="21"/>
          <w:highlight w:val="none"/>
        </w:rPr>
      </w:pPr>
    </w:p>
    <w:p w14:paraId="2EEFED1A">
      <w:pPr>
        <w:pStyle w:val="50"/>
        <w:spacing w:line="360" w:lineRule="auto"/>
        <w:ind w:left="0" w:leftChars="0" w:firstLine="0" w:firstLineChars="0"/>
        <w:rPr>
          <w:rFonts w:ascii="Times New Roman" w:hAnsi="Times New Roman"/>
          <w:b/>
          <w:color w:val="auto"/>
          <w:sz w:val="36"/>
          <w:szCs w:val="21"/>
          <w:highlight w:val="none"/>
        </w:rPr>
      </w:pPr>
    </w:p>
    <w:p w14:paraId="1BDA3E87">
      <w:pPr>
        <w:spacing w:line="360" w:lineRule="auto"/>
        <w:rPr>
          <w:rFonts w:ascii="Times New Roman" w:hAnsi="Times New Roman"/>
          <w:b/>
          <w:color w:val="auto"/>
          <w:sz w:val="36"/>
          <w:szCs w:val="21"/>
          <w:highlight w:val="none"/>
        </w:rPr>
      </w:pPr>
    </w:p>
    <w:p w14:paraId="4BC067CC">
      <w:pPr>
        <w:pStyle w:val="50"/>
        <w:spacing w:line="360" w:lineRule="auto"/>
        <w:ind w:firstLine="723"/>
        <w:rPr>
          <w:rFonts w:ascii="Times New Roman" w:hAnsi="Times New Roman"/>
          <w:b/>
          <w:color w:val="auto"/>
          <w:sz w:val="36"/>
          <w:szCs w:val="21"/>
          <w:highlight w:val="none"/>
        </w:rPr>
      </w:pPr>
    </w:p>
    <w:p w14:paraId="4AECB4CC">
      <w:pPr>
        <w:spacing w:line="360" w:lineRule="auto"/>
        <w:rPr>
          <w:color w:val="auto"/>
          <w:highlight w:val="none"/>
        </w:rPr>
      </w:pPr>
    </w:p>
    <w:p w14:paraId="39510593">
      <w:pPr>
        <w:spacing w:line="360" w:lineRule="auto"/>
        <w:ind w:firstLine="723"/>
        <w:jc w:val="center"/>
        <w:rPr>
          <w:rFonts w:ascii="Times New Roman" w:hAnsi="Times New Roman"/>
          <w:b/>
          <w:color w:val="auto"/>
          <w:sz w:val="36"/>
          <w:szCs w:val="21"/>
          <w:highlight w:val="none"/>
        </w:rPr>
      </w:pPr>
    </w:p>
    <w:p w14:paraId="5A0F7ED7">
      <w:pPr>
        <w:ind w:firstLine="1084" w:firstLineChars="300"/>
        <w:rPr>
          <w:rFonts w:hint="eastAsia" w:ascii="宋体" w:hAnsi="宋体"/>
          <w:b/>
          <w:color w:val="auto"/>
          <w:sz w:val="36"/>
          <w:highlight w:val="none"/>
          <w:u w:val="single"/>
        </w:rPr>
      </w:pPr>
      <w:r>
        <w:rPr>
          <w:rFonts w:ascii="Times New Roman" w:hAnsi="Times New Roman"/>
          <w:b/>
          <w:color w:val="auto"/>
          <w:sz w:val="36"/>
          <w:szCs w:val="21"/>
          <w:highlight w:val="none"/>
        </w:rPr>
        <w:t>项</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目</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名</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称：</w:t>
      </w:r>
      <w:r>
        <w:rPr>
          <w:rFonts w:hint="eastAsia" w:ascii="宋体" w:hAnsi="宋体"/>
          <w:b/>
          <w:color w:val="auto"/>
          <w:sz w:val="36"/>
          <w:highlight w:val="none"/>
          <w:u w:val="single"/>
          <w:lang w:val="en-US" w:eastAsia="zh-CN"/>
        </w:rPr>
        <w:t xml:space="preserve">                  </w:t>
      </w:r>
      <w:r>
        <w:rPr>
          <w:rFonts w:hint="eastAsia" w:ascii="宋体" w:hAnsi="宋体"/>
          <w:b/>
          <w:color w:val="auto"/>
          <w:sz w:val="36"/>
          <w:highlight w:val="none"/>
          <w:u w:val="single"/>
        </w:rPr>
        <w:t xml:space="preserve">   </w:t>
      </w:r>
    </w:p>
    <w:p w14:paraId="010930F5">
      <w:pPr>
        <w:ind w:firstLine="1084" w:firstLineChars="300"/>
        <w:rPr>
          <w:rFonts w:hint="eastAsia" w:ascii="宋体" w:hAnsi="宋体"/>
          <w:b/>
          <w:color w:val="auto"/>
          <w:sz w:val="36"/>
          <w:highlight w:val="none"/>
          <w:u w:val="single"/>
        </w:rPr>
      </w:pPr>
    </w:p>
    <w:p w14:paraId="16F74FED">
      <w:pPr>
        <w:ind w:firstLine="1084" w:firstLineChars="300"/>
        <w:rPr>
          <w:rFonts w:hint="eastAsia" w:ascii="宋体" w:hAnsi="宋体"/>
          <w:b/>
          <w:color w:val="auto"/>
          <w:sz w:val="36"/>
          <w:highlight w:val="none"/>
          <w:u w:val="single"/>
        </w:rPr>
      </w:pPr>
      <w:r>
        <w:rPr>
          <w:rFonts w:ascii="Times New Roman" w:hAnsi="Times New Roman"/>
          <w:b/>
          <w:color w:val="auto"/>
          <w:sz w:val="36"/>
          <w:szCs w:val="21"/>
          <w:highlight w:val="none"/>
        </w:rPr>
        <w:t>项</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目</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编</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号：</w:t>
      </w:r>
      <w:r>
        <w:rPr>
          <w:rFonts w:hint="eastAsia" w:ascii="宋体" w:hAnsi="宋体"/>
          <w:b/>
          <w:color w:val="auto"/>
          <w:sz w:val="36"/>
          <w:highlight w:val="none"/>
          <w:u w:val="single"/>
          <w:lang w:val="en-US" w:eastAsia="zh-CN"/>
        </w:rPr>
        <w:t xml:space="preserve">                  </w:t>
      </w:r>
      <w:r>
        <w:rPr>
          <w:rFonts w:hint="eastAsia" w:ascii="宋体" w:hAnsi="宋体"/>
          <w:b/>
          <w:color w:val="auto"/>
          <w:sz w:val="36"/>
          <w:highlight w:val="none"/>
          <w:u w:val="single"/>
        </w:rPr>
        <w:t xml:space="preserve">   </w:t>
      </w:r>
    </w:p>
    <w:p w14:paraId="54A8F8B3">
      <w:pPr>
        <w:ind w:firstLine="1084" w:firstLineChars="300"/>
        <w:rPr>
          <w:rFonts w:hint="eastAsia" w:ascii="宋体" w:hAnsi="宋体"/>
          <w:b/>
          <w:color w:val="auto"/>
          <w:sz w:val="36"/>
          <w:highlight w:val="none"/>
          <w:u w:val="single"/>
        </w:rPr>
      </w:pPr>
    </w:p>
    <w:p w14:paraId="2C95C718">
      <w:pPr>
        <w:ind w:firstLine="1084" w:firstLineChars="300"/>
        <w:rPr>
          <w:rFonts w:hint="eastAsia" w:ascii="Times New Roman" w:hAnsi="Times New Roman"/>
          <w:b/>
          <w:color w:val="auto"/>
          <w:sz w:val="36"/>
          <w:szCs w:val="21"/>
          <w:highlight w:val="none"/>
          <w:u w:val="single"/>
          <w:lang w:val="en-US" w:eastAsia="zh-CN"/>
        </w:rPr>
      </w:pPr>
      <w:r>
        <w:rPr>
          <w:rFonts w:ascii="Times New Roman" w:hAnsi="Times New Roman"/>
          <w:b/>
          <w:color w:val="auto"/>
          <w:sz w:val="36"/>
          <w:szCs w:val="21"/>
          <w:highlight w:val="none"/>
        </w:rPr>
        <w:t>供应商名称</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w:t>
      </w:r>
      <w:r>
        <w:rPr>
          <w:rFonts w:hint="eastAsia" w:ascii="Times New Roman" w:hAnsi="Times New Roman"/>
          <w:b/>
          <w:color w:val="auto"/>
          <w:sz w:val="36"/>
          <w:szCs w:val="21"/>
          <w:highlight w:val="none"/>
          <w:u w:val="single"/>
        </w:rPr>
        <w:t>（加盖CA电子公章）</w:t>
      </w:r>
      <w:r>
        <w:rPr>
          <w:rFonts w:hint="eastAsia" w:ascii="Times New Roman" w:hAnsi="Times New Roman"/>
          <w:b/>
          <w:color w:val="auto"/>
          <w:sz w:val="36"/>
          <w:szCs w:val="21"/>
          <w:highlight w:val="none"/>
          <w:u w:val="single"/>
          <w:lang w:val="en-US" w:eastAsia="zh-CN"/>
        </w:rPr>
        <w:t xml:space="preserve"> </w:t>
      </w:r>
    </w:p>
    <w:p w14:paraId="43B063F8">
      <w:pPr>
        <w:ind w:firstLine="1084" w:firstLineChars="300"/>
        <w:rPr>
          <w:rFonts w:hint="eastAsia" w:ascii="Times New Roman" w:hAnsi="Times New Roman"/>
          <w:b/>
          <w:color w:val="auto"/>
          <w:sz w:val="36"/>
          <w:szCs w:val="21"/>
          <w:highlight w:val="none"/>
          <w:u w:val="single"/>
          <w:lang w:val="en-US" w:eastAsia="zh-CN"/>
        </w:rPr>
      </w:pPr>
    </w:p>
    <w:p w14:paraId="3AD061FB">
      <w:pPr>
        <w:ind w:firstLine="1084" w:firstLineChars="300"/>
        <w:rPr>
          <w:rFonts w:hint="eastAsia" w:ascii="宋体" w:hAnsi="宋体"/>
          <w:b/>
          <w:color w:val="auto"/>
          <w:sz w:val="36"/>
          <w:highlight w:val="none"/>
          <w:u w:val="single"/>
        </w:rPr>
      </w:pPr>
      <w:r>
        <w:rPr>
          <w:rFonts w:ascii="Times New Roman" w:hAnsi="Times New Roman"/>
          <w:b/>
          <w:color w:val="auto"/>
          <w:sz w:val="36"/>
          <w:szCs w:val="21"/>
          <w:highlight w:val="none"/>
        </w:rPr>
        <w:t>日</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期</w:t>
      </w:r>
      <w:r>
        <w:rPr>
          <w:rFonts w:hint="eastAsia" w:ascii="Times New Roman" w:hAnsi="Times New Roman"/>
          <w:b/>
          <w:color w:val="auto"/>
          <w:sz w:val="36"/>
          <w:szCs w:val="21"/>
          <w:highlight w:val="none"/>
          <w:lang w:val="en-US" w:eastAsia="zh-CN"/>
        </w:rPr>
        <w:t xml:space="preserve"> </w:t>
      </w:r>
      <w:r>
        <w:rPr>
          <w:rFonts w:ascii="Times New Roman" w:hAnsi="Times New Roman"/>
          <w:b/>
          <w:color w:val="auto"/>
          <w:sz w:val="36"/>
          <w:szCs w:val="21"/>
          <w:highlight w:val="none"/>
        </w:rPr>
        <w:t>：</w:t>
      </w:r>
      <w:r>
        <w:rPr>
          <w:rFonts w:hint="eastAsia" w:ascii="宋体" w:hAnsi="宋体"/>
          <w:b/>
          <w:color w:val="auto"/>
          <w:sz w:val="36"/>
          <w:highlight w:val="none"/>
          <w:u w:val="single"/>
          <w:lang w:val="en-US" w:eastAsia="zh-CN"/>
        </w:rPr>
        <w:t xml:space="preserve">                     </w:t>
      </w:r>
    </w:p>
    <w:p w14:paraId="5EB0FD0E">
      <w:pPr>
        <w:spacing w:line="360" w:lineRule="auto"/>
        <w:rPr>
          <w:rFonts w:ascii="Times New Roman" w:hAnsi="Times New Roman"/>
          <w:b/>
          <w:color w:val="auto"/>
          <w:sz w:val="36"/>
          <w:szCs w:val="21"/>
          <w:highlight w:val="none"/>
          <w:u w:val="single"/>
        </w:rPr>
        <w:sectPr>
          <w:pgSz w:w="11906" w:h="16839"/>
          <w:pgMar w:top="1431" w:right="1404" w:bottom="1061" w:left="1182" w:header="0" w:footer="902" w:gutter="0"/>
          <w:cols w:space="720" w:num="1"/>
          <w:docGrid w:linePitch="360" w:charSpace="0"/>
        </w:sectPr>
      </w:pPr>
    </w:p>
    <w:p w14:paraId="6475DB25">
      <w:pPr>
        <w:spacing w:line="360" w:lineRule="auto"/>
        <w:jc w:val="center"/>
        <w:rPr>
          <w:rFonts w:hint="eastAsia" w:ascii="宋体" w:hAnsi="宋体" w:cs="宋体"/>
          <w:color w:val="auto"/>
          <w:sz w:val="24"/>
          <w:szCs w:val="24"/>
          <w:highlight w:val="none"/>
        </w:rPr>
      </w:pPr>
      <w:r>
        <w:rPr>
          <w:rFonts w:ascii="Times New Roman" w:hAnsi="Times New Roman"/>
          <w:b/>
          <w:bCs/>
          <w:color w:val="auto"/>
          <w:sz w:val="32"/>
          <w:szCs w:val="32"/>
          <w:highlight w:val="none"/>
        </w:rPr>
        <w:t>响应文件目录</w:t>
      </w:r>
      <w:bookmarkEnd w:id="212"/>
      <w:bookmarkEnd w:id="213"/>
      <w:bookmarkEnd w:id="222"/>
      <w:bookmarkEnd w:id="223"/>
      <w:bookmarkEnd w:id="224"/>
    </w:p>
    <w:p w14:paraId="3E7EF295">
      <w:pPr>
        <w:pStyle w:val="293"/>
        <w:spacing w:before="0" w:beforeAutospacing="0" w:after="0" w:afterAutospacing="0" w:line="360" w:lineRule="auto"/>
        <w:ind w:firstLine="480" w:firstLineChars="200"/>
        <w:contextualSpacing/>
        <w:rPr>
          <w:rFonts w:cs="Times New Roman"/>
          <w:b/>
          <w:bCs/>
          <w:color w:val="auto"/>
          <w:highlight w:val="none"/>
        </w:rPr>
      </w:pPr>
      <w:r>
        <w:rPr>
          <w:rFonts w:cs="Times New Roman"/>
          <w:color w:val="auto"/>
          <w:highlight w:val="none"/>
        </w:rPr>
        <w:t>供应商提供的</w:t>
      </w:r>
      <w:r>
        <w:rPr>
          <w:rFonts w:hint="eastAsia" w:cs="Times New Roman"/>
          <w:color w:val="auto"/>
          <w:highlight w:val="none"/>
          <w:lang w:val="en-US" w:eastAsia="zh-CN"/>
        </w:rPr>
        <w:t>响应</w:t>
      </w:r>
      <w:r>
        <w:rPr>
          <w:rFonts w:cs="Times New Roman"/>
          <w:color w:val="auto"/>
          <w:highlight w:val="none"/>
        </w:rPr>
        <w:t>文件材料须字迹清晰。</w:t>
      </w:r>
      <w:r>
        <w:rPr>
          <w:rFonts w:cs="Times New Roman"/>
          <w:b/>
          <w:bCs/>
          <w:color w:val="auto"/>
          <w:highlight w:val="none"/>
        </w:rPr>
        <w:t>如</w:t>
      </w:r>
      <w:r>
        <w:rPr>
          <w:rFonts w:hint="eastAsia" w:cs="Times New Roman"/>
          <w:b/>
          <w:bCs/>
          <w:color w:val="auto"/>
          <w:highlight w:val="none"/>
          <w:lang w:val="en-US" w:eastAsia="zh-CN"/>
        </w:rPr>
        <w:t>响应</w:t>
      </w:r>
      <w:r>
        <w:rPr>
          <w:rFonts w:cs="Times New Roman"/>
          <w:b/>
          <w:bCs/>
          <w:color w:val="auto"/>
          <w:highlight w:val="none"/>
        </w:rPr>
        <w:t>文件字迹模糊</w:t>
      </w:r>
      <w:r>
        <w:rPr>
          <w:rFonts w:hint="eastAsia" w:cs="Times New Roman"/>
          <w:b/>
          <w:bCs/>
          <w:color w:val="auto"/>
          <w:highlight w:val="none"/>
        </w:rPr>
        <w:t>，</w:t>
      </w:r>
      <w:r>
        <w:rPr>
          <w:rFonts w:cs="Times New Roman"/>
          <w:b/>
          <w:bCs/>
          <w:color w:val="auto"/>
          <w:highlight w:val="none"/>
        </w:rPr>
        <w:t>造成的废标或不得分等后果由供应商自行承担。</w:t>
      </w:r>
    </w:p>
    <w:p w14:paraId="5BC0CC95">
      <w:pPr>
        <w:adjustRightInd w:val="0"/>
        <w:spacing w:line="480" w:lineRule="exact"/>
        <w:ind w:left="480"/>
        <w:rPr>
          <w:rFonts w:ascii="宋体" w:hAnsi="宋体"/>
          <w:b/>
          <w:color w:val="auto"/>
          <w:sz w:val="28"/>
          <w:szCs w:val="28"/>
          <w:highlight w:val="none"/>
        </w:rPr>
      </w:pPr>
      <w:r>
        <w:rPr>
          <w:rFonts w:hint="eastAsia" w:ascii="宋体" w:hAnsi="宋体"/>
          <w:b/>
          <w:color w:val="auto"/>
          <w:sz w:val="28"/>
          <w:szCs w:val="28"/>
          <w:highlight w:val="none"/>
        </w:rPr>
        <w:t>一、基本目录</w:t>
      </w:r>
    </w:p>
    <w:p w14:paraId="6085D9FB">
      <w:pPr>
        <w:adjustRightInd w:val="0"/>
        <w:snapToGrid w:val="0"/>
        <w:spacing w:line="480" w:lineRule="exact"/>
        <w:ind w:left="480"/>
        <w:rPr>
          <w:rFonts w:hint="eastAsia" w:ascii="宋体" w:hAnsi="宋体" w:eastAsia="宋体"/>
          <w:color w:val="auto"/>
          <w:sz w:val="24"/>
          <w:szCs w:val="24"/>
          <w:highlight w:val="none"/>
          <w:lang w:eastAsia="zh-CN"/>
        </w:rPr>
      </w:pPr>
      <w:r>
        <w:rPr>
          <w:rFonts w:ascii="宋体" w:hAnsi="宋体"/>
          <w:color w:val="auto"/>
          <w:sz w:val="24"/>
          <w:szCs w:val="24"/>
          <w:highlight w:val="none"/>
        </w:rPr>
        <w:t>1.</w:t>
      </w:r>
      <w:r>
        <w:rPr>
          <w:rFonts w:hint="eastAsia" w:ascii="宋体" w:hAnsi="宋体"/>
          <w:color w:val="auto"/>
          <w:sz w:val="24"/>
          <w:szCs w:val="24"/>
          <w:highlight w:val="none"/>
        </w:rPr>
        <w:t>开标一览表（格式见附件</w:t>
      </w:r>
      <w:r>
        <w:rPr>
          <w:rFonts w:ascii="宋体" w:hAnsi="宋体"/>
          <w:color w:val="auto"/>
          <w:sz w:val="24"/>
          <w:szCs w:val="24"/>
          <w:highlight w:val="none"/>
        </w:rPr>
        <w:t>1</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p>
    <w:p w14:paraId="2B1AF601">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olor w:val="auto"/>
          <w:sz w:val="24"/>
          <w:szCs w:val="24"/>
          <w:highlight w:val="none"/>
          <w:lang w:eastAsia="zh-CN"/>
        </w:rPr>
      </w:pPr>
      <w:r>
        <w:rPr>
          <w:rFonts w:ascii="宋体" w:hAnsi="宋体"/>
          <w:color w:val="auto"/>
          <w:sz w:val="24"/>
          <w:szCs w:val="24"/>
          <w:highlight w:val="none"/>
        </w:rPr>
        <w:t>2.</w:t>
      </w:r>
      <w:r>
        <w:rPr>
          <w:rFonts w:hint="eastAsia" w:ascii="宋体" w:hAnsi="宋体"/>
          <w:color w:val="auto"/>
          <w:sz w:val="24"/>
          <w:szCs w:val="24"/>
          <w:highlight w:val="none"/>
          <w:lang w:val="en-US" w:eastAsia="zh-CN"/>
        </w:rPr>
        <w:t>分项报价表（</w:t>
      </w:r>
      <w:r>
        <w:rPr>
          <w:rFonts w:hint="eastAsia" w:ascii="宋体" w:hAnsi="宋体"/>
          <w:color w:val="auto"/>
          <w:sz w:val="24"/>
          <w:szCs w:val="24"/>
          <w:highlight w:val="none"/>
        </w:rPr>
        <w:t>已标价工程量清单</w:t>
      </w:r>
      <w:r>
        <w:rPr>
          <w:rFonts w:hint="eastAsia" w:ascii="宋体" w:hAnsi="宋体"/>
          <w:color w:val="auto"/>
          <w:sz w:val="24"/>
          <w:szCs w:val="24"/>
          <w:highlight w:val="none"/>
          <w:lang w:val="en-US" w:eastAsia="zh-CN"/>
        </w:rPr>
        <w:t>）</w:t>
      </w:r>
      <w:r>
        <w:rPr>
          <w:rFonts w:hint="eastAsia" w:ascii="宋体" w:hAnsi="宋体"/>
          <w:color w:val="auto"/>
          <w:sz w:val="24"/>
          <w:szCs w:val="24"/>
          <w:highlight w:val="none"/>
        </w:rPr>
        <w:t>（应使用造价软件编制并打印）（格式见</w:t>
      </w:r>
      <w:r>
        <w:rPr>
          <w:rFonts w:ascii="宋体" w:hAnsi="宋体"/>
          <w:color w:val="auto"/>
          <w:sz w:val="24"/>
          <w:szCs w:val="24"/>
          <w:highlight w:val="none"/>
        </w:rPr>
        <w:t>附件2</w:t>
      </w:r>
      <w:r>
        <w:rPr>
          <w:rFonts w:hint="eastAsia" w:ascii="宋体" w:hAnsi="宋体"/>
          <w:color w:val="auto"/>
          <w:sz w:val="24"/>
          <w:szCs w:val="24"/>
          <w:highlight w:val="none"/>
        </w:rPr>
        <w:t>）</w:t>
      </w:r>
      <w:r>
        <w:rPr>
          <w:rFonts w:hint="eastAsia" w:ascii="宋体" w:hAnsi="宋体"/>
          <w:color w:val="auto"/>
          <w:sz w:val="24"/>
          <w:szCs w:val="24"/>
          <w:highlight w:val="none"/>
          <w:lang w:eastAsia="zh-CN"/>
        </w:rPr>
        <w:t>。</w:t>
      </w:r>
    </w:p>
    <w:p w14:paraId="56378751">
      <w:pPr>
        <w:keepNext w:val="0"/>
        <w:keepLines w:val="0"/>
        <w:pageBreakBefore w:val="0"/>
        <w:widowControl w:val="0"/>
        <w:kinsoku/>
        <w:wordWrap/>
        <w:overflowPunct/>
        <w:topLinePunct w:val="0"/>
        <w:autoSpaceDE/>
        <w:autoSpaceDN/>
        <w:bidi w:val="0"/>
        <w:adjustRightInd w:val="0"/>
        <w:snapToGrid/>
        <w:spacing w:line="480" w:lineRule="exact"/>
        <w:ind w:left="482"/>
        <w:textAlignment w:val="auto"/>
        <w:rPr>
          <w:rFonts w:hint="eastAsia" w:ascii="宋体" w:hAnsi="宋体" w:eastAsia="宋体" w:cs="Times New Roman"/>
          <w:b/>
          <w:color w:val="auto"/>
          <w:sz w:val="28"/>
          <w:szCs w:val="28"/>
          <w:highlight w:val="none"/>
        </w:rPr>
      </w:pPr>
      <w:r>
        <w:rPr>
          <w:rFonts w:hint="eastAsia" w:ascii="宋体" w:hAnsi="宋体" w:eastAsia="宋体" w:cs="Times New Roman"/>
          <w:b/>
          <w:color w:val="auto"/>
          <w:sz w:val="28"/>
          <w:szCs w:val="28"/>
          <w:highlight w:val="none"/>
        </w:rPr>
        <w:t>二、资格审查内容</w:t>
      </w:r>
    </w:p>
    <w:p w14:paraId="0A496EC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b/>
          <w:color w:val="auto"/>
          <w:sz w:val="24"/>
          <w:szCs w:val="24"/>
          <w:highlight w:val="none"/>
          <w:lang w:eastAsia="zh-CN"/>
        </w:rPr>
      </w:pPr>
      <w:r>
        <w:rPr>
          <w:rFonts w:hint="eastAsia" w:ascii="宋体" w:hAnsi="宋体"/>
          <w:color w:val="auto"/>
          <w:sz w:val="24"/>
          <w:szCs w:val="24"/>
          <w:highlight w:val="none"/>
        </w:rPr>
        <w:t>1</w:t>
      </w:r>
      <w:r>
        <w:rPr>
          <w:rFonts w:ascii="宋体" w:hAnsi="宋体"/>
          <w:color w:val="auto"/>
          <w:sz w:val="24"/>
          <w:szCs w:val="24"/>
          <w:highlight w:val="none"/>
        </w:rPr>
        <w:t>.</w:t>
      </w:r>
      <w:r>
        <w:rPr>
          <w:rFonts w:hint="eastAsia" w:ascii="宋体" w:hAnsi="宋体"/>
          <w:color w:val="auto"/>
          <w:sz w:val="24"/>
          <w:szCs w:val="24"/>
          <w:highlight w:val="none"/>
        </w:rPr>
        <w:t>投标人符合《政府采购法》第二十二条规定条件的声明函（格式见附件3）</w:t>
      </w:r>
      <w:r>
        <w:rPr>
          <w:rFonts w:hint="eastAsia" w:ascii="宋体" w:hAnsi="宋体"/>
          <w:color w:val="auto"/>
          <w:sz w:val="24"/>
          <w:szCs w:val="24"/>
          <w:highlight w:val="none"/>
          <w:lang w:eastAsia="zh-CN"/>
        </w:rPr>
        <w:t>；</w:t>
      </w:r>
    </w:p>
    <w:p w14:paraId="70ED535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2.法定代表人身份证明书（格式见附件4）；</w:t>
      </w:r>
    </w:p>
    <w:p w14:paraId="7A2066B7">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3.法人授权书（如有授权则须提供，格式见附件5）；</w:t>
      </w:r>
    </w:p>
    <w:p w14:paraId="338EB116">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Theme="minorEastAsia" w:hAnsiTheme="minorEastAsia" w:eastAsiaTheme="minorEastAsia" w:cstheme="minorEastAsia"/>
          <w:color w:val="auto"/>
          <w:sz w:val="24"/>
          <w:szCs w:val="21"/>
          <w:highlight w:val="none"/>
        </w:rPr>
        <w:t>磋商响应函</w:t>
      </w:r>
      <w:r>
        <w:rPr>
          <w:rFonts w:hint="eastAsia" w:ascii="宋体" w:hAnsi="宋体"/>
          <w:color w:val="auto"/>
          <w:sz w:val="24"/>
          <w:szCs w:val="24"/>
          <w:highlight w:val="none"/>
        </w:rPr>
        <w:t>（格式见附件6）；</w:t>
      </w:r>
    </w:p>
    <w:p w14:paraId="2A1D87F4">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5.有效的营业执照扫描件；</w:t>
      </w:r>
    </w:p>
    <w:p w14:paraId="16D7868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6.供应商未被“信用中国”网站（www.creditchina.gov.cn）列入失信被执行人、重大税收违法案件当事人名单、政府采购严重失信行为记录名单（代理机构现场查询，截图留存并归档）；</w:t>
      </w:r>
    </w:p>
    <w:p w14:paraId="6FF123D5">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7.响应供应商须</w:t>
      </w:r>
      <w:r>
        <w:rPr>
          <w:rFonts w:hint="eastAsia" w:ascii="宋体" w:hAnsi="宋体"/>
          <w:color w:val="auto"/>
          <w:sz w:val="24"/>
          <w:szCs w:val="24"/>
          <w:highlight w:val="none"/>
          <w:lang w:val="en-US" w:eastAsia="zh-CN"/>
        </w:rPr>
        <w:t>具备有效的市政公用工程施工总承包叁级及以上资质或水利水电工程施工总承包叁级及以上资质</w:t>
      </w:r>
      <w:r>
        <w:rPr>
          <w:rFonts w:hint="eastAsia" w:ascii="宋体" w:hAnsi="宋体"/>
          <w:color w:val="auto"/>
          <w:sz w:val="24"/>
          <w:szCs w:val="24"/>
          <w:highlight w:val="none"/>
        </w:rPr>
        <w:t>，提供有效的企业资质证书扫描件；</w:t>
      </w:r>
    </w:p>
    <w:p w14:paraId="2506F51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8.提供有效的安全生产许可证扫描件；</w:t>
      </w:r>
    </w:p>
    <w:p w14:paraId="4F53D57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9.响应供应商拟派项目负责人须具备有效的</w:t>
      </w:r>
      <w:r>
        <w:rPr>
          <w:rFonts w:hint="eastAsia" w:ascii="宋体" w:hAnsi="宋体"/>
          <w:color w:val="auto"/>
          <w:sz w:val="24"/>
          <w:szCs w:val="24"/>
          <w:highlight w:val="none"/>
          <w:lang w:val="en-US" w:eastAsia="zh-CN"/>
        </w:rPr>
        <w:t>市政公用</w:t>
      </w:r>
      <w:r>
        <w:rPr>
          <w:rFonts w:hint="eastAsia" w:ascii="宋体" w:hAnsi="宋体"/>
          <w:color w:val="auto"/>
          <w:sz w:val="24"/>
          <w:szCs w:val="24"/>
          <w:highlight w:val="none"/>
        </w:rPr>
        <w:t>工程专业贰级及以上注册建造师资格</w:t>
      </w:r>
      <w:r>
        <w:rPr>
          <w:rFonts w:hint="eastAsia" w:ascii="宋体" w:hAnsi="宋体"/>
          <w:color w:val="auto"/>
          <w:sz w:val="24"/>
          <w:szCs w:val="24"/>
          <w:highlight w:val="none"/>
          <w:lang w:val="en-US" w:eastAsia="zh-CN"/>
        </w:rPr>
        <w:t>或水利水电</w:t>
      </w:r>
      <w:r>
        <w:rPr>
          <w:rFonts w:hint="eastAsia" w:ascii="宋体" w:hAnsi="宋体"/>
          <w:color w:val="auto"/>
          <w:sz w:val="24"/>
          <w:szCs w:val="24"/>
          <w:highlight w:val="none"/>
        </w:rPr>
        <w:t>工程专业贰级及以上注册建造师资格，同时具有建筑施工企业安全生产考核合格证书（B证）（以上证书的注册单位均为本供应商）。提供有效的建造师证书</w:t>
      </w:r>
      <w:r>
        <w:rPr>
          <w:rFonts w:hint="eastAsia" w:ascii="宋体" w:hAnsi="宋体"/>
          <w:color w:val="auto"/>
          <w:sz w:val="24"/>
          <w:szCs w:val="24"/>
          <w:highlight w:val="none"/>
          <w:lang w:val="en-US" w:eastAsia="zh-CN"/>
        </w:rPr>
        <w:t>和</w:t>
      </w:r>
      <w:r>
        <w:rPr>
          <w:rFonts w:hint="eastAsia" w:ascii="宋体" w:hAnsi="宋体"/>
          <w:color w:val="auto"/>
          <w:sz w:val="24"/>
          <w:szCs w:val="24"/>
          <w:highlight w:val="none"/>
        </w:rPr>
        <w:t>安全生产考核合格证（B证）扫描件；</w:t>
      </w:r>
    </w:p>
    <w:p w14:paraId="1C7439F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Times New Roman"/>
          <w:color w:val="auto"/>
          <w:sz w:val="24"/>
          <w:szCs w:val="24"/>
          <w:highlight w:val="none"/>
        </w:rPr>
      </w:pPr>
      <w:r>
        <w:rPr>
          <w:rFonts w:hint="eastAsia" w:ascii="宋体" w:hAnsi="宋体"/>
          <w:color w:val="auto"/>
          <w:sz w:val="24"/>
          <w:szCs w:val="24"/>
          <w:highlight w:val="none"/>
        </w:rPr>
        <w:t>10.拟派项目负责人为</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的正式员工，提供有效的响应供应商与拟派项目负责人双方签订的有效劳动合同书</w:t>
      </w:r>
      <w:r>
        <w:rPr>
          <w:rFonts w:hint="eastAsia" w:ascii="宋体" w:hAnsi="宋体" w:eastAsia="宋体" w:cs="Times New Roman"/>
          <w:color w:val="auto"/>
          <w:sz w:val="24"/>
          <w:szCs w:val="24"/>
          <w:highlight w:val="none"/>
          <w:lang w:val="en-US" w:eastAsia="zh-CN"/>
        </w:rPr>
        <w:t>及养老保险缴纳证明材料</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供应商为其缴纳的响应截止时间前三个月（不含响应截止时间当月）中至少一个月的养老保险缴纳证明材料（若为响应截止时间当月新开办企业，则无需提供）</w:t>
      </w:r>
      <w:r>
        <w:rPr>
          <w:rFonts w:hint="eastAsia" w:ascii="宋体" w:hAnsi="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w:t>
      </w:r>
    </w:p>
    <w:p w14:paraId="7BF7BED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b/>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.提供有效的拟派项目负责人无在建工程承诺书（格式见附件7）；</w:t>
      </w:r>
    </w:p>
    <w:p w14:paraId="542705C6">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供应商在响应文件递交截止时间当日，建筑业企业资质（仅指本项目的资质）动态监管结果不处于不合格状态。（代理机构登录“江苏省建筑市场监管与诚信信息一体化平台-企业信息-施工企业-动态监管不合格资质查询”，对动态监管处于不合格状态的供应商进行截图保存）；</w:t>
      </w:r>
    </w:p>
    <w:p w14:paraId="0774070F">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13.中小企业声明函（详见附件8）；</w:t>
      </w:r>
    </w:p>
    <w:p w14:paraId="645FF05C">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.残疾人福利性单位声明函（如符合残疾人福利性单位的须提供，详见附件9）；</w:t>
      </w:r>
    </w:p>
    <w:p w14:paraId="1DBD99C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.监狱和戒毒企业证明材料（如符合监狱企业的须提供，详见附件10）。</w:t>
      </w:r>
    </w:p>
    <w:p w14:paraId="0CEA2A4D">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备注：上述“资格审查内容”中</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必须在</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文件中提供相关材料，否则作无效</w:t>
      </w:r>
      <w:r>
        <w:rPr>
          <w:rFonts w:hint="eastAsia" w:ascii="宋体" w:hAnsi="宋体"/>
          <w:color w:val="auto"/>
          <w:sz w:val="24"/>
          <w:szCs w:val="24"/>
          <w:highlight w:val="none"/>
          <w:lang w:val="en-US" w:eastAsia="zh-CN"/>
        </w:rPr>
        <w:t>响应</w:t>
      </w:r>
      <w:r>
        <w:rPr>
          <w:rFonts w:hint="eastAsia" w:ascii="宋体" w:hAnsi="宋体"/>
          <w:color w:val="auto"/>
          <w:sz w:val="24"/>
          <w:szCs w:val="24"/>
          <w:highlight w:val="none"/>
        </w:rPr>
        <w:t>处理。</w:t>
      </w:r>
    </w:p>
    <w:p w14:paraId="5C9DB442">
      <w:pPr>
        <w:keepNext w:val="0"/>
        <w:keepLines w:val="0"/>
        <w:pageBreakBefore w:val="0"/>
        <w:widowControl w:val="0"/>
        <w:numPr>
          <w:ilvl w:val="0"/>
          <w:numId w:val="0"/>
        </w:numPr>
        <w:kinsoku/>
        <w:wordWrap/>
        <w:overflowPunct/>
        <w:topLinePunct w:val="0"/>
        <w:autoSpaceDE/>
        <w:autoSpaceDN/>
        <w:bidi w:val="0"/>
        <w:adjustRightInd w:val="0"/>
        <w:snapToGrid/>
        <w:spacing w:after="181" w:afterLines="50" w:line="480" w:lineRule="exact"/>
        <w:ind w:left="482" w:leftChars="0"/>
        <w:textAlignment w:val="auto"/>
        <w:rPr>
          <w:rFonts w:hint="eastAsia" w:ascii="宋体" w:hAnsi="宋体" w:eastAsia="宋体" w:cs="Times New Roman"/>
          <w:b/>
          <w:color w:val="auto"/>
          <w:kern w:val="2"/>
          <w:sz w:val="28"/>
          <w:szCs w:val="28"/>
          <w:highlight w:val="none"/>
          <w:lang w:val="zh-CN" w:eastAsia="zh-CN" w:bidi="ar-SA"/>
        </w:rPr>
      </w:pPr>
      <w:r>
        <w:rPr>
          <w:rFonts w:hint="eastAsia" w:ascii="宋体" w:hAnsi="宋体" w:eastAsia="宋体" w:cs="Times New Roman"/>
          <w:b/>
          <w:color w:val="auto"/>
          <w:kern w:val="2"/>
          <w:sz w:val="28"/>
          <w:szCs w:val="28"/>
          <w:highlight w:val="none"/>
          <w:lang w:val="en-US" w:eastAsia="zh-CN" w:bidi="ar-SA"/>
        </w:rPr>
        <w:t>三、符合性审查</w:t>
      </w:r>
      <w:r>
        <w:rPr>
          <w:rFonts w:hint="eastAsia" w:ascii="宋体" w:hAnsi="宋体" w:eastAsia="宋体" w:cs="Times New Roman"/>
          <w:b/>
          <w:color w:val="auto"/>
          <w:kern w:val="2"/>
          <w:sz w:val="28"/>
          <w:szCs w:val="28"/>
          <w:highlight w:val="none"/>
          <w:lang w:val="zh-CN" w:eastAsia="zh-CN" w:bidi="ar-SA"/>
        </w:rPr>
        <w:t>证明材料</w:t>
      </w:r>
    </w:p>
    <w:p w14:paraId="02272E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1.商务部分正负偏离表；（格式见附件</w:t>
      </w:r>
      <w:r>
        <w:rPr>
          <w:rFonts w:hint="eastAsia" w:ascii="宋体" w:hAnsi="宋体" w:eastAsia="宋体" w:cs="宋体"/>
          <w:bCs/>
          <w:color w:val="auto"/>
          <w:sz w:val="24"/>
          <w:szCs w:val="24"/>
          <w:highlight w:val="none"/>
          <w:lang w:val="en-US" w:eastAsia="zh-CN"/>
        </w:rPr>
        <w:t>11</w:t>
      </w:r>
      <w:r>
        <w:rPr>
          <w:rFonts w:hint="eastAsia" w:ascii="宋体" w:hAnsi="宋体" w:eastAsia="宋体" w:cs="宋体"/>
          <w:bCs/>
          <w:color w:val="auto"/>
          <w:sz w:val="24"/>
          <w:szCs w:val="24"/>
          <w:highlight w:val="none"/>
          <w:lang w:val="zh-CN"/>
        </w:rPr>
        <w:t>）</w:t>
      </w:r>
    </w:p>
    <w:p w14:paraId="4BA3A6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
          <w:color w:val="auto"/>
          <w:kern w:val="2"/>
          <w:sz w:val="28"/>
          <w:szCs w:val="28"/>
          <w:highlight w:val="none"/>
          <w:lang w:val="en-US" w:eastAsia="zh-CN" w:bidi="ar-SA"/>
        </w:rPr>
      </w:pPr>
      <w:r>
        <w:rPr>
          <w:rFonts w:hint="eastAsia" w:ascii="宋体" w:hAnsi="宋体" w:eastAsia="宋体" w:cs="宋体"/>
          <w:bCs/>
          <w:color w:val="auto"/>
          <w:sz w:val="24"/>
          <w:szCs w:val="24"/>
          <w:highlight w:val="none"/>
          <w:lang w:val="zh-CN"/>
        </w:rPr>
        <w:t>2.技术部分正负偏离表；（格式见附件</w:t>
      </w:r>
      <w:r>
        <w:rPr>
          <w:rFonts w:hint="eastAsia" w:ascii="宋体" w:hAnsi="宋体" w:eastAsia="宋体" w:cs="宋体"/>
          <w:bCs/>
          <w:color w:val="auto"/>
          <w:sz w:val="24"/>
          <w:szCs w:val="24"/>
          <w:highlight w:val="none"/>
          <w:lang w:val="en-US" w:eastAsia="zh-CN"/>
        </w:rPr>
        <w:t>12</w:t>
      </w:r>
      <w:r>
        <w:rPr>
          <w:rFonts w:hint="eastAsia" w:ascii="宋体" w:hAnsi="宋体" w:eastAsia="宋体" w:cs="宋体"/>
          <w:bCs/>
          <w:color w:val="auto"/>
          <w:sz w:val="24"/>
          <w:szCs w:val="24"/>
          <w:highlight w:val="none"/>
          <w:lang w:val="zh-CN"/>
        </w:rPr>
        <w:t>）</w:t>
      </w:r>
    </w:p>
    <w:p w14:paraId="026300D1">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482" w:leftChars="0"/>
        <w:textAlignment w:val="auto"/>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kern w:val="2"/>
          <w:sz w:val="28"/>
          <w:szCs w:val="28"/>
          <w:highlight w:val="none"/>
          <w:lang w:val="en-US" w:eastAsia="zh-CN" w:bidi="ar-SA"/>
        </w:rPr>
        <w:t>四、</w:t>
      </w:r>
      <w:r>
        <w:rPr>
          <w:rFonts w:hint="eastAsia" w:ascii="宋体" w:hAnsi="宋体" w:eastAsia="宋体" w:cs="Times New Roman"/>
          <w:b/>
          <w:color w:val="auto"/>
          <w:sz w:val="28"/>
          <w:szCs w:val="28"/>
          <w:highlight w:val="none"/>
          <w:lang w:val="en-US" w:eastAsia="zh-CN"/>
        </w:rPr>
        <w:t>综合评审评分项</w:t>
      </w:r>
    </w:p>
    <w:p w14:paraId="0A5A0CC3">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1.商务技术评分标准中须提供的相关得分佐证材料；</w:t>
      </w:r>
    </w:p>
    <w:p w14:paraId="20970D14">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2.供应商认为需要提交的其他材料。</w:t>
      </w:r>
    </w:p>
    <w:p w14:paraId="765F8049">
      <w:pPr>
        <w:keepNext w:val="0"/>
        <w:keepLines w:val="0"/>
        <w:pageBreakBefore w:val="0"/>
        <w:widowControl w:val="0"/>
        <w:numPr>
          <w:ilvl w:val="0"/>
          <w:numId w:val="0"/>
        </w:numPr>
        <w:kinsoku/>
        <w:wordWrap/>
        <w:overflowPunct/>
        <w:topLinePunct w:val="0"/>
        <w:autoSpaceDE/>
        <w:autoSpaceDN/>
        <w:bidi w:val="0"/>
        <w:adjustRightInd w:val="0"/>
        <w:snapToGrid/>
        <w:spacing w:line="480" w:lineRule="exact"/>
        <w:ind w:left="482" w:leftChars="0"/>
        <w:textAlignment w:val="auto"/>
        <w:rPr>
          <w:rFonts w:hint="default" w:ascii="宋体" w:hAnsi="宋体" w:eastAsia="宋体" w:cs="Times New Roman"/>
          <w:b/>
          <w:color w:val="auto"/>
          <w:kern w:val="2"/>
          <w:sz w:val="28"/>
          <w:szCs w:val="28"/>
          <w:highlight w:val="none"/>
          <w:lang w:val="en-US" w:eastAsia="zh-CN" w:bidi="ar-SA"/>
        </w:rPr>
      </w:pPr>
      <w:r>
        <w:rPr>
          <w:rFonts w:hint="eastAsia" w:ascii="宋体" w:hAnsi="宋体" w:cs="Times New Roman"/>
          <w:b/>
          <w:color w:val="auto"/>
          <w:kern w:val="2"/>
          <w:sz w:val="28"/>
          <w:szCs w:val="28"/>
          <w:highlight w:val="none"/>
          <w:lang w:val="en-US" w:eastAsia="zh-CN" w:bidi="ar-SA"/>
        </w:rPr>
        <w:t>五</w:t>
      </w:r>
      <w:r>
        <w:rPr>
          <w:rFonts w:hint="default" w:ascii="宋体" w:hAnsi="宋体" w:eastAsia="宋体" w:cs="Times New Roman"/>
          <w:b/>
          <w:color w:val="auto"/>
          <w:kern w:val="2"/>
          <w:sz w:val="28"/>
          <w:szCs w:val="28"/>
          <w:highlight w:val="none"/>
          <w:lang w:val="en-US" w:eastAsia="zh-CN" w:bidi="ar-SA"/>
        </w:rPr>
        <w:t>、价格扣除证明文件</w:t>
      </w:r>
    </w:p>
    <w:p w14:paraId="0DB333E7">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1.中小企业声明函（格式见附件</w:t>
      </w:r>
      <w:r>
        <w:rPr>
          <w:rFonts w:hint="eastAsia" w:ascii="宋体" w:hAnsi="宋体" w:eastAsia="宋体" w:cs="Times New Roman"/>
          <w:color w:val="auto"/>
          <w:sz w:val="24"/>
          <w:szCs w:val="24"/>
          <w:highlight w:val="none"/>
          <w:lang w:val="en-US" w:eastAsia="zh-CN"/>
        </w:rPr>
        <w:t>8</w:t>
      </w:r>
      <w:r>
        <w:rPr>
          <w:rFonts w:hint="default"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w:t>
      </w:r>
    </w:p>
    <w:p w14:paraId="5B35A139">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2.残疾人福利性单位声明函（格式见附件</w:t>
      </w:r>
      <w:r>
        <w:rPr>
          <w:rFonts w:hint="eastAsia" w:ascii="宋体" w:hAnsi="宋体" w:eastAsia="宋体" w:cs="Times New Roman"/>
          <w:color w:val="auto"/>
          <w:sz w:val="24"/>
          <w:szCs w:val="24"/>
          <w:highlight w:val="none"/>
          <w:lang w:val="en-US" w:eastAsia="zh-CN"/>
        </w:rPr>
        <w:t>9</w:t>
      </w:r>
      <w:r>
        <w:rPr>
          <w:rFonts w:hint="default"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w:t>
      </w:r>
    </w:p>
    <w:p w14:paraId="5D6BDC41">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Times New Roman"/>
          <w:color w:val="auto"/>
          <w:sz w:val="24"/>
          <w:szCs w:val="24"/>
          <w:highlight w:val="none"/>
          <w:lang w:val="en-US" w:eastAsia="zh-CN"/>
        </w:rPr>
      </w:pPr>
      <w:r>
        <w:rPr>
          <w:rFonts w:hint="default" w:ascii="宋体" w:hAnsi="宋体" w:eastAsia="宋体" w:cs="Times New Roman"/>
          <w:color w:val="auto"/>
          <w:sz w:val="24"/>
          <w:szCs w:val="24"/>
          <w:highlight w:val="none"/>
          <w:lang w:val="en-US" w:eastAsia="zh-CN"/>
        </w:rPr>
        <w:t>3.监狱和戒毒企业证明材料（格式见附件</w:t>
      </w:r>
      <w:r>
        <w:rPr>
          <w:rFonts w:hint="eastAsia" w:ascii="宋体" w:hAnsi="宋体" w:eastAsia="宋体" w:cs="Times New Roman"/>
          <w:color w:val="auto"/>
          <w:sz w:val="24"/>
          <w:szCs w:val="24"/>
          <w:highlight w:val="none"/>
          <w:lang w:val="en-US" w:eastAsia="zh-CN"/>
        </w:rPr>
        <w:t>10</w:t>
      </w:r>
      <w:r>
        <w:rPr>
          <w:rFonts w:hint="default"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lang w:val="en-US" w:eastAsia="zh-CN"/>
        </w:rPr>
        <w:t>。</w:t>
      </w:r>
    </w:p>
    <w:p w14:paraId="229191B0">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default" w:ascii="宋体" w:hAnsi="宋体" w:eastAsia="宋体" w:cs="Times New Roman"/>
          <w:color w:val="auto"/>
          <w:sz w:val="24"/>
          <w:szCs w:val="24"/>
          <w:highlight w:val="none"/>
          <w:lang w:val="en-US" w:eastAsia="zh-CN"/>
        </w:rPr>
      </w:pPr>
    </w:p>
    <w:p w14:paraId="6733FEB3">
      <w:pPr>
        <w:keepNext w:val="0"/>
        <w:keepLines w:val="0"/>
        <w:pageBreakBefore w:val="0"/>
        <w:widowControl w:val="0"/>
        <w:kinsoku/>
        <w:wordWrap/>
        <w:overflowPunct/>
        <w:topLinePunct w:val="0"/>
        <w:autoSpaceDE/>
        <w:autoSpaceDN/>
        <w:bidi w:val="0"/>
        <w:spacing w:line="480" w:lineRule="exact"/>
        <w:ind w:left="480"/>
        <w:textAlignment w:val="auto"/>
        <w:rPr>
          <w:rFonts w:hint="eastAsia" w:ascii="宋体" w:hAnsi="宋体"/>
          <w:color w:val="auto"/>
          <w:sz w:val="24"/>
          <w:szCs w:val="24"/>
          <w:highlight w:val="none"/>
        </w:rPr>
      </w:pPr>
    </w:p>
    <w:p w14:paraId="054FF018">
      <w:pPr>
        <w:keepNext w:val="0"/>
        <w:keepLines w:val="0"/>
        <w:pageBreakBefore w:val="0"/>
        <w:widowControl w:val="0"/>
        <w:kinsoku/>
        <w:wordWrap/>
        <w:overflowPunct/>
        <w:topLinePunct w:val="0"/>
        <w:autoSpaceDE/>
        <w:autoSpaceDN/>
        <w:bidi w:val="0"/>
        <w:spacing w:line="480" w:lineRule="exact"/>
        <w:textAlignment w:val="auto"/>
        <w:rPr>
          <w:rFonts w:ascii="宋体" w:hAnsi="宋体"/>
          <w:b/>
          <w:color w:val="auto"/>
          <w:sz w:val="24"/>
          <w:szCs w:val="24"/>
          <w:highlight w:val="none"/>
        </w:rPr>
      </w:pPr>
    </w:p>
    <w:p w14:paraId="24192BDC">
      <w:pPr>
        <w:rPr>
          <w:rFonts w:ascii="宋体" w:hAnsi="宋体"/>
          <w:b/>
          <w:color w:val="auto"/>
          <w:sz w:val="24"/>
          <w:szCs w:val="24"/>
          <w:highlight w:val="none"/>
        </w:rPr>
      </w:pPr>
    </w:p>
    <w:p w14:paraId="7A5ECFBB">
      <w:pPr>
        <w:rPr>
          <w:rFonts w:ascii="宋体" w:hAnsi="宋体"/>
          <w:b/>
          <w:color w:val="auto"/>
          <w:sz w:val="24"/>
          <w:szCs w:val="24"/>
          <w:highlight w:val="none"/>
        </w:rPr>
      </w:pPr>
    </w:p>
    <w:p w14:paraId="6581E12E">
      <w:pPr>
        <w:rPr>
          <w:rFonts w:ascii="宋体" w:hAnsi="宋体"/>
          <w:b/>
          <w:color w:val="auto"/>
          <w:sz w:val="24"/>
          <w:szCs w:val="24"/>
          <w:highlight w:val="none"/>
        </w:rPr>
      </w:pPr>
    </w:p>
    <w:p w14:paraId="38ED6D96">
      <w:pPr>
        <w:pStyle w:val="290"/>
        <w:rPr>
          <w:rFonts w:ascii="宋体" w:hAnsi="宋体"/>
          <w:color w:val="auto"/>
          <w:highlight w:val="none"/>
        </w:rPr>
      </w:pPr>
    </w:p>
    <w:p w14:paraId="2F32BE84">
      <w:pPr>
        <w:pStyle w:val="290"/>
        <w:rPr>
          <w:rFonts w:ascii="宋体" w:hAnsi="宋体"/>
          <w:color w:val="auto"/>
          <w:highlight w:val="none"/>
        </w:rPr>
      </w:pPr>
    </w:p>
    <w:p w14:paraId="2D276CB3">
      <w:pPr>
        <w:pStyle w:val="290"/>
        <w:rPr>
          <w:rFonts w:ascii="宋体" w:hAnsi="宋体"/>
          <w:color w:val="auto"/>
          <w:highlight w:val="none"/>
        </w:rPr>
      </w:pPr>
    </w:p>
    <w:p w14:paraId="5C3EBF51">
      <w:pPr>
        <w:pStyle w:val="290"/>
        <w:rPr>
          <w:rFonts w:ascii="宋体" w:hAnsi="宋体"/>
          <w:color w:val="auto"/>
          <w:highlight w:val="none"/>
        </w:rPr>
      </w:pPr>
    </w:p>
    <w:p w14:paraId="46710B9B">
      <w:pPr>
        <w:rPr>
          <w:rFonts w:ascii="宋体" w:hAnsi="宋体"/>
          <w:color w:val="auto"/>
          <w:sz w:val="24"/>
          <w:szCs w:val="20"/>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 xml:space="preserve">附件1 </w:t>
      </w:r>
    </w:p>
    <w:p w14:paraId="6E058D29">
      <w:pPr>
        <w:jc w:val="center"/>
        <w:rPr>
          <w:rFonts w:ascii="宋体" w:hAnsi="宋体"/>
          <w:color w:val="auto"/>
          <w:sz w:val="28"/>
          <w:szCs w:val="28"/>
          <w:highlight w:val="none"/>
        </w:rPr>
      </w:pPr>
      <w:r>
        <w:rPr>
          <w:rFonts w:hint="eastAsia" w:ascii="宋体" w:hAnsi="宋体"/>
          <w:b/>
          <w:color w:val="auto"/>
          <w:sz w:val="28"/>
          <w:szCs w:val="28"/>
          <w:highlight w:val="none"/>
        </w:rPr>
        <w:t>开标一览表</w:t>
      </w:r>
    </w:p>
    <w:p w14:paraId="61D59085">
      <w:pPr>
        <w:spacing w:line="0" w:lineRule="atLeast"/>
        <w:ind w:firstLine="482"/>
        <w:rPr>
          <w:rFonts w:hint="eastAsia" w:ascii="宋体" w:hAnsi="宋体"/>
          <w:color w:val="auto"/>
          <w:sz w:val="24"/>
          <w:szCs w:val="24"/>
          <w:highlight w:val="none"/>
        </w:rPr>
      </w:pPr>
    </w:p>
    <w:p w14:paraId="40CC6597">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投标人全称（加盖CA电子签章）：</w:t>
      </w:r>
    </w:p>
    <w:p w14:paraId="34C8CB10">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项目名称：</w:t>
      </w:r>
    </w:p>
    <w:p w14:paraId="2774E085">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 xml:space="preserve">项目编号：                                   </w:t>
      </w:r>
    </w:p>
    <w:p w14:paraId="669F94B6">
      <w:pPr>
        <w:spacing w:line="360" w:lineRule="auto"/>
        <w:ind w:firstLine="482"/>
        <w:rPr>
          <w:rFonts w:ascii="宋体" w:hAnsi="宋体"/>
          <w:color w:val="auto"/>
          <w:sz w:val="24"/>
          <w:szCs w:val="24"/>
          <w:highlight w:val="none"/>
        </w:rPr>
      </w:pPr>
      <w:r>
        <w:rPr>
          <w:rFonts w:hint="eastAsia" w:ascii="宋体" w:hAnsi="宋体"/>
          <w:color w:val="auto"/>
          <w:sz w:val="24"/>
          <w:szCs w:val="24"/>
          <w:highlight w:val="none"/>
        </w:rPr>
        <w:t>分包号：</w:t>
      </w:r>
    </w:p>
    <w:tbl>
      <w:tblPr>
        <w:tblStyle w:val="5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38A0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9072" w:type="dxa"/>
            <w:noWrap w:val="0"/>
            <w:vAlign w:val="center"/>
          </w:tcPr>
          <w:p w14:paraId="20DF6CBD">
            <w:pPr>
              <w:jc w:val="center"/>
              <w:rPr>
                <w:rFonts w:ascii="宋体" w:hAnsi="宋体"/>
                <w:color w:val="auto"/>
                <w:sz w:val="24"/>
                <w:szCs w:val="24"/>
                <w:highlight w:val="none"/>
              </w:rPr>
            </w:pPr>
            <w:r>
              <w:rPr>
                <w:rFonts w:hint="eastAsia" w:ascii="宋体" w:hAnsi="宋体"/>
                <w:color w:val="auto"/>
                <w:sz w:val="24"/>
                <w:szCs w:val="24"/>
                <w:highlight w:val="none"/>
              </w:rPr>
              <w:t>投标总报价</w:t>
            </w:r>
          </w:p>
        </w:tc>
      </w:tr>
      <w:tr w14:paraId="0257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072" w:type="dxa"/>
            <w:noWrap w:val="0"/>
            <w:vAlign w:val="center"/>
          </w:tcPr>
          <w:p w14:paraId="70D5DDCC">
            <w:pPr>
              <w:pStyle w:val="2"/>
              <w:spacing w:before="0" w:after="0" w:line="500" w:lineRule="exact"/>
              <w:ind w:firstLine="0"/>
              <w:rPr>
                <w:rFonts w:ascii="宋体" w:hAnsi="宋体"/>
                <w:color w:val="auto"/>
                <w:kern w:val="2"/>
                <w:szCs w:val="21"/>
                <w:highlight w:val="none"/>
                <w:lang w:val="en-US" w:eastAsia="zh-CN"/>
              </w:rPr>
            </w:pPr>
            <w:r>
              <w:rPr>
                <w:rFonts w:hint="eastAsia" w:ascii="宋体" w:hAnsi="宋体" w:cs="宋体"/>
                <w:color w:val="auto"/>
                <w:highlight w:val="none"/>
                <w:lang w:val="en-US" w:eastAsia="zh-CN"/>
              </w:rPr>
              <w:t>小写：                             （人民币：元）</w:t>
            </w:r>
          </w:p>
        </w:tc>
      </w:tr>
    </w:tbl>
    <w:p w14:paraId="41A682D9">
      <w:pPr>
        <w:ind w:firstLine="480"/>
        <w:rPr>
          <w:rFonts w:ascii="宋体" w:hAnsi="宋体"/>
          <w:color w:val="auto"/>
          <w:sz w:val="24"/>
          <w:szCs w:val="24"/>
          <w:highlight w:val="none"/>
        </w:rPr>
      </w:pPr>
    </w:p>
    <w:p w14:paraId="34F4A5E9">
      <w:pPr>
        <w:rPr>
          <w:rFonts w:ascii="宋体" w:hAnsi="宋体"/>
          <w:b/>
          <w:color w:val="auto"/>
          <w:sz w:val="24"/>
          <w:szCs w:val="24"/>
          <w:highlight w:val="none"/>
        </w:rPr>
      </w:pPr>
    </w:p>
    <w:p w14:paraId="78B7A8D5">
      <w:pPr>
        <w:rPr>
          <w:rFonts w:ascii="宋体" w:hAnsi="宋体"/>
          <w:b/>
          <w:color w:val="auto"/>
          <w:sz w:val="24"/>
          <w:szCs w:val="24"/>
          <w:highlight w:val="none"/>
        </w:rPr>
      </w:pPr>
    </w:p>
    <w:p w14:paraId="25C3B920">
      <w:pPr>
        <w:widowControl/>
        <w:jc w:val="left"/>
        <w:rPr>
          <w:rFonts w:ascii="宋体" w:hAnsi="宋体"/>
          <w:b/>
          <w:color w:val="auto"/>
          <w:sz w:val="24"/>
          <w:szCs w:val="24"/>
          <w:highlight w:val="none"/>
        </w:rPr>
      </w:pPr>
    </w:p>
    <w:p w14:paraId="351C5B57">
      <w:pPr>
        <w:rPr>
          <w:rFonts w:ascii="宋体" w:hAnsi="宋体"/>
          <w:b/>
          <w:color w:val="auto"/>
          <w:sz w:val="24"/>
          <w:szCs w:val="24"/>
          <w:highlight w:val="none"/>
        </w:rPr>
      </w:pPr>
    </w:p>
    <w:p w14:paraId="451A136A">
      <w:pPr>
        <w:adjustRightInd w:val="0"/>
        <w:snapToGrid w:val="0"/>
        <w:spacing w:line="480" w:lineRule="exact"/>
        <w:jc w:val="left"/>
        <w:outlineLvl w:val="9"/>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4"/>
          <w:szCs w:val="24"/>
          <w:highlight w:val="none"/>
        </w:rPr>
        <w:t>附件</w:t>
      </w:r>
      <w:r>
        <w:rPr>
          <w:rFonts w:ascii="宋体" w:hAnsi="宋体"/>
          <w:b/>
          <w:color w:val="auto"/>
          <w:sz w:val="24"/>
          <w:szCs w:val="24"/>
          <w:highlight w:val="none"/>
        </w:rPr>
        <w:t>2</w:t>
      </w:r>
    </w:p>
    <w:p w14:paraId="422403C4">
      <w:pPr>
        <w:jc w:val="center"/>
        <w:rPr>
          <w:rFonts w:ascii="宋体" w:hAnsi="宋体" w:cs="宋体"/>
          <w:bCs/>
          <w:color w:val="auto"/>
          <w:kern w:val="0"/>
          <w:sz w:val="28"/>
          <w:szCs w:val="28"/>
          <w:highlight w:val="none"/>
        </w:rPr>
      </w:pPr>
      <w:r>
        <w:rPr>
          <w:rFonts w:hint="eastAsia" w:ascii="宋体" w:hAnsi="宋体" w:cs="宋体"/>
          <w:bCs/>
          <w:color w:val="auto"/>
          <w:kern w:val="0"/>
          <w:sz w:val="28"/>
          <w:szCs w:val="28"/>
          <w:highlight w:val="none"/>
        </w:rPr>
        <w:t>已标价工程量清单</w:t>
      </w:r>
    </w:p>
    <w:p w14:paraId="23793C18">
      <w:pPr>
        <w:spacing w:line="300" w:lineRule="auto"/>
        <w:outlineLvl w:val="9"/>
        <w:rPr>
          <w:rFonts w:ascii="宋体" w:hAnsi="宋体" w:cs="宋体"/>
          <w:b/>
          <w:color w:val="auto"/>
          <w:kern w:val="0"/>
          <w:sz w:val="28"/>
          <w:szCs w:val="28"/>
          <w:highlight w:val="none"/>
          <w:lang w:val="zh-CN"/>
        </w:rPr>
      </w:pPr>
    </w:p>
    <w:p w14:paraId="254F5710">
      <w:pPr>
        <w:spacing w:line="300" w:lineRule="auto"/>
        <w:ind w:firstLine="480"/>
        <w:outlineLvl w:val="9"/>
        <w:rPr>
          <w:rFonts w:ascii="宋体" w:hAnsi="宋体" w:cs="宋体"/>
          <w:bCs/>
          <w:color w:val="auto"/>
          <w:kern w:val="0"/>
          <w:sz w:val="24"/>
          <w:szCs w:val="24"/>
          <w:highlight w:val="none"/>
          <w:lang w:val="zh-CN"/>
        </w:rPr>
      </w:pPr>
      <w:r>
        <w:rPr>
          <w:rFonts w:hint="eastAsia" w:ascii="宋体" w:hAnsi="宋体" w:cs="宋体"/>
          <w:bCs/>
          <w:color w:val="auto"/>
          <w:kern w:val="0"/>
          <w:sz w:val="24"/>
          <w:szCs w:val="24"/>
          <w:highlight w:val="none"/>
          <w:lang w:val="zh-CN"/>
        </w:rPr>
        <w:t>已标价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358FC34A">
      <w:pPr>
        <w:spacing w:line="300" w:lineRule="auto"/>
        <w:outlineLvl w:val="9"/>
        <w:rPr>
          <w:rFonts w:ascii="宋体" w:hAnsi="宋体" w:cs="宋体"/>
          <w:b/>
          <w:color w:val="auto"/>
          <w:kern w:val="0"/>
          <w:sz w:val="28"/>
          <w:szCs w:val="28"/>
          <w:highlight w:val="none"/>
          <w:lang w:val="zh-CN"/>
        </w:rPr>
      </w:pPr>
    </w:p>
    <w:p w14:paraId="5519B9EB">
      <w:pPr>
        <w:adjustRightInd w:val="0"/>
        <w:snapToGrid w:val="0"/>
        <w:spacing w:line="480" w:lineRule="exact"/>
        <w:rPr>
          <w:rFonts w:hint="eastAsia" w:ascii="宋体" w:hAnsi="宋体"/>
          <w:b/>
          <w:color w:val="auto"/>
          <w:sz w:val="24"/>
          <w:szCs w:val="24"/>
          <w:highlight w:val="none"/>
        </w:rPr>
      </w:pPr>
      <w:r>
        <w:rPr>
          <w:rFonts w:ascii="宋体" w:hAnsi="宋体"/>
          <w:b/>
          <w:color w:val="auto"/>
          <w:sz w:val="32"/>
          <w:szCs w:val="32"/>
          <w:highlight w:val="none"/>
        </w:rPr>
        <w:br w:type="page"/>
      </w:r>
      <w:r>
        <w:rPr>
          <w:rFonts w:hint="eastAsia" w:ascii="宋体" w:hAnsi="宋体"/>
          <w:b/>
          <w:color w:val="auto"/>
          <w:sz w:val="24"/>
          <w:szCs w:val="24"/>
          <w:highlight w:val="none"/>
        </w:rPr>
        <w:t>附件3</w:t>
      </w:r>
    </w:p>
    <w:p w14:paraId="5A115701">
      <w:pPr>
        <w:adjustRightInd w:val="0"/>
        <w:snapToGrid w:val="0"/>
        <w:spacing w:line="480" w:lineRule="auto"/>
        <w:jc w:val="center"/>
        <w:rPr>
          <w:rFonts w:ascii="宋体" w:hAnsi="宋体"/>
          <w:b/>
          <w:bCs/>
          <w:color w:val="auto"/>
          <w:sz w:val="48"/>
          <w:szCs w:val="48"/>
          <w:highlight w:val="none"/>
        </w:rPr>
      </w:pPr>
      <w:r>
        <w:rPr>
          <w:rFonts w:hint="eastAsia" w:ascii="宋体" w:hAnsi="宋体"/>
          <w:b/>
          <w:color w:val="auto"/>
          <w:sz w:val="28"/>
          <w:szCs w:val="28"/>
          <w:highlight w:val="none"/>
        </w:rPr>
        <w:t>投标人符合《政府采购法》第二十二条规定条件的声明函</w:t>
      </w:r>
    </w:p>
    <w:p w14:paraId="6E09DD25">
      <w:pPr>
        <w:spacing w:line="480" w:lineRule="exact"/>
        <w:ind w:firstLine="480" w:firstLineChars="200"/>
        <w:rPr>
          <w:rFonts w:ascii="宋体" w:hAnsi="宋体"/>
          <w:b/>
          <w:bCs/>
          <w:color w:val="auto"/>
          <w:sz w:val="24"/>
          <w:highlight w:val="none"/>
        </w:rPr>
      </w:pPr>
      <w:r>
        <w:rPr>
          <w:rFonts w:hint="eastAsia" w:ascii="宋体" w:hAnsi="宋体"/>
          <w:bCs/>
          <w:color w:val="auto"/>
          <w:sz w:val="24"/>
          <w:highlight w:val="none"/>
        </w:rPr>
        <w:t>我单位参加</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（项目名称），</w:t>
      </w:r>
      <w:r>
        <w:rPr>
          <w:rFonts w:hint="eastAsia" w:ascii="宋体" w:hAnsi="宋体"/>
          <w:bCs/>
          <w:color w:val="auto"/>
          <w:sz w:val="24"/>
          <w:highlight w:val="none"/>
          <w:u w:val="single"/>
          <w:lang w:val="en-US" w:eastAsia="zh-CN"/>
        </w:rPr>
        <w:t xml:space="preserve">               </w:t>
      </w:r>
      <w:r>
        <w:rPr>
          <w:rFonts w:hint="eastAsia" w:ascii="宋体" w:hAnsi="宋体"/>
          <w:bCs/>
          <w:color w:val="auto"/>
          <w:sz w:val="24"/>
          <w:highlight w:val="none"/>
        </w:rPr>
        <w:t>（项目编号）投标活动。针对《中华人民共和国政府采购法》第二十二条规定做出如下声明：</w:t>
      </w:r>
    </w:p>
    <w:p w14:paraId="5A688FBD">
      <w:pPr>
        <w:spacing w:line="480" w:lineRule="exact"/>
        <w:ind w:firstLine="482"/>
        <w:rPr>
          <w:rFonts w:ascii="宋体" w:hAnsi="宋体"/>
          <w:color w:val="auto"/>
          <w:sz w:val="24"/>
          <w:highlight w:val="none"/>
        </w:rPr>
      </w:pPr>
      <w:r>
        <w:rPr>
          <w:rFonts w:hint="eastAsia" w:ascii="宋体" w:hAnsi="宋体"/>
          <w:bCs/>
          <w:color w:val="auto"/>
          <w:sz w:val="24"/>
          <w:highlight w:val="none"/>
        </w:rPr>
        <w:t>1.我单位具有独立承担民事责任的能力；</w:t>
      </w:r>
    </w:p>
    <w:p w14:paraId="28695C89">
      <w:pPr>
        <w:spacing w:line="480" w:lineRule="exact"/>
        <w:ind w:firstLine="482"/>
        <w:rPr>
          <w:rFonts w:ascii="宋体" w:hAnsi="宋体"/>
          <w:color w:val="auto"/>
          <w:sz w:val="24"/>
          <w:highlight w:val="none"/>
        </w:rPr>
      </w:pPr>
      <w:r>
        <w:rPr>
          <w:rFonts w:hint="eastAsia" w:ascii="宋体" w:hAnsi="宋体"/>
          <w:color w:val="auto"/>
          <w:sz w:val="24"/>
          <w:highlight w:val="none"/>
        </w:rPr>
        <w:t>2.我单位具有良好的商业信誉和健全的财务会计制度；</w:t>
      </w:r>
    </w:p>
    <w:p w14:paraId="314CE6AE">
      <w:pPr>
        <w:spacing w:line="480" w:lineRule="exact"/>
        <w:ind w:firstLine="482"/>
        <w:rPr>
          <w:rFonts w:ascii="宋体" w:hAnsi="宋体"/>
          <w:color w:val="auto"/>
          <w:sz w:val="24"/>
          <w:highlight w:val="none"/>
        </w:rPr>
      </w:pPr>
      <w:r>
        <w:rPr>
          <w:rFonts w:hint="eastAsia" w:ascii="宋体" w:hAnsi="宋体"/>
          <w:color w:val="auto"/>
          <w:sz w:val="24"/>
          <w:highlight w:val="none"/>
        </w:rPr>
        <w:t>3.我单位具有履行合同所必需的设备和专业技术能力；</w:t>
      </w:r>
    </w:p>
    <w:p w14:paraId="105639FE">
      <w:pPr>
        <w:spacing w:line="480" w:lineRule="exact"/>
        <w:ind w:firstLine="482"/>
        <w:rPr>
          <w:rFonts w:ascii="宋体" w:hAnsi="宋体"/>
          <w:color w:val="auto"/>
          <w:sz w:val="24"/>
          <w:highlight w:val="none"/>
        </w:rPr>
      </w:pPr>
      <w:r>
        <w:rPr>
          <w:rFonts w:hint="eastAsia" w:ascii="宋体" w:hAnsi="宋体"/>
          <w:color w:val="auto"/>
          <w:sz w:val="24"/>
          <w:highlight w:val="none"/>
        </w:rPr>
        <w:t>4.我单位有依法缴纳税收和社会保障资金的良好记录；</w:t>
      </w:r>
    </w:p>
    <w:p w14:paraId="32972F05">
      <w:pPr>
        <w:spacing w:line="480" w:lineRule="exact"/>
        <w:ind w:firstLine="482"/>
        <w:rPr>
          <w:rFonts w:ascii="宋体" w:hAnsi="宋体"/>
          <w:color w:val="auto"/>
          <w:sz w:val="24"/>
          <w:highlight w:val="none"/>
        </w:rPr>
      </w:pPr>
      <w:r>
        <w:rPr>
          <w:rFonts w:hint="eastAsia" w:ascii="宋体" w:hAnsi="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9C158C3">
      <w:pPr>
        <w:spacing w:line="480" w:lineRule="exact"/>
        <w:ind w:firstLine="482"/>
        <w:rPr>
          <w:rFonts w:ascii="宋体" w:hAnsi="宋体"/>
          <w:color w:val="auto"/>
          <w:sz w:val="24"/>
          <w:highlight w:val="none"/>
        </w:rPr>
      </w:pPr>
      <w:r>
        <w:rPr>
          <w:rFonts w:hint="eastAsia" w:ascii="宋体" w:hAnsi="宋体"/>
          <w:color w:val="auto"/>
          <w:sz w:val="24"/>
          <w:highlight w:val="none"/>
        </w:rPr>
        <w:t>6.我单位满足法律、行政法规规定的其他条件。</w:t>
      </w:r>
    </w:p>
    <w:p w14:paraId="06E62629">
      <w:pPr>
        <w:spacing w:line="460" w:lineRule="exact"/>
        <w:jc w:val="both"/>
        <w:rPr>
          <w:rFonts w:ascii="Times New Roman" w:hAnsi="Times New Roman"/>
          <w:bCs/>
          <w:color w:val="auto"/>
          <w:sz w:val="24"/>
          <w:szCs w:val="21"/>
          <w:highlight w:val="none"/>
        </w:rPr>
      </w:pPr>
    </w:p>
    <w:p w14:paraId="3BA3A554">
      <w:pPr>
        <w:spacing w:line="460" w:lineRule="exact"/>
        <w:jc w:val="both"/>
        <w:rPr>
          <w:rFonts w:ascii="Times New Roman" w:hAnsi="Times New Roman"/>
          <w:bCs/>
          <w:color w:val="auto"/>
          <w:sz w:val="24"/>
          <w:szCs w:val="21"/>
          <w:highlight w:val="none"/>
        </w:rPr>
      </w:pPr>
    </w:p>
    <w:p w14:paraId="55672C4D">
      <w:pPr>
        <w:spacing w:line="460" w:lineRule="exact"/>
        <w:jc w:val="center"/>
        <w:rPr>
          <w:rFonts w:ascii="Times New Roman" w:hAnsi="Times New Roman"/>
          <w:bCs/>
          <w:color w:val="auto"/>
          <w:sz w:val="24"/>
          <w:szCs w:val="21"/>
          <w:highlight w:val="none"/>
        </w:rPr>
      </w:pPr>
      <w:r>
        <w:rPr>
          <w:rFonts w:hint="eastAsia" w:ascii="Times New Roman" w:hAnsi="Times New Roman"/>
          <w:bCs/>
          <w:color w:val="auto"/>
          <w:sz w:val="24"/>
          <w:szCs w:val="21"/>
          <w:highlight w:val="none"/>
          <w:lang w:val="en-US" w:eastAsia="zh-CN"/>
        </w:rPr>
        <w:t xml:space="preserve">   </w:t>
      </w:r>
      <w:r>
        <w:rPr>
          <w:rFonts w:ascii="Times New Roman" w:hAnsi="Times New Roman"/>
          <w:bCs/>
          <w:color w:val="auto"/>
          <w:sz w:val="24"/>
          <w:szCs w:val="21"/>
          <w:highlight w:val="none"/>
        </w:rPr>
        <w:t>承诺人名称（</w:t>
      </w:r>
      <w:r>
        <w:rPr>
          <w:rFonts w:hint="eastAsia" w:ascii="宋体" w:hAnsi="宋体"/>
          <w:color w:val="auto"/>
          <w:sz w:val="24"/>
          <w:szCs w:val="24"/>
          <w:highlight w:val="none"/>
        </w:rPr>
        <w:t>加盖CA电子签章</w:t>
      </w:r>
      <w:r>
        <w:rPr>
          <w:rFonts w:ascii="Times New Roman" w:hAnsi="Times New Roman"/>
          <w:bCs/>
          <w:color w:val="auto"/>
          <w:sz w:val="24"/>
          <w:szCs w:val="21"/>
          <w:highlight w:val="none"/>
        </w:rPr>
        <w:t>）：</w:t>
      </w:r>
    </w:p>
    <w:p w14:paraId="31D6DD59">
      <w:pPr>
        <w:spacing w:line="460" w:lineRule="exact"/>
        <w:jc w:val="right"/>
        <w:rPr>
          <w:rFonts w:ascii="Times New Roman" w:hAnsi="Times New Roman"/>
          <w:bCs/>
          <w:color w:val="auto"/>
          <w:sz w:val="24"/>
          <w:szCs w:val="21"/>
          <w:highlight w:val="none"/>
        </w:rPr>
      </w:pPr>
    </w:p>
    <w:p w14:paraId="11A2DA17">
      <w:pPr>
        <w:widowControl/>
        <w:jc w:val="center"/>
        <w:rPr>
          <w:rFonts w:ascii="宋体" w:hAnsi="宋体"/>
          <w:b/>
          <w:color w:val="auto"/>
          <w:sz w:val="24"/>
          <w:szCs w:val="24"/>
          <w:highlight w:val="none"/>
        </w:rPr>
      </w:pPr>
      <w:r>
        <w:rPr>
          <w:rFonts w:ascii="Times New Roman" w:hAnsi="Times New Roman"/>
          <w:bCs/>
          <w:color w:val="auto"/>
          <w:sz w:val="24"/>
          <w:szCs w:val="21"/>
          <w:highlight w:val="none"/>
        </w:rPr>
        <w:t>日期：</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年</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月</w:t>
      </w:r>
      <w:r>
        <w:rPr>
          <w:rFonts w:hint="eastAsia" w:ascii="Times New Roman" w:hAnsi="Times New Roman"/>
          <w:bCs/>
          <w:color w:val="auto"/>
          <w:sz w:val="24"/>
          <w:szCs w:val="21"/>
          <w:highlight w:val="none"/>
        </w:rPr>
        <w:t xml:space="preserve">  </w:t>
      </w:r>
      <w:r>
        <w:rPr>
          <w:rFonts w:ascii="Times New Roman" w:hAnsi="Times New Roman"/>
          <w:bCs/>
          <w:color w:val="auto"/>
          <w:sz w:val="24"/>
          <w:szCs w:val="21"/>
          <w:highlight w:val="none"/>
        </w:rPr>
        <w:t>日</w:t>
      </w:r>
    </w:p>
    <w:p w14:paraId="5654CBEF">
      <w:pPr>
        <w:rPr>
          <w:rFonts w:hint="eastAsia" w:ascii="宋体" w:hAnsi="宋体"/>
          <w:b/>
          <w:color w:val="auto"/>
          <w:sz w:val="24"/>
          <w:szCs w:val="24"/>
          <w:highlight w:val="none"/>
        </w:rPr>
      </w:pPr>
      <w:r>
        <w:rPr>
          <w:rFonts w:hint="eastAsia" w:ascii="宋体" w:hAnsi="宋体"/>
          <w:b/>
          <w:color w:val="auto"/>
          <w:sz w:val="24"/>
          <w:szCs w:val="24"/>
          <w:highlight w:val="none"/>
        </w:rPr>
        <w:br w:type="page"/>
      </w:r>
    </w:p>
    <w:p w14:paraId="56FC5D6D">
      <w:pPr>
        <w:widowControl/>
        <w:jc w:val="left"/>
        <w:rPr>
          <w:rFonts w:hint="eastAsia" w:ascii="宋体" w:hAnsi="宋体"/>
          <w:b/>
          <w:color w:val="auto"/>
          <w:sz w:val="28"/>
          <w:szCs w:val="28"/>
          <w:highlight w:val="none"/>
        </w:rPr>
      </w:pPr>
      <w:r>
        <w:rPr>
          <w:rFonts w:hint="eastAsia" w:ascii="宋体" w:hAnsi="宋体"/>
          <w:b/>
          <w:color w:val="auto"/>
          <w:sz w:val="24"/>
          <w:szCs w:val="24"/>
          <w:highlight w:val="none"/>
        </w:rPr>
        <w:t>附件4</w:t>
      </w:r>
    </w:p>
    <w:p w14:paraId="3CF81270">
      <w:pPr>
        <w:widowControl/>
        <w:jc w:val="center"/>
        <w:rPr>
          <w:rFonts w:ascii="宋体" w:hAnsi="宋体"/>
          <w:b/>
          <w:color w:val="auto"/>
          <w:sz w:val="28"/>
          <w:szCs w:val="28"/>
          <w:highlight w:val="none"/>
        </w:rPr>
      </w:pPr>
      <w:r>
        <w:rPr>
          <w:rFonts w:hint="eastAsia" w:ascii="宋体" w:hAnsi="宋体"/>
          <w:b/>
          <w:color w:val="auto"/>
          <w:sz w:val="28"/>
          <w:szCs w:val="28"/>
          <w:highlight w:val="none"/>
        </w:rPr>
        <w:t>法定代表人身份证明书</w:t>
      </w:r>
    </w:p>
    <w:p w14:paraId="2FBE42BD">
      <w:pPr>
        <w:widowControl/>
        <w:snapToGrid w:val="0"/>
        <w:spacing w:line="360" w:lineRule="auto"/>
        <w:ind w:firstLine="480" w:firstLineChars="200"/>
        <w:textAlignment w:val="baseline"/>
        <w:rPr>
          <w:rFonts w:hint="eastAsia" w:ascii="宋体" w:hAnsi="宋体" w:cs="宋体"/>
          <w:color w:val="auto"/>
          <w:sz w:val="24"/>
          <w:szCs w:val="22"/>
          <w:highlight w:val="none"/>
        </w:rPr>
      </w:pPr>
    </w:p>
    <w:p w14:paraId="6C1DE0B0">
      <w:pPr>
        <w:widowControl/>
        <w:snapToGrid w:val="0"/>
        <w:spacing w:line="360" w:lineRule="auto"/>
        <w:ind w:firstLine="480" w:firstLineChars="200"/>
        <w:textAlignment w:val="baseline"/>
        <w:rPr>
          <w:rFonts w:ascii="宋体" w:hAnsi="宋体"/>
          <w:color w:val="auto"/>
          <w:sz w:val="24"/>
          <w:szCs w:val="22"/>
          <w:highlight w:val="none"/>
        </w:rPr>
      </w:pPr>
      <w:r>
        <w:rPr>
          <w:rFonts w:hint="eastAsia" w:ascii="宋体" w:hAnsi="宋体" w:cs="宋体"/>
          <w:color w:val="auto"/>
          <w:sz w:val="24"/>
          <w:szCs w:val="22"/>
          <w:highlight w:val="none"/>
          <w:u w:val="single" w:color="000000"/>
        </w:rPr>
        <w:t>　　　　　　　</w:t>
      </w:r>
      <w:r>
        <w:rPr>
          <w:rFonts w:hint="eastAsia" w:ascii="宋体" w:hAnsi="宋体" w:cs="宋体"/>
          <w:color w:val="auto"/>
          <w:sz w:val="24"/>
          <w:szCs w:val="22"/>
          <w:highlight w:val="none"/>
        </w:rPr>
        <w:t>（先生／女士）现任我单位</w:t>
      </w:r>
      <w:r>
        <w:rPr>
          <w:rFonts w:hint="eastAsia" w:ascii="宋体" w:hAnsi="宋体" w:cs="宋体"/>
          <w:color w:val="auto"/>
          <w:sz w:val="24"/>
          <w:szCs w:val="22"/>
          <w:highlight w:val="none"/>
          <w:u w:val="single" w:color="000000"/>
        </w:rPr>
        <w:t>　　　　　　　</w:t>
      </w:r>
      <w:r>
        <w:rPr>
          <w:rFonts w:hint="eastAsia" w:ascii="宋体" w:hAnsi="宋体" w:cs="宋体"/>
          <w:color w:val="auto"/>
          <w:sz w:val="24"/>
          <w:szCs w:val="22"/>
          <w:highlight w:val="none"/>
        </w:rPr>
        <w:t>职务，为法定代表人，特此证明。</w:t>
      </w:r>
    </w:p>
    <w:p w14:paraId="31EEFEDB">
      <w:pPr>
        <w:widowControl/>
        <w:snapToGrid w:val="0"/>
        <w:spacing w:line="360" w:lineRule="auto"/>
        <w:ind w:firstLine="480" w:firstLineChars="200"/>
        <w:textAlignment w:val="baseline"/>
        <w:rPr>
          <w:rFonts w:ascii="宋体" w:hAnsi="宋体"/>
          <w:color w:val="auto"/>
          <w:sz w:val="24"/>
          <w:szCs w:val="22"/>
          <w:highlight w:val="none"/>
          <w:u w:val="single"/>
        </w:rPr>
      </w:pPr>
      <w:r>
        <w:rPr>
          <w:rFonts w:hint="eastAsia" w:ascii="宋体" w:hAnsi="宋体" w:cs="宋体"/>
          <w:color w:val="auto"/>
          <w:sz w:val="24"/>
          <w:szCs w:val="22"/>
          <w:highlight w:val="none"/>
        </w:rPr>
        <w:t>身份证号码：</w:t>
      </w:r>
      <w:r>
        <w:rPr>
          <w:rFonts w:hint="eastAsia" w:ascii="宋体" w:hAnsi="宋体" w:cs="宋体"/>
          <w:color w:val="auto"/>
          <w:sz w:val="24"/>
          <w:szCs w:val="22"/>
          <w:highlight w:val="none"/>
          <w:u w:val="single" w:color="000000"/>
        </w:rPr>
        <w:t>　　　　　　　</w:t>
      </w:r>
    </w:p>
    <w:p w14:paraId="54D50321">
      <w:pPr>
        <w:widowControl/>
        <w:snapToGrid w:val="0"/>
        <w:spacing w:line="360" w:lineRule="auto"/>
        <w:ind w:firstLine="484" w:firstLineChars="202"/>
        <w:jc w:val="right"/>
        <w:textAlignment w:val="baseline"/>
        <w:rPr>
          <w:rFonts w:hint="eastAsia" w:ascii="宋体" w:hAnsi="宋体" w:eastAsia="宋体"/>
          <w:color w:val="auto"/>
          <w:sz w:val="24"/>
          <w:szCs w:val="22"/>
          <w:highlight w:val="none"/>
          <w:lang w:eastAsia="zh-CN"/>
        </w:rPr>
      </w:pPr>
      <w:r>
        <w:rPr>
          <w:rFonts w:hint="eastAsia" w:ascii="宋体" w:hAnsi="宋体" w:cs="宋体"/>
          <w:color w:val="auto"/>
          <w:sz w:val="24"/>
          <w:szCs w:val="22"/>
          <w:highlight w:val="none"/>
        </w:rPr>
        <w:t>供应商（</w:t>
      </w:r>
      <w:r>
        <w:rPr>
          <w:rFonts w:hint="eastAsia" w:ascii="宋体" w:hAnsi="宋体"/>
          <w:color w:val="auto"/>
          <w:sz w:val="24"/>
          <w:szCs w:val="24"/>
          <w:highlight w:val="none"/>
        </w:rPr>
        <w:t>加盖CA电子签章</w:t>
      </w:r>
      <w:r>
        <w:rPr>
          <w:rFonts w:hint="eastAsia" w:ascii="宋体" w:hAnsi="宋体" w:cs="宋体"/>
          <w:color w:val="auto"/>
          <w:sz w:val="24"/>
          <w:szCs w:val="22"/>
          <w:highlight w:val="none"/>
        </w:rPr>
        <w:t>）</w:t>
      </w:r>
      <w:r>
        <w:rPr>
          <w:rFonts w:hint="eastAsia" w:ascii="宋体" w:hAnsi="宋体" w:cs="宋体"/>
          <w:color w:val="auto"/>
          <w:sz w:val="24"/>
          <w:szCs w:val="22"/>
          <w:highlight w:val="none"/>
          <w:lang w:eastAsia="zh-CN"/>
        </w:rPr>
        <w:t>：</w:t>
      </w:r>
      <w:r>
        <w:rPr>
          <w:rFonts w:hint="eastAsia" w:ascii="宋体" w:hAnsi="宋体" w:cs="宋体"/>
          <w:color w:val="auto"/>
          <w:sz w:val="24"/>
          <w:szCs w:val="22"/>
          <w:highlight w:val="none"/>
          <w:u w:val="single" w:color="000000"/>
        </w:rPr>
        <w:t>　　　　　　　</w:t>
      </w:r>
    </w:p>
    <w:p w14:paraId="639056C4">
      <w:pPr>
        <w:widowControl/>
        <w:snapToGrid w:val="0"/>
        <w:spacing w:line="360" w:lineRule="auto"/>
        <w:ind w:firstLine="484" w:firstLineChars="202"/>
        <w:jc w:val="right"/>
        <w:textAlignment w:val="baseline"/>
        <w:rPr>
          <w:rFonts w:ascii="宋体" w:hAnsi="宋体" w:cs="宋体"/>
          <w:color w:val="auto"/>
          <w:sz w:val="24"/>
          <w:szCs w:val="22"/>
          <w:highlight w:val="none"/>
        </w:rPr>
      </w:pP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p>
    <w:p w14:paraId="73318493">
      <w:pPr>
        <w:widowControl/>
        <w:snapToGrid w:val="0"/>
        <w:spacing w:line="360" w:lineRule="auto"/>
        <w:ind w:right="960" w:firstLine="487" w:firstLineChars="202"/>
        <w:textAlignment w:val="baseline"/>
        <w:rPr>
          <w:rFonts w:ascii="宋体" w:hAnsi="宋体" w:cs="宋体"/>
          <w:b/>
          <w:bCs/>
          <w:color w:val="auto"/>
          <w:sz w:val="24"/>
          <w:szCs w:val="22"/>
          <w:highlight w:val="none"/>
        </w:rPr>
      </w:pPr>
      <w:r>
        <w:rPr>
          <w:rFonts w:hint="eastAsia" w:ascii="宋体" w:hAnsi="宋体" w:cs="宋体"/>
          <w:b/>
          <w:bCs/>
          <w:color w:val="auto"/>
          <w:sz w:val="24"/>
          <w:szCs w:val="22"/>
          <w:highlight w:val="none"/>
        </w:rPr>
        <w:t>注：提供法定代表人的身份证扫描件（正、反面）</w:t>
      </w:r>
    </w:p>
    <w:p w14:paraId="5880C604">
      <w:pPr>
        <w:pStyle w:val="49"/>
        <w:ind w:firstLine="0" w:firstLineChars="0"/>
        <w:rPr>
          <w:rFonts w:ascii="宋体" w:hAnsi="宋体" w:eastAsia="宋体"/>
          <w:b/>
          <w:color w:val="auto"/>
          <w:kern w:val="2"/>
          <w:sz w:val="24"/>
          <w:szCs w:val="24"/>
          <w:highlight w:val="none"/>
        </w:rPr>
      </w:pPr>
    </w:p>
    <w:p w14:paraId="0A239F44">
      <w:pPr>
        <w:pStyle w:val="49"/>
        <w:ind w:firstLine="0" w:firstLineChars="0"/>
        <w:rPr>
          <w:rFonts w:ascii="宋体" w:hAnsi="宋体" w:eastAsia="宋体"/>
          <w:b/>
          <w:color w:val="auto"/>
          <w:kern w:val="2"/>
          <w:sz w:val="24"/>
          <w:szCs w:val="24"/>
          <w:highlight w:val="none"/>
        </w:rPr>
      </w:pPr>
    </w:p>
    <w:p w14:paraId="4E3A587E">
      <w:pPr>
        <w:pStyle w:val="49"/>
        <w:ind w:firstLine="0" w:firstLineChars="0"/>
        <w:rPr>
          <w:rFonts w:hint="eastAsia" w:ascii="宋体" w:hAnsi="宋体" w:eastAsia="宋体"/>
          <w:b/>
          <w:color w:val="auto"/>
          <w:kern w:val="2"/>
          <w:sz w:val="24"/>
          <w:szCs w:val="24"/>
          <w:highlight w:val="none"/>
          <w:lang w:eastAsia="zh-CN"/>
        </w:rPr>
      </w:pPr>
      <w:r>
        <w:rPr>
          <w:rFonts w:hint="eastAsia" w:ascii="宋体" w:hAnsi="宋体" w:eastAsia="宋体"/>
          <w:b/>
          <w:color w:val="auto"/>
          <w:kern w:val="2"/>
          <w:sz w:val="24"/>
          <w:szCs w:val="24"/>
          <w:highlight w:val="none"/>
        </w:rPr>
        <w:br w:type="page"/>
      </w:r>
      <w:r>
        <w:rPr>
          <w:rFonts w:hint="eastAsia" w:ascii="宋体" w:hAnsi="宋体" w:eastAsia="宋体"/>
          <w:b/>
          <w:color w:val="auto"/>
          <w:kern w:val="2"/>
          <w:sz w:val="24"/>
          <w:szCs w:val="24"/>
          <w:highlight w:val="none"/>
        </w:rPr>
        <w:t>附件</w:t>
      </w:r>
      <w:r>
        <w:rPr>
          <w:rFonts w:hint="eastAsia" w:ascii="宋体" w:hAnsi="宋体" w:eastAsia="宋体"/>
          <w:b/>
          <w:color w:val="auto"/>
          <w:kern w:val="2"/>
          <w:sz w:val="24"/>
          <w:szCs w:val="24"/>
          <w:highlight w:val="none"/>
          <w:lang w:eastAsia="zh-CN"/>
        </w:rPr>
        <w:t>5</w:t>
      </w:r>
    </w:p>
    <w:p w14:paraId="33F22931">
      <w:pPr>
        <w:pStyle w:val="49"/>
        <w:spacing w:line="480" w:lineRule="auto"/>
        <w:ind w:firstLine="0" w:firstLineChars="0"/>
        <w:jc w:val="center"/>
        <w:rPr>
          <w:rFonts w:ascii="宋体" w:hAnsi="宋体" w:eastAsia="宋体"/>
          <w:b/>
          <w:color w:val="auto"/>
          <w:kern w:val="2"/>
          <w:sz w:val="28"/>
          <w:szCs w:val="28"/>
          <w:highlight w:val="none"/>
        </w:rPr>
      </w:pPr>
      <w:r>
        <w:rPr>
          <w:rFonts w:hint="eastAsia" w:ascii="宋体" w:hAnsi="宋体" w:eastAsia="宋体"/>
          <w:b/>
          <w:color w:val="auto"/>
          <w:kern w:val="2"/>
          <w:sz w:val="28"/>
          <w:szCs w:val="28"/>
          <w:highlight w:val="none"/>
        </w:rPr>
        <w:t>法人授权书</w:t>
      </w:r>
    </w:p>
    <w:p w14:paraId="5416DDBD">
      <w:pPr>
        <w:pStyle w:val="247"/>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本授权书声明：____________（</w:t>
      </w:r>
      <w:r>
        <w:rPr>
          <w:rFonts w:hint="eastAsia" w:ascii="宋体" w:hAnsi="宋体"/>
          <w:color w:val="auto"/>
          <w:sz w:val="24"/>
          <w:szCs w:val="24"/>
          <w:highlight w:val="none"/>
          <w:lang w:val="en-US" w:eastAsia="zh-CN"/>
        </w:rPr>
        <w:t>供应商</w:t>
      </w:r>
      <w:r>
        <w:rPr>
          <w:rFonts w:hint="eastAsia" w:ascii="宋体" w:hAnsi="宋体"/>
          <w:color w:val="auto"/>
          <w:sz w:val="24"/>
          <w:szCs w:val="24"/>
          <w:highlight w:val="none"/>
        </w:rPr>
        <w:t>名称）授权________________（被授权人的姓名）为我方就</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项目编号</w:t>
      </w:r>
      <w:r>
        <w:rPr>
          <w:rFonts w:hint="eastAsia" w:ascii="宋体" w:hAnsi="宋体"/>
          <w:color w:val="auto"/>
          <w:sz w:val="24"/>
          <w:szCs w:val="24"/>
          <w:highlight w:val="none"/>
          <w:lang w:eastAsia="zh-CN"/>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项目</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项目名称</w:t>
      </w:r>
      <w:r>
        <w:rPr>
          <w:rFonts w:hint="eastAsia" w:ascii="宋体" w:hAnsi="宋体"/>
          <w:color w:val="auto"/>
          <w:sz w:val="24"/>
          <w:szCs w:val="24"/>
          <w:highlight w:val="none"/>
          <w:lang w:eastAsia="zh-CN"/>
        </w:rPr>
        <w:t>）</w:t>
      </w:r>
      <w:r>
        <w:rPr>
          <w:rFonts w:hint="eastAsia" w:ascii="宋体" w:hAnsi="宋体"/>
          <w:color w:val="auto"/>
          <w:sz w:val="24"/>
          <w:szCs w:val="24"/>
          <w:highlight w:val="none"/>
        </w:rPr>
        <w:t>采购活动的合法代理人，以本单位名义全权处理一切与该项目采购有关的事务。</w:t>
      </w:r>
    </w:p>
    <w:p w14:paraId="1F3E9946">
      <w:pPr>
        <w:pStyle w:val="247"/>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本授权书于______年____月____日起生效，特此声明。</w:t>
      </w:r>
    </w:p>
    <w:p w14:paraId="0FCA6BBD">
      <w:pPr>
        <w:pStyle w:val="24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rPr>
        <w:t>被授权人身份证号码：</w:t>
      </w:r>
    </w:p>
    <w:p w14:paraId="5F968F91">
      <w:pPr>
        <w:pStyle w:val="24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u w:val="single"/>
        </w:rPr>
      </w:pPr>
      <w:r>
        <w:rPr>
          <w:rFonts w:hint="eastAsia" w:ascii="宋体" w:hAnsi="宋体"/>
          <w:color w:val="auto"/>
          <w:sz w:val="24"/>
          <w:szCs w:val="24"/>
          <w:highlight w:val="none"/>
        </w:rPr>
        <w:t>被授权人联系电话：（手机）</w:t>
      </w:r>
    </w:p>
    <w:p w14:paraId="7CD66EB1">
      <w:pPr>
        <w:pStyle w:val="247"/>
        <w:spacing w:line="480" w:lineRule="auto"/>
        <w:ind w:firstLine="1200" w:firstLineChars="500"/>
        <w:jc w:val="right"/>
        <w:rPr>
          <w:rFonts w:ascii="宋体" w:hAnsi="宋体"/>
          <w:color w:val="auto"/>
          <w:sz w:val="24"/>
          <w:szCs w:val="24"/>
          <w:highlight w:val="none"/>
        </w:rPr>
      </w:pPr>
      <w:r>
        <w:rPr>
          <w:rFonts w:hint="eastAsia" w:ascii="宋体" w:hAnsi="宋体"/>
          <w:color w:val="auto"/>
          <w:sz w:val="24"/>
          <w:szCs w:val="24"/>
          <w:highlight w:val="none"/>
        </w:rPr>
        <w:t>授权单位名称：</w:t>
      </w:r>
      <w:r>
        <w:rPr>
          <w:rFonts w:hint="eastAsia" w:ascii="宋体" w:hAnsi="宋体"/>
          <w:color w:val="auto"/>
          <w:sz w:val="24"/>
          <w:szCs w:val="24"/>
          <w:highlight w:val="none"/>
          <w:u w:val="single"/>
        </w:rPr>
        <w:t>（加盖CA电子签章）</w:t>
      </w:r>
    </w:p>
    <w:p w14:paraId="48795A76">
      <w:pPr>
        <w:widowControl/>
        <w:snapToGrid w:val="0"/>
        <w:spacing w:line="480" w:lineRule="auto"/>
        <w:ind w:firstLine="484" w:firstLineChars="202"/>
        <w:jc w:val="right"/>
        <w:textAlignment w:val="baseline"/>
        <w:rPr>
          <w:rFonts w:ascii="宋体" w:hAnsi="宋体" w:cs="宋体"/>
          <w:color w:val="auto"/>
          <w:sz w:val="24"/>
          <w:szCs w:val="22"/>
          <w:highlight w:val="none"/>
        </w:rPr>
      </w:pPr>
      <w:r>
        <w:rPr>
          <w:rFonts w:hint="eastAsia" w:ascii="宋体" w:hAnsi="宋体"/>
          <w:color w:val="auto"/>
          <w:sz w:val="24"/>
          <w:szCs w:val="24"/>
          <w:highlight w:val="none"/>
        </w:rPr>
        <w:t>日期：</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p>
    <w:p w14:paraId="44588575">
      <w:pPr>
        <w:widowControl/>
        <w:snapToGrid w:val="0"/>
        <w:spacing w:line="360" w:lineRule="auto"/>
        <w:ind w:right="960" w:firstLine="487" w:firstLineChars="202"/>
        <w:textAlignment w:val="baseline"/>
        <w:rPr>
          <w:rFonts w:ascii="宋体" w:hAnsi="宋体" w:cs="宋体"/>
          <w:b/>
          <w:bCs/>
          <w:color w:val="auto"/>
          <w:sz w:val="24"/>
          <w:szCs w:val="22"/>
          <w:highlight w:val="none"/>
        </w:rPr>
      </w:pPr>
      <w:r>
        <w:rPr>
          <w:rFonts w:hint="eastAsia" w:ascii="宋体" w:hAnsi="宋体" w:cs="宋体"/>
          <w:b/>
          <w:bCs/>
          <w:color w:val="auto"/>
          <w:sz w:val="24"/>
          <w:szCs w:val="22"/>
          <w:highlight w:val="none"/>
        </w:rPr>
        <w:t>注：提供被授权人的身份证扫描件（正、反面）</w:t>
      </w:r>
    </w:p>
    <w:p w14:paraId="161BA232">
      <w:pPr>
        <w:pStyle w:val="49"/>
        <w:ind w:firstLine="0" w:firstLineChars="0"/>
        <w:rPr>
          <w:rFonts w:ascii="宋体" w:hAnsi="宋体" w:eastAsia="宋体"/>
          <w:b/>
          <w:color w:val="auto"/>
          <w:kern w:val="2"/>
          <w:sz w:val="24"/>
          <w:szCs w:val="24"/>
          <w:highlight w:val="none"/>
        </w:rPr>
      </w:pPr>
    </w:p>
    <w:p w14:paraId="35A5E45D">
      <w:pPr>
        <w:pStyle w:val="247"/>
        <w:spacing w:line="360" w:lineRule="auto"/>
        <w:ind w:firstLine="480"/>
        <w:jc w:val="right"/>
        <w:rPr>
          <w:rFonts w:ascii="宋体" w:hAnsi="宋体"/>
          <w:color w:val="auto"/>
          <w:sz w:val="24"/>
          <w:szCs w:val="24"/>
          <w:highlight w:val="none"/>
        </w:rPr>
      </w:pPr>
    </w:p>
    <w:p w14:paraId="7A310D97">
      <w:pPr>
        <w:spacing w:line="460" w:lineRule="exact"/>
        <w:rPr>
          <w:rFonts w:ascii="宋体" w:hAnsi="宋体"/>
          <w:bCs/>
          <w:color w:val="auto"/>
          <w:sz w:val="24"/>
          <w:szCs w:val="24"/>
          <w:highlight w:val="none"/>
        </w:rPr>
      </w:pPr>
    </w:p>
    <w:p w14:paraId="3ABEC325">
      <w:pPr>
        <w:widowControl/>
        <w:jc w:val="left"/>
        <w:rPr>
          <w:rFonts w:ascii="宋体" w:hAnsi="宋体"/>
          <w:b/>
          <w:color w:val="auto"/>
          <w:sz w:val="24"/>
          <w:szCs w:val="24"/>
          <w:highlight w:val="none"/>
        </w:rPr>
      </w:pPr>
    </w:p>
    <w:p w14:paraId="53373A0E">
      <w:pPr>
        <w:pStyle w:val="49"/>
        <w:ind w:firstLine="0" w:firstLineChars="0"/>
        <w:rPr>
          <w:rFonts w:hint="eastAsia" w:ascii="宋体" w:hAnsi="宋体" w:eastAsia="宋体"/>
          <w:b/>
          <w:color w:val="auto"/>
          <w:kern w:val="2"/>
          <w:sz w:val="24"/>
          <w:szCs w:val="24"/>
          <w:highlight w:val="none"/>
          <w:lang w:eastAsia="zh-CN"/>
        </w:rPr>
      </w:pPr>
      <w:r>
        <w:rPr>
          <w:rFonts w:hint="eastAsia" w:ascii="宋体" w:hAnsi="宋体" w:eastAsia="宋体"/>
          <w:b/>
          <w:color w:val="auto"/>
          <w:kern w:val="2"/>
          <w:sz w:val="24"/>
          <w:szCs w:val="24"/>
          <w:highlight w:val="none"/>
        </w:rPr>
        <w:br w:type="page"/>
      </w:r>
      <w:r>
        <w:rPr>
          <w:rFonts w:hint="eastAsia" w:ascii="宋体" w:hAnsi="宋体" w:eastAsia="宋体"/>
          <w:b/>
          <w:color w:val="auto"/>
          <w:kern w:val="2"/>
          <w:sz w:val="24"/>
          <w:szCs w:val="24"/>
          <w:highlight w:val="none"/>
        </w:rPr>
        <w:t>附件</w:t>
      </w:r>
      <w:r>
        <w:rPr>
          <w:rFonts w:hint="eastAsia" w:ascii="宋体" w:hAnsi="宋体" w:eastAsia="宋体"/>
          <w:b/>
          <w:color w:val="auto"/>
          <w:kern w:val="2"/>
          <w:sz w:val="24"/>
          <w:szCs w:val="24"/>
          <w:highlight w:val="none"/>
          <w:lang w:eastAsia="zh-CN"/>
        </w:rPr>
        <w:t>6</w:t>
      </w:r>
    </w:p>
    <w:p w14:paraId="46284B6F">
      <w:pPr>
        <w:pStyle w:val="49"/>
        <w:ind w:firstLine="0" w:firstLineChars="0"/>
        <w:jc w:val="center"/>
        <w:rPr>
          <w:rFonts w:ascii="宋体" w:hAnsi="宋体" w:eastAsia="宋体"/>
          <w:b/>
          <w:color w:val="auto"/>
          <w:kern w:val="2"/>
          <w:sz w:val="28"/>
          <w:szCs w:val="28"/>
          <w:highlight w:val="none"/>
        </w:rPr>
      </w:pPr>
      <w:r>
        <w:rPr>
          <w:rFonts w:hint="eastAsia" w:ascii="宋体" w:hAnsi="宋体" w:eastAsia="宋体"/>
          <w:b/>
          <w:color w:val="auto"/>
          <w:kern w:val="2"/>
          <w:sz w:val="28"/>
          <w:szCs w:val="28"/>
          <w:highlight w:val="none"/>
        </w:rPr>
        <w:t>磋商响应函</w:t>
      </w:r>
    </w:p>
    <w:p w14:paraId="6A43540D">
      <w:pPr>
        <w:pStyle w:val="2"/>
        <w:spacing w:before="0" w:after="0" w:line="420" w:lineRule="exact"/>
        <w:ind w:firstLine="0"/>
        <w:rPr>
          <w:rFonts w:hint="default" w:ascii="宋体" w:hAnsi="宋体" w:eastAsia="宋体"/>
          <w:color w:val="auto"/>
          <w:kern w:val="2"/>
          <w:szCs w:val="21"/>
          <w:highlight w:val="none"/>
          <w:u w:val="single"/>
          <w:lang w:val="en-US" w:eastAsia="zh-CN"/>
        </w:rPr>
      </w:pPr>
      <w:r>
        <w:rPr>
          <w:rFonts w:hint="eastAsia" w:ascii="宋体" w:hAnsi="宋体"/>
          <w:color w:val="auto"/>
          <w:kern w:val="2"/>
          <w:szCs w:val="21"/>
          <w:highlight w:val="none"/>
        </w:rPr>
        <w:t>致：</w:t>
      </w:r>
      <w:r>
        <w:rPr>
          <w:rFonts w:hint="eastAsia" w:ascii="宋体" w:hAnsi="宋体"/>
          <w:color w:val="auto"/>
          <w:kern w:val="2"/>
          <w:szCs w:val="21"/>
          <w:highlight w:val="none"/>
          <w:u w:val="single"/>
          <w:lang w:val="en-US" w:eastAsia="zh-CN"/>
        </w:rPr>
        <w:t xml:space="preserve">           （采购人） </w:t>
      </w:r>
    </w:p>
    <w:p w14:paraId="40E9DA84">
      <w:pPr>
        <w:pStyle w:val="2"/>
        <w:spacing w:before="0" w:after="0" w:line="420" w:lineRule="exact"/>
        <w:ind w:firstLineChars="200"/>
        <w:rPr>
          <w:rFonts w:ascii="宋体" w:hAnsi="宋体"/>
          <w:color w:val="auto"/>
          <w:kern w:val="2"/>
          <w:szCs w:val="21"/>
          <w:highlight w:val="none"/>
        </w:rPr>
      </w:pPr>
      <w:r>
        <w:rPr>
          <w:rFonts w:hint="eastAsia" w:ascii="宋体" w:hAnsi="宋体"/>
          <w:color w:val="auto"/>
          <w:kern w:val="2"/>
          <w:szCs w:val="21"/>
          <w:highlight w:val="none"/>
        </w:rPr>
        <w:t>根据贵方的</w:t>
      </w:r>
      <w:r>
        <w:rPr>
          <w:rFonts w:hint="eastAsia" w:ascii="宋体" w:hAnsi="宋体"/>
          <w:color w:val="auto"/>
          <w:kern w:val="2"/>
          <w:szCs w:val="21"/>
          <w:highlight w:val="none"/>
          <w:u w:val="single"/>
          <w:lang w:val="en-US" w:eastAsia="zh-CN"/>
        </w:rPr>
        <w:t xml:space="preserve">            </w:t>
      </w:r>
      <w:r>
        <w:rPr>
          <w:rFonts w:hint="eastAsia" w:ascii="宋体" w:hAnsi="宋体"/>
          <w:color w:val="auto"/>
          <w:kern w:val="2"/>
          <w:szCs w:val="21"/>
          <w:highlight w:val="none"/>
        </w:rPr>
        <w:t>号</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项目编号</w:t>
      </w:r>
      <w:r>
        <w:rPr>
          <w:rFonts w:hint="eastAsia" w:ascii="宋体" w:hAnsi="宋体"/>
          <w:color w:val="auto"/>
          <w:sz w:val="24"/>
          <w:szCs w:val="24"/>
          <w:highlight w:val="none"/>
          <w:lang w:eastAsia="zh-CN"/>
        </w:rPr>
        <w:t>）</w:t>
      </w:r>
      <w:r>
        <w:rPr>
          <w:rFonts w:hint="eastAsia" w:ascii="宋体" w:hAnsi="宋体"/>
          <w:color w:val="auto"/>
          <w:kern w:val="2"/>
          <w:szCs w:val="21"/>
          <w:highlight w:val="none"/>
          <w:lang w:val="en-US" w:eastAsia="zh-CN"/>
        </w:rPr>
        <w:t>磋商</w:t>
      </w:r>
      <w:r>
        <w:rPr>
          <w:rFonts w:hint="eastAsia" w:ascii="宋体" w:hAnsi="宋体"/>
          <w:color w:val="auto"/>
          <w:kern w:val="2"/>
          <w:szCs w:val="21"/>
          <w:highlight w:val="none"/>
        </w:rPr>
        <w:t>文件，正式授权下述签字人______(姓名)代表我方______________（供应商的名称），全权处理本次项目</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的有关事宜。</w:t>
      </w:r>
    </w:p>
    <w:p w14:paraId="53171E3D">
      <w:pPr>
        <w:pStyle w:val="2"/>
        <w:spacing w:before="0" w:after="0" w:line="420" w:lineRule="exact"/>
        <w:ind w:firstLineChars="200"/>
        <w:rPr>
          <w:rFonts w:ascii="宋体" w:hAnsi="宋体"/>
          <w:color w:val="auto"/>
          <w:kern w:val="2"/>
          <w:szCs w:val="21"/>
          <w:highlight w:val="none"/>
        </w:rPr>
      </w:pPr>
      <w:r>
        <w:rPr>
          <w:rFonts w:hint="eastAsia" w:ascii="宋体" w:hAnsi="宋体"/>
          <w:color w:val="auto"/>
          <w:kern w:val="2"/>
          <w:szCs w:val="21"/>
          <w:highlight w:val="none"/>
        </w:rPr>
        <w:t>据此函，签字人__________兹宣布同意如下：</w:t>
      </w:r>
    </w:p>
    <w:p w14:paraId="7EF4E864">
      <w:pPr>
        <w:pStyle w:val="2"/>
        <w:spacing w:before="0" w:after="0" w:line="420" w:lineRule="exact"/>
        <w:rPr>
          <w:rFonts w:ascii="宋体" w:hAnsi="宋体"/>
          <w:color w:val="auto"/>
          <w:kern w:val="2"/>
          <w:szCs w:val="21"/>
          <w:highlight w:val="none"/>
        </w:rPr>
      </w:pPr>
      <w:r>
        <w:rPr>
          <w:rFonts w:hint="eastAsia" w:ascii="宋体" w:hAnsi="宋体"/>
          <w:color w:val="auto"/>
          <w:kern w:val="2"/>
          <w:szCs w:val="21"/>
          <w:highlight w:val="none"/>
        </w:rPr>
        <w:t>1.按磋商文件规定的各项要求，向买方提供所需</w:t>
      </w:r>
      <w:r>
        <w:rPr>
          <w:rFonts w:hint="eastAsia" w:ascii="宋体" w:hAnsi="宋体" w:eastAsia="宋体" w:cs="宋体"/>
          <w:color w:val="auto"/>
          <w:sz w:val="24"/>
          <w:szCs w:val="21"/>
          <w:highlight w:val="none"/>
        </w:rPr>
        <w:t>货物、服务（包含与货物相关的服务及与服务相关的货物）</w:t>
      </w:r>
      <w:r>
        <w:rPr>
          <w:rFonts w:hint="eastAsia" w:ascii="宋体" w:hAnsi="宋体" w:eastAsia="宋体" w:cs="宋体"/>
          <w:color w:val="auto"/>
          <w:sz w:val="24"/>
          <w:szCs w:val="21"/>
          <w:highlight w:val="none"/>
          <w:lang w:eastAsia="zh-CN"/>
        </w:rPr>
        <w:t>、工程等</w:t>
      </w:r>
      <w:r>
        <w:rPr>
          <w:rFonts w:hint="eastAsia" w:ascii="宋体" w:hAnsi="宋体"/>
          <w:color w:val="auto"/>
          <w:kern w:val="2"/>
          <w:szCs w:val="21"/>
          <w:highlight w:val="none"/>
        </w:rPr>
        <w:t>。</w:t>
      </w:r>
    </w:p>
    <w:p w14:paraId="06149EF4">
      <w:pPr>
        <w:pStyle w:val="2"/>
        <w:spacing w:before="0" w:after="0" w:line="420" w:lineRule="exact"/>
        <w:ind w:firstLineChars="200"/>
        <w:rPr>
          <w:rFonts w:ascii="宋体" w:hAnsi="宋体"/>
          <w:color w:val="auto"/>
          <w:kern w:val="2"/>
          <w:szCs w:val="21"/>
          <w:highlight w:val="none"/>
        </w:rPr>
      </w:pPr>
      <w:r>
        <w:rPr>
          <w:rFonts w:hint="eastAsia" w:ascii="宋体" w:hAnsi="宋体"/>
          <w:color w:val="auto"/>
          <w:kern w:val="2"/>
          <w:szCs w:val="21"/>
          <w:highlight w:val="none"/>
        </w:rPr>
        <w:t>2.我们完全理解贵方不一定将合同授予最低报价的投标人。</w:t>
      </w:r>
    </w:p>
    <w:p w14:paraId="69A6C838">
      <w:pPr>
        <w:pStyle w:val="2"/>
        <w:spacing w:before="0" w:after="0" w:line="420" w:lineRule="exact"/>
        <w:ind w:firstLineChars="200"/>
        <w:rPr>
          <w:rFonts w:ascii="宋体" w:hAnsi="宋体"/>
          <w:color w:val="auto"/>
          <w:kern w:val="2"/>
          <w:szCs w:val="21"/>
          <w:highlight w:val="none"/>
        </w:rPr>
      </w:pPr>
      <w:r>
        <w:rPr>
          <w:rFonts w:hint="eastAsia" w:ascii="宋体" w:hAnsi="宋体"/>
          <w:color w:val="auto"/>
          <w:kern w:val="2"/>
          <w:szCs w:val="21"/>
          <w:highlight w:val="none"/>
        </w:rPr>
        <w:t>3.我们已详细审核全部</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文件及其有效补充文件，我们知道必须放弃提出含糊不清或误解问题的权利。</w:t>
      </w:r>
    </w:p>
    <w:p w14:paraId="7E2E368F">
      <w:pPr>
        <w:pStyle w:val="2"/>
        <w:spacing w:before="0" w:after="0" w:line="420" w:lineRule="exact"/>
        <w:rPr>
          <w:rFonts w:ascii="宋体" w:hAnsi="宋体"/>
          <w:color w:val="auto"/>
          <w:kern w:val="2"/>
          <w:szCs w:val="21"/>
          <w:highlight w:val="none"/>
        </w:rPr>
      </w:pPr>
      <w:r>
        <w:rPr>
          <w:rFonts w:hint="eastAsia" w:ascii="宋体" w:hAnsi="宋体"/>
          <w:color w:val="auto"/>
          <w:kern w:val="2"/>
          <w:szCs w:val="21"/>
          <w:highlight w:val="none"/>
        </w:rPr>
        <w:t>4.我们同意从规定的开标日期起遵循本</w:t>
      </w:r>
      <w:r>
        <w:rPr>
          <w:rFonts w:hint="eastAsia" w:ascii="宋体" w:hAnsi="宋体"/>
          <w:color w:val="auto"/>
          <w:kern w:val="2"/>
          <w:szCs w:val="21"/>
          <w:highlight w:val="none"/>
          <w:lang w:val="en-US" w:eastAsia="zh-CN"/>
        </w:rPr>
        <w:t>响应</w:t>
      </w:r>
      <w:r>
        <w:rPr>
          <w:rFonts w:hint="eastAsia" w:ascii="宋体" w:hAnsi="宋体"/>
          <w:color w:val="auto"/>
          <w:kern w:val="2"/>
          <w:szCs w:val="21"/>
          <w:highlight w:val="none"/>
        </w:rPr>
        <w:t>文件，并在规定的</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有效期期满之前均具有约束力。</w:t>
      </w:r>
    </w:p>
    <w:p w14:paraId="45994032">
      <w:pPr>
        <w:pStyle w:val="2"/>
        <w:spacing w:before="0" w:after="0" w:line="420" w:lineRule="exact"/>
        <w:rPr>
          <w:rFonts w:ascii="宋体" w:hAnsi="宋体"/>
          <w:color w:val="auto"/>
          <w:kern w:val="2"/>
          <w:szCs w:val="21"/>
          <w:highlight w:val="none"/>
        </w:rPr>
      </w:pPr>
      <w:r>
        <w:rPr>
          <w:rFonts w:ascii="宋体" w:hAnsi="宋体"/>
          <w:color w:val="auto"/>
          <w:kern w:val="2"/>
          <w:szCs w:val="21"/>
          <w:highlight w:val="none"/>
        </w:rPr>
        <w:t>5</w:t>
      </w:r>
      <w:r>
        <w:rPr>
          <w:rFonts w:hint="eastAsia" w:ascii="宋体" w:hAnsi="宋体"/>
          <w:color w:val="auto"/>
          <w:kern w:val="2"/>
          <w:szCs w:val="21"/>
          <w:highlight w:val="none"/>
        </w:rPr>
        <w:t>.同意向贵方提供贵方可能另外要求的与</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有关的任何证据或资料，并保证我方已提供和将要提供的文件是真实的、准确的。</w:t>
      </w:r>
    </w:p>
    <w:p w14:paraId="339B31D3">
      <w:pPr>
        <w:pStyle w:val="2"/>
        <w:spacing w:before="0" w:after="0" w:line="420" w:lineRule="exact"/>
        <w:rPr>
          <w:rFonts w:ascii="宋体" w:hAnsi="宋体"/>
          <w:color w:val="auto"/>
          <w:kern w:val="2"/>
          <w:szCs w:val="21"/>
          <w:highlight w:val="none"/>
        </w:rPr>
      </w:pPr>
      <w:r>
        <w:rPr>
          <w:rFonts w:ascii="宋体" w:hAnsi="宋体"/>
          <w:color w:val="auto"/>
          <w:kern w:val="2"/>
          <w:szCs w:val="21"/>
          <w:highlight w:val="none"/>
        </w:rPr>
        <w:t>6</w:t>
      </w:r>
      <w:r>
        <w:rPr>
          <w:rFonts w:hint="eastAsia" w:ascii="宋体" w:hAnsi="宋体"/>
          <w:color w:val="auto"/>
          <w:kern w:val="2"/>
          <w:szCs w:val="21"/>
          <w:highlight w:val="none"/>
        </w:rPr>
        <w:t>.一旦我方中标</w:t>
      </w:r>
      <w:r>
        <w:rPr>
          <w:rFonts w:hint="eastAsia" w:ascii="宋体" w:hAnsi="宋体"/>
          <w:color w:val="auto"/>
          <w:kern w:val="2"/>
          <w:szCs w:val="21"/>
          <w:highlight w:val="none"/>
          <w:lang w:eastAsia="zh-CN"/>
        </w:rPr>
        <w:t>，</w:t>
      </w:r>
      <w:r>
        <w:rPr>
          <w:rFonts w:hint="eastAsia" w:ascii="宋体" w:hAnsi="宋体"/>
          <w:color w:val="auto"/>
          <w:kern w:val="2"/>
          <w:szCs w:val="21"/>
          <w:highlight w:val="none"/>
        </w:rPr>
        <w:t>我方将根据</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文件的规定，严格履行合同的责任和义务,并保证在</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文件规定的时间完成项目，交付买方验收、使用。</w:t>
      </w:r>
    </w:p>
    <w:p w14:paraId="19CF2902">
      <w:pPr>
        <w:pStyle w:val="2"/>
        <w:spacing w:before="0" w:after="0" w:line="420" w:lineRule="exact"/>
        <w:ind w:firstLineChars="200"/>
        <w:rPr>
          <w:rFonts w:ascii="宋体" w:hAnsi="宋体"/>
          <w:color w:val="auto"/>
          <w:kern w:val="2"/>
          <w:szCs w:val="21"/>
          <w:highlight w:val="none"/>
        </w:rPr>
      </w:pPr>
      <w:r>
        <w:rPr>
          <w:rFonts w:ascii="宋体" w:hAnsi="宋体"/>
          <w:color w:val="auto"/>
          <w:kern w:val="2"/>
          <w:szCs w:val="21"/>
          <w:highlight w:val="none"/>
        </w:rPr>
        <w:t>7</w:t>
      </w:r>
      <w:r>
        <w:rPr>
          <w:rFonts w:hint="eastAsia" w:ascii="宋体" w:hAnsi="宋体"/>
          <w:color w:val="auto"/>
          <w:kern w:val="2"/>
          <w:szCs w:val="21"/>
          <w:highlight w:val="none"/>
        </w:rPr>
        <w:t>.与本</w:t>
      </w:r>
      <w:r>
        <w:rPr>
          <w:rFonts w:hint="eastAsia" w:ascii="宋体" w:hAnsi="宋体" w:eastAsia="宋体" w:cs="宋体"/>
          <w:color w:val="auto"/>
          <w:sz w:val="24"/>
          <w:szCs w:val="21"/>
          <w:highlight w:val="none"/>
        </w:rPr>
        <w:t>磋商</w:t>
      </w:r>
      <w:r>
        <w:rPr>
          <w:rFonts w:hint="eastAsia" w:ascii="宋体" w:hAnsi="宋体"/>
          <w:color w:val="auto"/>
          <w:kern w:val="2"/>
          <w:szCs w:val="21"/>
          <w:highlight w:val="none"/>
        </w:rPr>
        <w:t>有关的正式通讯地址为：</w:t>
      </w:r>
    </w:p>
    <w:p w14:paraId="05ACE5DF">
      <w:pPr>
        <w:pStyle w:val="2"/>
        <w:spacing w:before="0" w:after="0" w:line="420" w:lineRule="exact"/>
        <w:ind w:left="420" w:leftChars="200" w:firstLineChars="200"/>
        <w:rPr>
          <w:rFonts w:ascii="宋体" w:hAnsi="宋体"/>
          <w:color w:val="auto"/>
          <w:kern w:val="2"/>
          <w:szCs w:val="21"/>
          <w:highlight w:val="none"/>
        </w:rPr>
      </w:pPr>
      <w:r>
        <w:rPr>
          <w:rFonts w:hint="eastAsia" w:ascii="宋体" w:hAnsi="宋体"/>
          <w:color w:val="auto"/>
          <w:kern w:val="2"/>
          <w:szCs w:val="21"/>
          <w:highlight w:val="none"/>
        </w:rPr>
        <w:t>地        址：</w:t>
      </w:r>
    </w:p>
    <w:p w14:paraId="6A7AF6A2">
      <w:pPr>
        <w:pStyle w:val="2"/>
        <w:spacing w:before="0" w:after="0" w:line="420" w:lineRule="exact"/>
        <w:ind w:left="420" w:leftChars="200" w:firstLineChars="200"/>
        <w:rPr>
          <w:rFonts w:ascii="宋体" w:hAnsi="宋体"/>
          <w:color w:val="auto"/>
          <w:kern w:val="2"/>
          <w:szCs w:val="21"/>
          <w:highlight w:val="none"/>
        </w:rPr>
      </w:pPr>
      <w:r>
        <w:rPr>
          <w:rFonts w:hint="eastAsia" w:ascii="宋体" w:hAnsi="宋体"/>
          <w:color w:val="auto"/>
          <w:kern w:val="2"/>
          <w:szCs w:val="21"/>
          <w:highlight w:val="none"/>
        </w:rPr>
        <w:t>邮        编：</w:t>
      </w:r>
    </w:p>
    <w:p w14:paraId="2E235AD0">
      <w:pPr>
        <w:pStyle w:val="2"/>
        <w:spacing w:before="0" w:after="0" w:line="420" w:lineRule="exact"/>
        <w:ind w:left="420" w:leftChars="200" w:firstLineChars="200"/>
        <w:rPr>
          <w:rFonts w:ascii="宋体" w:hAnsi="宋体"/>
          <w:color w:val="auto"/>
          <w:kern w:val="2"/>
          <w:szCs w:val="21"/>
          <w:highlight w:val="none"/>
        </w:rPr>
      </w:pPr>
      <w:r>
        <w:rPr>
          <w:rFonts w:hint="eastAsia" w:ascii="宋体" w:hAnsi="宋体"/>
          <w:color w:val="auto"/>
          <w:kern w:val="2"/>
          <w:szCs w:val="21"/>
          <w:highlight w:val="none"/>
        </w:rPr>
        <w:t>电        话：</w:t>
      </w:r>
    </w:p>
    <w:p w14:paraId="5674F78E">
      <w:pPr>
        <w:pStyle w:val="2"/>
        <w:spacing w:before="0" w:after="0" w:line="420" w:lineRule="exact"/>
        <w:ind w:left="420" w:leftChars="200" w:firstLineChars="200"/>
        <w:rPr>
          <w:rFonts w:ascii="宋体" w:hAnsi="宋体"/>
          <w:color w:val="auto"/>
          <w:kern w:val="2"/>
          <w:szCs w:val="21"/>
          <w:highlight w:val="none"/>
        </w:rPr>
      </w:pPr>
      <w:r>
        <w:rPr>
          <w:rFonts w:hint="eastAsia" w:ascii="宋体" w:hAnsi="宋体"/>
          <w:color w:val="auto"/>
          <w:kern w:val="2"/>
          <w:szCs w:val="21"/>
          <w:highlight w:val="none"/>
        </w:rPr>
        <w:t>传        真：</w:t>
      </w:r>
    </w:p>
    <w:p w14:paraId="7D446B99">
      <w:pPr>
        <w:pStyle w:val="2"/>
        <w:spacing w:before="0" w:after="0" w:line="420" w:lineRule="exact"/>
        <w:ind w:left="420" w:leftChars="200" w:firstLineChars="200"/>
        <w:rPr>
          <w:rFonts w:ascii="宋体" w:hAnsi="宋体"/>
          <w:color w:val="auto"/>
          <w:kern w:val="2"/>
          <w:szCs w:val="21"/>
          <w:highlight w:val="none"/>
        </w:rPr>
      </w:pPr>
      <w:r>
        <w:rPr>
          <w:rFonts w:hint="eastAsia" w:ascii="宋体" w:hAnsi="宋体" w:eastAsia="宋体" w:cs="宋体"/>
          <w:color w:val="auto"/>
          <w:sz w:val="24"/>
          <w:szCs w:val="21"/>
          <w:highlight w:val="none"/>
        </w:rPr>
        <w:t>供应商</w:t>
      </w:r>
      <w:r>
        <w:rPr>
          <w:rFonts w:hint="eastAsia" w:ascii="宋体" w:hAnsi="宋体"/>
          <w:color w:val="auto"/>
          <w:kern w:val="2"/>
          <w:szCs w:val="21"/>
          <w:highlight w:val="none"/>
        </w:rPr>
        <w:t>开户行：</w:t>
      </w:r>
    </w:p>
    <w:p w14:paraId="194B3CAA">
      <w:pPr>
        <w:pStyle w:val="2"/>
        <w:spacing w:before="0" w:after="0" w:line="420" w:lineRule="exact"/>
        <w:ind w:left="420" w:leftChars="200" w:firstLineChars="200"/>
        <w:rPr>
          <w:rFonts w:ascii="宋体" w:hAnsi="宋体"/>
          <w:color w:val="auto"/>
          <w:kern w:val="2"/>
          <w:szCs w:val="21"/>
          <w:highlight w:val="none"/>
        </w:rPr>
      </w:pPr>
      <w:r>
        <w:rPr>
          <w:rFonts w:hint="eastAsia" w:ascii="宋体" w:hAnsi="宋体"/>
          <w:color w:val="auto"/>
          <w:kern w:val="2"/>
          <w:szCs w:val="21"/>
          <w:highlight w:val="none"/>
        </w:rPr>
        <w:t xml:space="preserve">账        号： </w:t>
      </w:r>
    </w:p>
    <w:p w14:paraId="3BC3CAA6">
      <w:pPr>
        <w:pStyle w:val="2"/>
        <w:spacing w:before="0" w:after="0" w:line="420" w:lineRule="exact"/>
        <w:ind w:left="420" w:leftChars="200" w:firstLineChars="200"/>
        <w:rPr>
          <w:rFonts w:hint="eastAsia" w:ascii="宋体" w:hAnsi="宋体"/>
          <w:color w:val="auto"/>
          <w:kern w:val="2"/>
          <w:szCs w:val="21"/>
          <w:highlight w:val="none"/>
        </w:rPr>
      </w:pPr>
    </w:p>
    <w:p w14:paraId="75542835">
      <w:pPr>
        <w:spacing w:line="600" w:lineRule="exact"/>
        <w:ind w:firstLine="4454"/>
        <w:rPr>
          <w:rFonts w:hint="eastAsia" w:ascii="宋体" w:hAnsi="宋体" w:eastAsia="宋体" w:cs="宋体"/>
          <w:color w:val="auto"/>
          <w:highlight w:val="none"/>
        </w:rPr>
      </w:pPr>
      <w:r>
        <w:rPr>
          <w:rFonts w:hint="eastAsia" w:ascii="宋体" w:hAnsi="宋体" w:cs="宋体"/>
          <w:color w:val="auto"/>
          <w:sz w:val="24"/>
          <w:szCs w:val="22"/>
          <w:highlight w:val="none"/>
        </w:rPr>
        <w:t>供应商</w:t>
      </w:r>
      <w:r>
        <w:rPr>
          <w:rFonts w:hint="eastAsia" w:ascii="宋体" w:hAnsi="宋体" w:eastAsia="宋体" w:cs="宋体"/>
          <w:bCs/>
          <w:color w:val="auto"/>
          <w:sz w:val="24"/>
          <w:szCs w:val="21"/>
          <w:highlight w:val="none"/>
        </w:rPr>
        <w:t>名称（</w:t>
      </w:r>
      <w:r>
        <w:rPr>
          <w:rFonts w:hint="eastAsia" w:ascii="宋体" w:hAnsi="宋体"/>
          <w:color w:val="auto"/>
          <w:sz w:val="24"/>
          <w:szCs w:val="24"/>
          <w:highlight w:val="none"/>
        </w:rPr>
        <w:t>加盖CA电子签章</w:t>
      </w:r>
      <w:r>
        <w:rPr>
          <w:rFonts w:hint="eastAsia" w:ascii="宋体" w:hAnsi="宋体" w:eastAsia="宋体" w:cs="宋体"/>
          <w:bCs/>
          <w:color w:val="auto"/>
          <w:sz w:val="24"/>
          <w:szCs w:val="21"/>
          <w:highlight w:val="none"/>
        </w:rPr>
        <w:t>）：</w:t>
      </w:r>
    </w:p>
    <w:p w14:paraId="17C1F089">
      <w:pPr>
        <w:pStyle w:val="2"/>
        <w:spacing w:before="0" w:after="0" w:line="420" w:lineRule="exact"/>
        <w:ind w:left="420" w:leftChars="200" w:firstLineChars="200"/>
        <w:jc w:val="right"/>
        <w:rPr>
          <w:rFonts w:hint="eastAsia" w:ascii="宋体" w:hAnsi="宋体"/>
          <w:color w:val="auto"/>
          <w:kern w:val="2"/>
          <w:szCs w:val="21"/>
          <w:highlight w:val="none"/>
        </w:rPr>
      </w:pPr>
    </w:p>
    <w:p w14:paraId="1F1C85BC">
      <w:pPr>
        <w:widowControl/>
        <w:snapToGrid w:val="0"/>
        <w:spacing w:line="480" w:lineRule="auto"/>
        <w:ind w:firstLine="424" w:firstLineChars="202"/>
        <w:jc w:val="right"/>
        <w:textAlignment w:val="baseline"/>
        <w:rPr>
          <w:rFonts w:ascii="宋体" w:hAnsi="宋体" w:cs="宋体"/>
          <w:color w:val="auto"/>
          <w:sz w:val="24"/>
          <w:szCs w:val="22"/>
          <w:highlight w:val="none"/>
        </w:rPr>
      </w:pPr>
      <w:r>
        <w:rPr>
          <w:rFonts w:hint="eastAsia" w:ascii="宋体" w:hAnsi="宋体"/>
          <w:color w:val="auto"/>
          <w:kern w:val="2"/>
          <w:szCs w:val="21"/>
          <w:highlight w:val="none"/>
          <w:lang w:val="en-US" w:eastAsia="zh-CN"/>
        </w:rPr>
        <w:t xml:space="preserve">                        </w:t>
      </w:r>
      <w:r>
        <w:rPr>
          <w:rFonts w:hint="eastAsia" w:ascii="宋体" w:hAnsi="宋体"/>
          <w:color w:val="auto"/>
          <w:sz w:val="24"/>
          <w:szCs w:val="24"/>
          <w:highlight w:val="none"/>
        </w:rPr>
        <w:t>日期：</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p>
    <w:p w14:paraId="56EC1179">
      <w:pPr>
        <w:pStyle w:val="2"/>
        <w:spacing w:before="0" w:after="0" w:line="420" w:lineRule="exact"/>
        <w:ind w:left="420" w:leftChars="200" w:firstLineChars="200"/>
        <w:jc w:val="center"/>
        <w:rPr>
          <w:rFonts w:ascii="宋体" w:hAnsi="宋体"/>
          <w:color w:val="auto"/>
          <w:kern w:val="2"/>
          <w:szCs w:val="21"/>
          <w:highlight w:val="none"/>
        </w:rPr>
      </w:pPr>
    </w:p>
    <w:p w14:paraId="5C35640D">
      <w:pPr>
        <w:widowControl/>
        <w:jc w:val="left"/>
        <w:rPr>
          <w:rFonts w:hint="eastAsia" w:ascii="宋体" w:hAnsi="宋体"/>
          <w:b/>
          <w:color w:val="auto"/>
          <w:sz w:val="24"/>
          <w:szCs w:val="24"/>
          <w:highlight w:val="none"/>
        </w:rPr>
      </w:pPr>
      <w:r>
        <w:rPr>
          <w:rFonts w:ascii="宋体" w:hAnsi="宋体"/>
          <w:color w:val="auto"/>
          <w:sz w:val="32"/>
          <w:szCs w:val="32"/>
          <w:highlight w:val="none"/>
        </w:rPr>
        <w:br w:type="page"/>
      </w:r>
      <w:r>
        <w:rPr>
          <w:rFonts w:ascii="宋体" w:hAnsi="宋体"/>
          <w:b/>
          <w:color w:val="auto"/>
          <w:sz w:val="24"/>
          <w:szCs w:val="24"/>
          <w:highlight w:val="none"/>
        </w:rPr>
        <w:t>附件</w:t>
      </w:r>
      <w:r>
        <w:rPr>
          <w:rFonts w:hint="eastAsia" w:ascii="宋体" w:hAnsi="宋体"/>
          <w:b/>
          <w:color w:val="auto"/>
          <w:sz w:val="24"/>
          <w:szCs w:val="24"/>
          <w:highlight w:val="none"/>
        </w:rPr>
        <w:t>7</w:t>
      </w:r>
    </w:p>
    <w:p w14:paraId="06FEF197">
      <w:pPr>
        <w:spacing w:line="360" w:lineRule="auto"/>
        <w:ind w:firstLine="640"/>
        <w:jc w:val="center"/>
        <w:rPr>
          <w:rFonts w:ascii="宋体" w:hAnsi="宋体" w:cs="宋体"/>
          <w:bCs/>
          <w:color w:val="auto"/>
          <w:kern w:val="0"/>
          <w:sz w:val="32"/>
          <w:szCs w:val="32"/>
          <w:highlight w:val="none"/>
        </w:rPr>
      </w:pPr>
      <w:r>
        <w:rPr>
          <w:rFonts w:hint="eastAsia" w:ascii="宋体" w:hAnsi="宋体" w:cs="宋体"/>
          <w:b/>
          <w:bCs w:val="0"/>
          <w:color w:val="auto"/>
          <w:kern w:val="0"/>
          <w:sz w:val="28"/>
          <w:szCs w:val="28"/>
          <w:highlight w:val="none"/>
        </w:rPr>
        <w:t>拟派项目负责人无在建工程承诺书</w:t>
      </w:r>
    </w:p>
    <w:p w14:paraId="6E1D6CAA">
      <w:pPr>
        <w:spacing w:line="360" w:lineRule="auto"/>
        <w:rPr>
          <w:rFonts w:ascii="宋体" w:hAnsi="宋体" w:cs="宋体"/>
          <w:color w:val="auto"/>
          <w:kern w:val="0"/>
          <w:sz w:val="24"/>
          <w:szCs w:val="24"/>
          <w:highlight w:val="none"/>
        </w:rPr>
      </w:pP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w:t>
      </w:r>
    </w:p>
    <w:p w14:paraId="773F8D86">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我方参加你方的 </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（以下简称“本工程”）的投标，现我方法定代表人向你方郑重承诺：</w:t>
      </w:r>
    </w:p>
    <w:p w14:paraId="26DEB9DE">
      <w:pPr>
        <w:spacing w:line="360" w:lineRule="auto"/>
        <w:ind w:firstLine="480"/>
        <w:rPr>
          <w:rFonts w:ascii="宋体" w:hAnsi="宋体" w:cs="宋体"/>
          <w:color w:val="auto"/>
          <w:kern w:val="0"/>
          <w:sz w:val="24"/>
          <w:szCs w:val="24"/>
          <w:highlight w:val="none"/>
        </w:rPr>
      </w:pPr>
      <w:r>
        <w:rPr>
          <w:rFonts w:hint="eastAsia" w:ascii="宋体" w:hAnsi="宋体" w:cs="宋体"/>
          <w:color w:val="auto"/>
          <w:kern w:val="0"/>
          <w:sz w:val="24"/>
          <w:szCs w:val="24"/>
          <w:highlight w:val="none"/>
        </w:rPr>
        <w:t>我方拟派项目负责人</w:t>
      </w:r>
      <w:r>
        <w:rPr>
          <w:rFonts w:hint="eastAsia" w:ascii="宋体" w:hAnsi="宋体" w:cs="宋体"/>
          <w:color w:val="auto"/>
          <w:kern w:val="0"/>
          <w:sz w:val="24"/>
          <w:szCs w:val="24"/>
          <w:highlight w:val="none"/>
          <w:u w:val="single"/>
        </w:rPr>
        <w:t xml:space="preserve">    （姓名）    </w:t>
      </w:r>
      <w:r>
        <w:rPr>
          <w:rFonts w:hint="eastAsia" w:ascii="宋体" w:hAnsi="宋体" w:cs="宋体"/>
          <w:color w:val="auto"/>
          <w:kern w:val="0"/>
          <w:sz w:val="24"/>
          <w:szCs w:val="24"/>
          <w:highlight w:val="none"/>
        </w:rPr>
        <w:t>（身份证号码：</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）无在建工程，如果我方经本工程评标委员会评定为成交候选人，在公示期间被他人举报并经招标投标监管机构核实，确认拟派项目负责人有在建工程，且不符合江苏省建设厅“苏建规字（2017）1号”《 省住房和城乡建设厅关于改革和完善房屋建筑和市政基础设施工程招标投标制度的实施意见》附件二《江苏省房屋建筑和市政基础设施工程施工招标资格审查办法》第十条第五款的规定，你方即可取消我方成交候选人资格，并同意投标保证金不予退还。</w:t>
      </w:r>
    </w:p>
    <w:p w14:paraId="2244DF8E">
      <w:pPr>
        <w:spacing w:line="360" w:lineRule="auto"/>
        <w:ind w:firstLine="480"/>
        <w:rPr>
          <w:rFonts w:ascii="宋体" w:hAnsi="宋体" w:cs="宋体"/>
          <w:color w:val="auto"/>
          <w:kern w:val="0"/>
          <w:sz w:val="24"/>
          <w:szCs w:val="24"/>
          <w:highlight w:val="none"/>
        </w:rPr>
      </w:pPr>
    </w:p>
    <w:p w14:paraId="57BEFEEE">
      <w:pPr>
        <w:spacing w:line="360" w:lineRule="auto"/>
        <w:ind w:firstLine="480"/>
        <w:rPr>
          <w:rFonts w:ascii="宋体" w:hAnsi="宋体" w:cs="宋体"/>
          <w:color w:val="auto"/>
          <w:kern w:val="0"/>
          <w:sz w:val="24"/>
          <w:szCs w:val="24"/>
          <w:highlight w:val="none"/>
        </w:rPr>
      </w:pPr>
    </w:p>
    <w:p w14:paraId="6D89A6F9">
      <w:pPr>
        <w:spacing w:line="480" w:lineRule="auto"/>
        <w:ind w:firstLine="3840"/>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投标人（</w:t>
      </w:r>
      <w:r>
        <w:rPr>
          <w:rFonts w:hint="eastAsia" w:ascii="宋体" w:hAnsi="宋体"/>
          <w:color w:val="auto"/>
          <w:sz w:val="24"/>
          <w:szCs w:val="24"/>
          <w:highlight w:val="none"/>
        </w:rPr>
        <w:t>加盖CA电子签章</w:t>
      </w:r>
      <w:r>
        <w:rPr>
          <w:rFonts w:hint="eastAsia" w:ascii="宋体" w:hAnsi="宋体" w:cs="宋体"/>
          <w:color w:val="auto"/>
          <w:kern w:val="0"/>
          <w:sz w:val="24"/>
          <w:szCs w:val="24"/>
          <w:highlight w:val="none"/>
        </w:rPr>
        <w:t>）：</w:t>
      </w:r>
      <w:r>
        <w:rPr>
          <w:rFonts w:hint="eastAsia" w:ascii="宋体" w:hAnsi="宋体" w:cs="宋体"/>
          <w:bCs/>
          <w:color w:val="auto"/>
          <w:kern w:val="0"/>
          <w:sz w:val="24"/>
          <w:szCs w:val="24"/>
          <w:highlight w:val="none"/>
          <w:u w:val="single"/>
          <w:lang w:val="en-US" w:eastAsia="zh-CN"/>
        </w:rPr>
        <w:t xml:space="preserve">               </w:t>
      </w:r>
    </w:p>
    <w:p w14:paraId="33C568B2">
      <w:pPr>
        <w:tabs>
          <w:tab w:val="left" w:pos="4320"/>
        </w:tabs>
        <w:spacing w:line="480" w:lineRule="auto"/>
        <w:ind w:firstLine="384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法人或授权委托人（签字或盖章）：</w:t>
      </w:r>
      <w:r>
        <w:rPr>
          <w:rFonts w:hint="eastAsia" w:ascii="宋体" w:hAnsi="宋体" w:cs="宋体"/>
          <w:bCs/>
          <w:color w:val="auto"/>
          <w:kern w:val="0"/>
          <w:sz w:val="24"/>
          <w:szCs w:val="24"/>
          <w:highlight w:val="none"/>
          <w:u w:val="single"/>
          <w:lang w:val="en-US" w:eastAsia="zh-CN"/>
        </w:rPr>
        <w:t xml:space="preserve">               </w:t>
      </w:r>
    </w:p>
    <w:p w14:paraId="76ACB767">
      <w:pPr>
        <w:spacing w:line="480" w:lineRule="auto"/>
        <w:ind w:firstLine="3840"/>
        <w:rPr>
          <w:rFonts w:ascii="宋体" w:hAnsi="宋体" w:cs="宋体"/>
          <w:color w:val="auto"/>
          <w:kern w:val="0"/>
          <w:sz w:val="24"/>
          <w:szCs w:val="24"/>
          <w:highlight w:val="none"/>
        </w:rPr>
      </w:pPr>
      <w:r>
        <w:rPr>
          <w:rFonts w:hint="eastAsia" w:ascii="宋体" w:hAnsi="宋体" w:cs="宋体"/>
          <w:color w:val="auto"/>
          <w:kern w:val="0"/>
          <w:sz w:val="24"/>
          <w:szCs w:val="24"/>
          <w:highlight w:val="none"/>
        </w:rPr>
        <w:t>日期：</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年</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月</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日</w:t>
      </w:r>
    </w:p>
    <w:p w14:paraId="56C431F5">
      <w:pPr>
        <w:widowControl/>
        <w:jc w:val="left"/>
        <w:rPr>
          <w:rFonts w:hint="eastAsia" w:ascii="宋体" w:hAnsi="宋体" w:eastAsia="宋体"/>
          <w:b/>
          <w:color w:val="auto"/>
          <w:sz w:val="24"/>
          <w:szCs w:val="24"/>
          <w:highlight w:val="none"/>
          <w:lang w:eastAsia="zh-CN"/>
        </w:rPr>
      </w:pPr>
      <w:r>
        <w:rPr>
          <w:rFonts w:ascii="宋体" w:hAnsi="宋体"/>
          <w:color w:val="auto"/>
          <w:sz w:val="32"/>
          <w:szCs w:val="32"/>
          <w:highlight w:val="none"/>
        </w:rPr>
        <w:br w:type="page"/>
      </w: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8</w:t>
      </w:r>
    </w:p>
    <w:p w14:paraId="2FD16C61">
      <w:pPr>
        <w:widowControl/>
        <w:jc w:val="left"/>
        <w:rPr>
          <w:rFonts w:hint="eastAsia" w:ascii="宋体" w:hAnsi="宋体"/>
          <w:b/>
          <w:color w:val="auto"/>
          <w:sz w:val="24"/>
          <w:szCs w:val="24"/>
          <w:highlight w:val="none"/>
        </w:rPr>
      </w:pPr>
    </w:p>
    <w:p w14:paraId="440843C4">
      <w:pPr>
        <w:widowControl/>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中小微企业声明函（</w:t>
      </w:r>
      <w:r>
        <w:rPr>
          <w:rFonts w:hint="eastAsia" w:ascii="宋体" w:hAnsi="宋体"/>
          <w:b/>
          <w:color w:val="auto"/>
          <w:sz w:val="28"/>
          <w:szCs w:val="28"/>
          <w:highlight w:val="none"/>
          <w:lang w:val="en-US" w:eastAsia="zh-CN"/>
        </w:rPr>
        <w:t>工程</w:t>
      </w:r>
      <w:r>
        <w:rPr>
          <w:rFonts w:hint="eastAsia" w:ascii="宋体" w:hAnsi="宋体"/>
          <w:b/>
          <w:color w:val="auto"/>
          <w:sz w:val="28"/>
          <w:szCs w:val="28"/>
          <w:highlight w:val="none"/>
        </w:rPr>
        <w:t>）</w:t>
      </w:r>
    </w:p>
    <w:p w14:paraId="2435B90E">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本公司（联合体）郑重声明，根据《政府采购促进中小企业发展管理办法》(财库[2020]46号)的规定，本公司（联合体）参加</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（单位名称）</w:t>
      </w:r>
      <w:r>
        <w:rPr>
          <w:rFonts w:hint="eastAsia" w:ascii="宋体" w:hAnsi="宋体"/>
          <w:color w:val="auto"/>
          <w:sz w:val="24"/>
          <w:szCs w:val="24"/>
          <w:highlight w:val="none"/>
          <w:lang w:val="en-US" w:eastAsia="zh-CN"/>
        </w:rPr>
        <w:t xml:space="preserve"> 组织</w:t>
      </w:r>
      <w:r>
        <w:rPr>
          <w:rFonts w:hint="eastAsia" w:ascii="宋体" w:hAnsi="宋体"/>
          <w:color w:val="auto"/>
          <w:sz w:val="24"/>
          <w:szCs w:val="24"/>
          <w:highlight w:val="none"/>
        </w:rPr>
        <w:t>的采购编号为</w:t>
      </w:r>
      <w:r>
        <w:rPr>
          <w:rFonts w:hint="eastAsia" w:ascii="宋体" w:hAnsi="宋体" w:cs="宋体"/>
          <w:bCs/>
          <w:color w:val="auto"/>
          <w:kern w:val="0"/>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的采购活动，工程的施工单位全部为符合政策要求的中小企业。根据《工业和信息化部、国家统计局、国家发展和改革委员会、财政部关于印发中小企业划型标准规定的通知》(工信部联企业[2011]300号)的规定，相关企业（含联合体中的中小微企业、签订分包意向协议的中小微企业）的具体情况如下：</w:t>
      </w:r>
    </w:p>
    <w:p w14:paraId="2BD1C723">
      <w:pPr>
        <w:spacing w:line="360" w:lineRule="auto"/>
        <w:ind w:firstLine="360" w:firstLineChars="150"/>
        <w:rPr>
          <w:rFonts w:ascii="宋体" w:hAnsi="宋体"/>
          <w:i/>
          <w:color w:val="auto"/>
          <w:sz w:val="24"/>
          <w:szCs w:val="24"/>
          <w:highlight w:val="none"/>
          <w:u w:val="single"/>
        </w:rPr>
      </w:pPr>
      <w:r>
        <w:rPr>
          <w:rFonts w:hint="eastAsia" w:ascii="宋体" w:hAnsi="宋体"/>
          <w:color w:val="auto"/>
          <w:sz w:val="24"/>
          <w:szCs w:val="24"/>
          <w:highlight w:val="none"/>
        </w:rPr>
        <w:t>1.</w:t>
      </w:r>
      <w:r>
        <w:rPr>
          <w:rFonts w:hint="eastAsia" w:ascii="宋体" w:hAnsi="宋体"/>
          <w:color w:val="auto"/>
          <w:sz w:val="24"/>
          <w:szCs w:val="24"/>
          <w:highlight w:val="none"/>
          <w:u w:val="single"/>
        </w:rPr>
        <w:t>（标的名称）</w:t>
      </w:r>
      <w:r>
        <w:rPr>
          <w:rFonts w:hint="eastAsia" w:ascii="宋体" w:hAnsi="宋体"/>
          <w:i/>
          <w:color w:val="auto"/>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（采购文件中明确的所属行业）</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行业；承接企业为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w:t>
      </w:r>
      <w:r>
        <w:rPr>
          <w:rFonts w:hint="eastAsia" w:ascii="宋体" w:hAnsi="宋体"/>
          <w:color w:val="auto"/>
          <w:sz w:val="24"/>
          <w:szCs w:val="24"/>
          <w:highlight w:val="none"/>
          <w:vertAlign w:val="superscript"/>
        </w:rPr>
        <w:t>1</w:t>
      </w:r>
      <w:r>
        <w:rPr>
          <w:rFonts w:hint="eastAsia" w:ascii="宋体" w:hAnsi="宋体"/>
          <w:color w:val="auto"/>
          <w:sz w:val="24"/>
          <w:szCs w:val="24"/>
          <w:highlight w:val="none"/>
        </w:rPr>
        <w:t>，属于</w:t>
      </w:r>
      <w:r>
        <w:rPr>
          <w:rFonts w:hint="eastAsia" w:ascii="宋体" w:hAnsi="宋体"/>
          <w:color w:val="auto"/>
          <w:sz w:val="24"/>
          <w:szCs w:val="24"/>
          <w:highlight w:val="none"/>
          <w:u w:val="single"/>
        </w:rPr>
        <w:t>（□中型企业 □小型企业 □微型企业）；</w:t>
      </w:r>
    </w:p>
    <w:p w14:paraId="578CC178">
      <w:pPr>
        <w:spacing w:line="360" w:lineRule="auto"/>
        <w:ind w:firstLine="360" w:firstLineChars="150"/>
        <w:rPr>
          <w:rFonts w:ascii="宋体" w:hAnsi="宋体"/>
          <w:i/>
          <w:color w:val="auto"/>
          <w:sz w:val="24"/>
          <w:szCs w:val="24"/>
          <w:highlight w:val="none"/>
          <w:u w:val="single"/>
        </w:rPr>
      </w:pPr>
      <w:r>
        <w:rPr>
          <w:rFonts w:hint="eastAsia" w:ascii="宋体" w:hAnsi="宋体"/>
          <w:color w:val="auto"/>
          <w:sz w:val="24"/>
          <w:szCs w:val="24"/>
          <w:highlight w:val="none"/>
        </w:rPr>
        <w:t>2.</w:t>
      </w:r>
      <w:r>
        <w:rPr>
          <w:rFonts w:hint="eastAsia" w:ascii="宋体" w:hAnsi="宋体"/>
          <w:color w:val="auto"/>
          <w:sz w:val="24"/>
          <w:szCs w:val="24"/>
          <w:highlight w:val="none"/>
          <w:u w:val="single"/>
        </w:rPr>
        <w:t>（标的名称）</w:t>
      </w:r>
      <w:r>
        <w:rPr>
          <w:rFonts w:hint="eastAsia" w:ascii="宋体" w:hAnsi="宋体"/>
          <w:i/>
          <w:color w:val="auto"/>
          <w:sz w:val="24"/>
          <w:szCs w:val="24"/>
          <w:highlight w:val="none"/>
        </w:rPr>
        <w:t>，</w:t>
      </w:r>
      <w:r>
        <w:rPr>
          <w:rFonts w:hint="eastAsia" w:ascii="宋体" w:hAnsi="宋体"/>
          <w:color w:val="auto"/>
          <w:sz w:val="24"/>
          <w:szCs w:val="24"/>
          <w:highlight w:val="none"/>
        </w:rPr>
        <w:t>属于</w:t>
      </w:r>
      <w:r>
        <w:rPr>
          <w:rFonts w:hint="eastAsia" w:ascii="宋体" w:hAnsi="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（采购文件中明确的所属行业）</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行业；承接企业为</w:t>
      </w:r>
      <w:r>
        <w:rPr>
          <w:rFonts w:hint="eastAsia" w:ascii="宋体" w:hAnsi="宋体"/>
          <w:color w:val="auto"/>
          <w:sz w:val="24"/>
          <w:szCs w:val="24"/>
          <w:highlight w:val="none"/>
          <w:u w:val="single"/>
        </w:rPr>
        <w:t>（企业名称）</w:t>
      </w:r>
      <w:r>
        <w:rPr>
          <w:rFonts w:hint="eastAsia" w:ascii="宋体" w:hAnsi="宋体"/>
          <w:color w:val="auto"/>
          <w:sz w:val="24"/>
          <w:szCs w:val="24"/>
          <w:highlight w:val="none"/>
        </w:rPr>
        <w:t>，从业人员</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人，营业收入为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万元，资产总额为</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万元</w:t>
      </w:r>
      <w:r>
        <w:rPr>
          <w:rFonts w:hint="eastAsia" w:ascii="宋体" w:hAnsi="宋体"/>
          <w:color w:val="auto"/>
          <w:sz w:val="24"/>
          <w:szCs w:val="24"/>
          <w:highlight w:val="none"/>
          <w:vertAlign w:val="superscript"/>
        </w:rPr>
        <w:t>1</w:t>
      </w:r>
      <w:r>
        <w:rPr>
          <w:rFonts w:hint="eastAsia" w:ascii="宋体" w:hAnsi="宋体"/>
          <w:color w:val="auto"/>
          <w:sz w:val="24"/>
          <w:szCs w:val="24"/>
          <w:highlight w:val="none"/>
        </w:rPr>
        <w:t>，属于</w:t>
      </w:r>
      <w:r>
        <w:rPr>
          <w:rFonts w:hint="eastAsia" w:ascii="宋体" w:hAnsi="宋体"/>
          <w:color w:val="auto"/>
          <w:sz w:val="24"/>
          <w:szCs w:val="24"/>
          <w:highlight w:val="none"/>
          <w:u w:val="single"/>
        </w:rPr>
        <w:t>（□中型企业 □小型企业 □微型企业）；</w:t>
      </w:r>
    </w:p>
    <w:p w14:paraId="6A91C227">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w:t>
      </w:r>
    </w:p>
    <w:p w14:paraId="2DE715D4">
      <w:pPr>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以上企业，不属于大企业的分支机构，不存在控股股东为大企业的情形，也不存在与大企业的负责人为同一人的情形。</w:t>
      </w:r>
    </w:p>
    <w:p w14:paraId="03F7694B">
      <w:pPr>
        <w:spacing w:line="360" w:lineRule="auto"/>
        <w:ind w:firstLine="360" w:firstLineChars="15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本企业对上述声明内容的真实性负责。如有虚假，将依法承担相应责任</w:t>
      </w:r>
      <w:r>
        <w:rPr>
          <w:rFonts w:hint="eastAsia" w:ascii="宋体" w:hAnsi="宋体"/>
          <w:color w:val="auto"/>
          <w:sz w:val="24"/>
          <w:szCs w:val="24"/>
          <w:highlight w:val="none"/>
          <w:lang w:eastAsia="zh-CN"/>
        </w:rPr>
        <w:t>。</w:t>
      </w:r>
    </w:p>
    <w:p w14:paraId="4DE73897">
      <w:pPr>
        <w:spacing w:line="360" w:lineRule="auto"/>
        <w:ind w:right="720"/>
        <w:rPr>
          <w:rFonts w:ascii="宋体" w:hAnsi="宋体"/>
          <w:color w:val="auto"/>
          <w:sz w:val="24"/>
          <w:szCs w:val="24"/>
          <w:highlight w:val="none"/>
        </w:rPr>
      </w:pPr>
    </w:p>
    <w:p w14:paraId="712DE5B4">
      <w:pPr>
        <w:spacing w:line="360" w:lineRule="auto"/>
        <w:ind w:right="180" w:firstLine="360" w:firstLineChars="150"/>
        <w:jc w:val="right"/>
        <w:rPr>
          <w:rFonts w:ascii="宋体" w:hAnsi="宋体"/>
          <w:color w:val="auto"/>
          <w:sz w:val="24"/>
          <w:szCs w:val="24"/>
          <w:highlight w:val="none"/>
        </w:rPr>
      </w:pPr>
      <w:r>
        <w:rPr>
          <w:rFonts w:hint="eastAsia" w:ascii="宋体" w:hAnsi="宋体"/>
          <w:color w:val="auto"/>
          <w:sz w:val="24"/>
          <w:highlight w:val="none"/>
        </w:rPr>
        <w:t>供应商全称（</w:t>
      </w:r>
      <w:r>
        <w:rPr>
          <w:rFonts w:hint="eastAsia" w:ascii="宋体" w:hAnsi="宋体"/>
          <w:color w:val="auto"/>
          <w:sz w:val="24"/>
          <w:szCs w:val="24"/>
          <w:highlight w:val="none"/>
        </w:rPr>
        <w:t>加盖CA电子签章</w:t>
      </w:r>
      <w:r>
        <w:rPr>
          <w:rFonts w:hint="eastAsia" w:ascii="宋体" w:hAnsi="宋体"/>
          <w:color w:val="auto"/>
          <w:sz w:val="24"/>
          <w:highlight w:val="none"/>
        </w:rPr>
        <w:t>）</w:t>
      </w:r>
      <w:r>
        <w:rPr>
          <w:rFonts w:hint="eastAsia" w:ascii="宋体" w:hAnsi="宋体"/>
          <w:color w:val="auto"/>
          <w:sz w:val="24"/>
          <w:szCs w:val="24"/>
          <w:highlight w:val="none"/>
        </w:rPr>
        <w:t>：</w:t>
      </w:r>
    </w:p>
    <w:p w14:paraId="1A547E12">
      <w:pPr>
        <w:spacing w:line="360" w:lineRule="auto"/>
        <w:ind w:right="480" w:firstLine="6120" w:firstLineChars="2550"/>
        <w:rPr>
          <w:rFonts w:ascii="宋体" w:hAnsi="宋体"/>
          <w:color w:val="auto"/>
          <w:sz w:val="24"/>
          <w:szCs w:val="24"/>
          <w:highlight w:val="none"/>
        </w:rPr>
      </w:pPr>
      <w:r>
        <w:rPr>
          <w:rFonts w:hint="eastAsia" w:ascii="宋体" w:hAnsi="宋体"/>
          <w:color w:val="auto"/>
          <w:sz w:val="24"/>
          <w:szCs w:val="24"/>
          <w:highlight w:val="none"/>
        </w:rPr>
        <w:t>日  期：</w:t>
      </w:r>
    </w:p>
    <w:p w14:paraId="578D8CE9">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备注：</w:t>
      </w:r>
    </w:p>
    <w:p w14:paraId="4525C974">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1.从业人员、营业收入、资产总额填报上一年度数据，无上一年度数据的新成立企业可不填报。</w:t>
      </w:r>
    </w:p>
    <w:p w14:paraId="5F451EE6">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2.专门</w:t>
      </w:r>
      <w:r>
        <w:rPr>
          <w:rFonts w:ascii="宋体" w:hAnsi="宋体"/>
          <w:color w:val="auto"/>
          <w:sz w:val="24"/>
          <w:szCs w:val="24"/>
          <w:highlight w:val="none"/>
        </w:rPr>
        <w:t>面向中小微型企业</w:t>
      </w:r>
      <w:r>
        <w:rPr>
          <w:rFonts w:hint="eastAsia" w:ascii="宋体" w:hAnsi="宋体"/>
          <w:color w:val="auto"/>
          <w:sz w:val="24"/>
          <w:szCs w:val="24"/>
          <w:highlight w:val="none"/>
        </w:rPr>
        <w:t>采购</w:t>
      </w:r>
      <w:r>
        <w:rPr>
          <w:rFonts w:ascii="宋体" w:hAnsi="宋体"/>
          <w:color w:val="auto"/>
          <w:sz w:val="24"/>
          <w:szCs w:val="24"/>
          <w:highlight w:val="none"/>
        </w:rPr>
        <w:t>的项目，</w:t>
      </w:r>
      <w:r>
        <w:rPr>
          <w:rFonts w:hint="eastAsia" w:ascii="宋体" w:hAnsi="宋体"/>
          <w:color w:val="auto"/>
          <w:sz w:val="24"/>
          <w:szCs w:val="24"/>
          <w:highlight w:val="none"/>
        </w:rPr>
        <w:t>供应商如不提供此声明函，则</w:t>
      </w:r>
      <w:r>
        <w:rPr>
          <w:rFonts w:ascii="宋体" w:hAnsi="宋体"/>
          <w:color w:val="auto"/>
          <w:sz w:val="24"/>
          <w:szCs w:val="24"/>
          <w:highlight w:val="none"/>
        </w:rPr>
        <w:t>不能通过资格审查；</w:t>
      </w:r>
      <w:r>
        <w:rPr>
          <w:rFonts w:hint="eastAsia" w:ascii="宋体" w:hAnsi="宋体"/>
          <w:color w:val="auto"/>
          <w:sz w:val="24"/>
          <w:szCs w:val="24"/>
          <w:highlight w:val="none"/>
        </w:rPr>
        <w:t>非专门</w:t>
      </w:r>
      <w:r>
        <w:rPr>
          <w:rFonts w:ascii="宋体" w:hAnsi="宋体"/>
          <w:color w:val="auto"/>
          <w:sz w:val="24"/>
          <w:szCs w:val="24"/>
          <w:highlight w:val="none"/>
        </w:rPr>
        <w:t>面向中小微型企业</w:t>
      </w:r>
      <w:r>
        <w:rPr>
          <w:rFonts w:hint="eastAsia" w:ascii="宋体" w:hAnsi="宋体"/>
          <w:color w:val="auto"/>
          <w:sz w:val="24"/>
          <w:szCs w:val="24"/>
          <w:highlight w:val="none"/>
        </w:rPr>
        <w:t>采购</w:t>
      </w:r>
      <w:r>
        <w:rPr>
          <w:rFonts w:ascii="宋体" w:hAnsi="宋体"/>
          <w:color w:val="auto"/>
          <w:sz w:val="24"/>
          <w:szCs w:val="24"/>
          <w:highlight w:val="none"/>
        </w:rPr>
        <w:t>的项目，</w:t>
      </w:r>
      <w:r>
        <w:rPr>
          <w:rFonts w:hint="eastAsia" w:ascii="宋体" w:hAnsi="宋体"/>
          <w:color w:val="auto"/>
          <w:sz w:val="24"/>
          <w:szCs w:val="24"/>
          <w:highlight w:val="none"/>
        </w:rPr>
        <w:t>供应商如不提供此声明函，价格将不做相应扣除。</w:t>
      </w:r>
    </w:p>
    <w:p w14:paraId="0A771CC3">
      <w:pPr>
        <w:spacing w:line="360" w:lineRule="auto"/>
        <w:ind w:firstLine="480" w:firstLineChars="200"/>
        <w:jc w:val="left"/>
        <w:rPr>
          <w:rFonts w:ascii="宋体" w:hAnsi="宋体"/>
          <w:b/>
          <w:color w:val="auto"/>
          <w:sz w:val="32"/>
          <w:szCs w:val="32"/>
          <w:highlight w:val="none"/>
        </w:rPr>
      </w:pPr>
      <w:r>
        <w:rPr>
          <w:rFonts w:hint="eastAsia" w:ascii="宋体" w:hAnsi="宋体"/>
          <w:color w:val="auto"/>
          <w:sz w:val="24"/>
          <w:szCs w:val="24"/>
          <w:highlight w:val="none"/>
        </w:rPr>
        <w:t>3.供应商</w:t>
      </w:r>
      <w:r>
        <w:rPr>
          <w:rFonts w:ascii="宋体" w:hAnsi="宋体"/>
          <w:color w:val="auto"/>
          <w:sz w:val="24"/>
          <w:szCs w:val="24"/>
          <w:highlight w:val="none"/>
        </w:rPr>
        <w:t>自行勾选</w:t>
      </w:r>
      <w:r>
        <w:rPr>
          <w:rFonts w:hint="eastAsia" w:ascii="宋体" w:hAnsi="宋体"/>
          <w:color w:val="auto"/>
          <w:sz w:val="24"/>
          <w:szCs w:val="24"/>
          <w:highlight w:val="none"/>
        </w:rPr>
        <w:t>承接企业</w:t>
      </w:r>
      <w:r>
        <w:rPr>
          <w:rFonts w:ascii="宋体" w:hAnsi="宋体"/>
          <w:color w:val="auto"/>
          <w:sz w:val="24"/>
          <w:szCs w:val="24"/>
          <w:highlight w:val="none"/>
        </w:rPr>
        <w:t>的企业</w:t>
      </w:r>
      <w:r>
        <w:rPr>
          <w:rFonts w:hint="eastAsia" w:ascii="宋体" w:hAnsi="宋体"/>
          <w:color w:val="auto"/>
          <w:sz w:val="24"/>
          <w:szCs w:val="24"/>
          <w:highlight w:val="none"/>
        </w:rPr>
        <w:t>规模类型</w:t>
      </w:r>
      <w:r>
        <w:rPr>
          <w:rFonts w:ascii="宋体" w:hAnsi="宋体"/>
          <w:color w:val="auto"/>
          <w:sz w:val="24"/>
          <w:szCs w:val="24"/>
          <w:highlight w:val="none"/>
        </w:rPr>
        <w:t>。</w:t>
      </w:r>
    </w:p>
    <w:p w14:paraId="6D37754A">
      <w:pPr>
        <w:widowControl/>
        <w:jc w:val="left"/>
        <w:rPr>
          <w:rFonts w:ascii="宋体" w:hAnsi="宋体"/>
          <w:b/>
          <w:color w:val="auto"/>
          <w:sz w:val="24"/>
          <w:szCs w:val="24"/>
          <w:highlight w:val="none"/>
        </w:rPr>
      </w:pPr>
    </w:p>
    <w:p w14:paraId="26E647DD">
      <w:pPr>
        <w:pStyle w:val="49"/>
        <w:ind w:firstLine="0" w:firstLineChars="0"/>
        <w:rPr>
          <w:rFonts w:hint="default" w:ascii="宋体" w:hAnsi="宋体" w:eastAsia="宋体"/>
          <w:b/>
          <w:color w:val="auto"/>
          <w:kern w:val="2"/>
          <w:sz w:val="24"/>
          <w:szCs w:val="24"/>
          <w:highlight w:val="none"/>
          <w:lang w:val="en-US" w:eastAsia="zh-CN"/>
        </w:rPr>
      </w:pPr>
      <w:r>
        <w:rPr>
          <w:rFonts w:hint="eastAsia" w:ascii="宋体" w:hAnsi="宋体" w:eastAsia="宋体"/>
          <w:b/>
          <w:color w:val="auto"/>
          <w:kern w:val="2"/>
          <w:sz w:val="24"/>
          <w:szCs w:val="24"/>
          <w:highlight w:val="none"/>
        </w:rPr>
        <w:br w:type="page"/>
      </w:r>
      <w:r>
        <w:rPr>
          <w:rFonts w:hint="eastAsia" w:ascii="宋体" w:hAnsi="宋体" w:eastAsia="宋体"/>
          <w:b/>
          <w:color w:val="auto"/>
          <w:kern w:val="2"/>
          <w:sz w:val="24"/>
          <w:szCs w:val="24"/>
          <w:highlight w:val="none"/>
        </w:rPr>
        <w:t>附件</w:t>
      </w:r>
      <w:r>
        <w:rPr>
          <w:rFonts w:hint="eastAsia" w:ascii="宋体" w:hAnsi="宋体" w:eastAsia="宋体"/>
          <w:b/>
          <w:color w:val="auto"/>
          <w:kern w:val="2"/>
          <w:sz w:val="24"/>
          <w:szCs w:val="24"/>
          <w:highlight w:val="none"/>
          <w:lang w:val="en-US" w:eastAsia="zh-CN"/>
        </w:rPr>
        <w:t>9</w:t>
      </w:r>
    </w:p>
    <w:p w14:paraId="401D9506">
      <w:pPr>
        <w:pStyle w:val="49"/>
        <w:ind w:firstLine="0" w:firstLineChars="0"/>
        <w:jc w:val="center"/>
        <w:rPr>
          <w:rFonts w:ascii="宋体" w:hAnsi="宋体" w:eastAsia="宋体"/>
          <w:b/>
          <w:color w:val="auto"/>
          <w:kern w:val="2"/>
          <w:sz w:val="28"/>
          <w:szCs w:val="28"/>
          <w:highlight w:val="none"/>
        </w:rPr>
      </w:pPr>
      <w:r>
        <w:rPr>
          <w:rFonts w:hint="eastAsia" w:ascii="宋体" w:hAnsi="宋体" w:eastAsia="宋体"/>
          <w:b/>
          <w:color w:val="auto"/>
          <w:kern w:val="2"/>
          <w:sz w:val="28"/>
          <w:szCs w:val="28"/>
          <w:highlight w:val="none"/>
        </w:rPr>
        <w:t>残疾人福利性单位声明函</w:t>
      </w:r>
    </w:p>
    <w:p w14:paraId="5079689D">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141号）的规定，本单位为符合条件的残疾人福利性单位，且本单位参加______单位的采购文件编号为______的项目（分包号：**）采购活动由本单位</w:t>
      </w:r>
      <w:r>
        <w:rPr>
          <w:rFonts w:hint="eastAsia" w:ascii="宋体" w:hAnsi="宋体" w:cs="宋体"/>
          <w:color w:val="auto"/>
          <w:sz w:val="24"/>
          <w:szCs w:val="24"/>
          <w:highlight w:val="none"/>
        </w:rPr>
        <w:t>承担工程</w:t>
      </w:r>
      <w:r>
        <w:rPr>
          <w:rFonts w:hint="eastAsia" w:ascii="宋体" w:hAnsi="宋体"/>
          <w:color w:val="auto"/>
          <w:sz w:val="24"/>
          <w:highlight w:val="none"/>
        </w:rPr>
        <w:t>。</w:t>
      </w:r>
    </w:p>
    <w:p w14:paraId="0722AA49">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本单位对上述声明的真实性负责。如有虚假，将依法承担相应责任。</w:t>
      </w:r>
    </w:p>
    <w:p w14:paraId="57700FC4">
      <w:pPr>
        <w:spacing w:line="588" w:lineRule="exact"/>
        <w:ind w:firstLine="480" w:firstLineChars="200"/>
        <w:rPr>
          <w:rFonts w:ascii="宋体" w:hAnsi="宋体"/>
          <w:color w:val="auto"/>
          <w:sz w:val="24"/>
          <w:highlight w:val="none"/>
        </w:rPr>
      </w:pPr>
      <w:r>
        <w:rPr>
          <w:rFonts w:hint="eastAsia" w:ascii="宋体" w:hAnsi="宋体"/>
          <w:color w:val="auto"/>
          <w:sz w:val="24"/>
          <w:highlight w:val="none"/>
        </w:rPr>
        <w:t>（备注：1、供应商如不提供此声明函，价格将不做相应扣除。2、中标人为残疾人福利单位的，此声明函将随中标结果同时公告，接受社会监督）</w:t>
      </w:r>
    </w:p>
    <w:p w14:paraId="5B816696">
      <w:pPr>
        <w:spacing w:line="588" w:lineRule="exact"/>
        <w:ind w:firstLine="624" w:firstLineChars="200"/>
        <w:rPr>
          <w:rFonts w:ascii="宋体" w:hAnsi="宋体"/>
          <w:color w:val="auto"/>
          <w:spacing w:val="6"/>
          <w:sz w:val="30"/>
          <w:szCs w:val="30"/>
          <w:highlight w:val="none"/>
        </w:rPr>
      </w:pPr>
    </w:p>
    <w:p w14:paraId="575FE329">
      <w:pPr>
        <w:tabs>
          <w:tab w:val="left" w:pos="4860"/>
        </w:tabs>
        <w:spacing w:line="588" w:lineRule="exact"/>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供应商全称（</w:t>
      </w:r>
      <w:r>
        <w:rPr>
          <w:rFonts w:hint="eastAsia" w:ascii="宋体" w:hAnsi="宋体"/>
          <w:color w:val="auto"/>
          <w:sz w:val="24"/>
          <w:szCs w:val="24"/>
          <w:highlight w:val="none"/>
        </w:rPr>
        <w:t>加盖CA电子签章</w:t>
      </w:r>
      <w:r>
        <w:rPr>
          <w:rFonts w:hint="eastAsia" w:ascii="宋体" w:hAnsi="宋体"/>
          <w:color w:val="auto"/>
          <w:sz w:val="24"/>
          <w:highlight w:val="none"/>
        </w:rPr>
        <w:t>）：</w:t>
      </w:r>
    </w:p>
    <w:p w14:paraId="532CBAED">
      <w:pPr>
        <w:tabs>
          <w:tab w:val="left" w:pos="4860"/>
        </w:tabs>
        <w:spacing w:line="588" w:lineRule="exact"/>
        <w:ind w:right="1560" w:firstLine="480" w:firstLineChars="200"/>
        <w:jc w:val="center"/>
        <w:rPr>
          <w:rFonts w:ascii="宋体" w:hAnsi="宋体"/>
          <w:color w:val="auto"/>
          <w:sz w:val="24"/>
          <w:highlight w:val="none"/>
        </w:rPr>
      </w:pPr>
      <w:r>
        <w:rPr>
          <w:rFonts w:hint="eastAsia" w:ascii="宋体" w:hAnsi="宋体"/>
          <w:color w:val="auto"/>
          <w:sz w:val="24"/>
          <w:highlight w:val="none"/>
        </w:rPr>
        <w:t xml:space="preserve">        日  期：</w:t>
      </w:r>
    </w:p>
    <w:p w14:paraId="4DDC071C">
      <w:pPr>
        <w:spacing w:line="300" w:lineRule="auto"/>
        <w:outlineLvl w:val="9"/>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w:t>
      </w:r>
      <w:r>
        <w:rPr>
          <w:rFonts w:hint="eastAsia" w:ascii="宋体" w:hAnsi="宋体"/>
          <w:b/>
          <w:color w:val="auto"/>
          <w:sz w:val="24"/>
          <w:szCs w:val="24"/>
          <w:highlight w:val="none"/>
          <w:lang w:val="en-US" w:eastAsia="zh-CN"/>
        </w:rPr>
        <w:t>0</w:t>
      </w:r>
    </w:p>
    <w:p w14:paraId="5B1B1F9D">
      <w:pPr>
        <w:spacing w:line="420" w:lineRule="exact"/>
        <w:jc w:val="center"/>
        <w:outlineLvl w:val="9"/>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监狱和戒毒企业证明材料</w:t>
      </w:r>
    </w:p>
    <w:p w14:paraId="5BD69E6C">
      <w:pPr>
        <w:spacing w:line="420" w:lineRule="exact"/>
        <w:ind w:firstLine="495"/>
        <w:rPr>
          <w:rFonts w:ascii="宋体" w:hAnsi="宋体" w:cs="宋体"/>
          <w:color w:val="auto"/>
          <w:kern w:val="0"/>
          <w:sz w:val="28"/>
          <w:szCs w:val="28"/>
          <w:highlight w:val="none"/>
        </w:rPr>
      </w:pPr>
    </w:p>
    <w:p w14:paraId="0710A17E">
      <w:pPr>
        <w:spacing w:line="42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（格式自拟）</w:t>
      </w:r>
    </w:p>
    <w:p w14:paraId="729C1E78">
      <w:pPr>
        <w:spacing w:line="420" w:lineRule="exact"/>
        <w:ind w:firstLine="495"/>
        <w:rPr>
          <w:rFonts w:ascii="宋体" w:hAnsi="宋体" w:cs="宋体"/>
          <w:color w:val="auto"/>
          <w:kern w:val="0"/>
          <w:sz w:val="28"/>
          <w:szCs w:val="28"/>
          <w:highlight w:val="none"/>
        </w:rPr>
      </w:pPr>
    </w:p>
    <w:p w14:paraId="1A82C33F">
      <w:pPr>
        <w:jc w:val="center"/>
        <w:rPr>
          <w:rFonts w:ascii="宋体" w:hAnsi="宋体"/>
          <w:b/>
          <w:color w:val="auto"/>
          <w:sz w:val="24"/>
          <w:szCs w:val="24"/>
          <w:highlight w:val="none"/>
        </w:rPr>
      </w:pPr>
      <w:r>
        <w:rPr>
          <w:rFonts w:hint="eastAsia" w:ascii="宋体" w:hAnsi="宋体" w:cs="宋体"/>
          <w:color w:val="auto"/>
          <w:kern w:val="0"/>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r>
        <w:rPr>
          <w:rFonts w:ascii="宋体" w:hAnsi="宋体"/>
          <w:b/>
          <w:color w:val="auto"/>
          <w:sz w:val="24"/>
          <w:szCs w:val="24"/>
          <w:highlight w:val="none"/>
        </w:rPr>
        <w:br w:type="page"/>
      </w:r>
    </w:p>
    <w:p w14:paraId="28431F6F">
      <w:pPr>
        <w:jc w:val="left"/>
        <w:rPr>
          <w:rFonts w:hint="default" w:ascii="宋体" w:hAnsi="宋体" w:eastAsia="宋体"/>
          <w:b/>
          <w:color w:val="auto"/>
          <w:sz w:val="24"/>
          <w:szCs w:val="24"/>
          <w:highlight w:val="none"/>
          <w:lang w:val="en-US" w:eastAsia="zh-CN"/>
        </w:rPr>
      </w:pPr>
      <w:r>
        <w:rPr>
          <w:rFonts w:hint="eastAsia" w:ascii="宋体" w:hAnsi="宋体"/>
          <w:b/>
          <w:color w:val="auto"/>
          <w:sz w:val="24"/>
          <w:szCs w:val="24"/>
          <w:highlight w:val="none"/>
        </w:rPr>
        <w:t>附件</w:t>
      </w:r>
      <w:r>
        <w:rPr>
          <w:rFonts w:hint="eastAsia" w:ascii="宋体" w:hAnsi="宋体"/>
          <w:b/>
          <w:color w:val="auto"/>
          <w:sz w:val="24"/>
          <w:szCs w:val="24"/>
          <w:highlight w:val="none"/>
          <w:lang w:val="en-US" w:eastAsia="zh-CN"/>
        </w:rPr>
        <w:t>12</w:t>
      </w:r>
    </w:p>
    <w:p w14:paraId="133EDFC0">
      <w:pPr>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技术要求响应及偏离表</w:t>
      </w:r>
    </w:p>
    <w:p w14:paraId="593A46F3">
      <w:pPr>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（由供应商据实填写，表格不够自行添加）</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2329"/>
        <w:gridCol w:w="2856"/>
        <w:gridCol w:w="2647"/>
        <w:gridCol w:w="1382"/>
      </w:tblGrid>
      <w:tr w14:paraId="60643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293ED4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4B00E65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146A5DC1">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14:paraId="5ABEBAF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7891F958">
            <w:pPr>
              <w:spacing w:line="340" w:lineRule="exact"/>
              <w:jc w:val="center"/>
              <w:rPr>
                <w:rFonts w:hint="eastAsia" w:ascii="仿宋" w:hAnsi="仿宋" w:eastAsia="仿宋" w:cs="仿宋"/>
                <w:color w:val="auto"/>
                <w:sz w:val="24"/>
                <w:highlight w:val="none"/>
              </w:rPr>
            </w:pPr>
          </w:p>
          <w:p w14:paraId="62CBC2F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28DEE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47AA4DD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38547947">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785B864D">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25F4910">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1C312269">
            <w:pPr>
              <w:spacing w:line="340" w:lineRule="exact"/>
              <w:jc w:val="left"/>
              <w:rPr>
                <w:rFonts w:hint="eastAsia" w:ascii="仿宋" w:hAnsi="仿宋" w:eastAsia="仿宋" w:cs="仿宋"/>
                <w:color w:val="auto"/>
                <w:sz w:val="24"/>
                <w:highlight w:val="none"/>
              </w:rPr>
            </w:pPr>
          </w:p>
        </w:tc>
      </w:tr>
      <w:tr w14:paraId="79169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0A0A4481">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76BB2C53">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55E540B">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4ED7D67D">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1EBEA96B">
            <w:pPr>
              <w:spacing w:line="340" w:lineRule="exact"/>
              <w:jc w:val="left"/>
              <w:rPr>
                <w:rFonts w:hint="eastAsia" w:ascii="仿宋" w:hAnsi="仿宋" w:eastAsia="仿宋" w:cs="仿宋"/>
                <w:color w:val="auto"/>
                <w:sz w:val="24"/>
                <w:highlight w:val="none"/>
              </w:rPr>
            </w:pPr>
          </w:p>
        </w:tc>
      </w:tr>
      <w:tr w14:paraId="091D3B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71F78082">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5CE31F18">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12A11FAE">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30DAFBD">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586DBB46">
            <w:pPr>
              <w:spacing w:line="340" w:lineRule="exact"/>
              <w:jc w:val="left"/>
              <w:rPr>
                <w:rFonts w:hint="eastAsia" w:ascii="仿宋" w:hAnsi="仿宋" w:eastAsia="仿宋" w:cs="仿宋"/>
                <w:color w:val="auto"/>
                <w:sz w:val="24"/>
                <w:highlight w:val="none"/>
              </w:rPr>
            </w:pPr>
          </w:p>
        </w:tc>
      </w:tr>
      <w:tr w14:paraId="543F9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4B6EF5E1">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431C75AA">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2FB4F0D0">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15E8B054">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000E6AFB">
            <w:pPr>
              <w:spacing w:line="340" w:lineRule="exact"/>
              <w:jc w:val="left"/>
              <w:rPr>
                <w:rFonts w:hint="eastAsia" w:ascii="仿宋" w:hAnsi="仿宋" w:eastAsia="仿宋" w:cs="仿宋"/>
                <w:color w:val="auto"/>
                <w:sz w:val="24"/>
                <w:highlight w:val="none"/>
              </w:rPr>
            </w:pPr>
          </w:p>
        </w:tc>
      </w:tr>
      <w:tr w14:paraId="4242E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5F4D749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p>
        </w:tc>
        <w:tc>
          <w:tcPr>
            <w:tcW w:w="1254" w:type="pct"/>
            <w:tcBorders>
              <w:top w:val="single" w:color="auto" w:sz="6" w:space="0"/>
              <w:left w:val="single" w:color="auto" w:sz="6" w:space="0"/>
              <w:bottom w:val="single" w:color="auto" w:sz="6" w:space="0"/>
              <w:right w:val="single" w:color="auto" w:sz="6" w:space="0"/>
            </w:tcBorders>
            <w:noWrap/>
            <w:vAlign w:val="center"/>
          </w:tcPr>
          <w:p w14:paraId="275C5626">
            <w:pPr>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p>
        </w:tc>
        <w:tc>
          <w:tcPr>
            <w:tcW w:w="1095" w:type="pct"/>
            <w:tcBorders>
              <w:top w:val="single" w:color="auto" w:sz="6" w:space="0"/>
              <w:left w:val="single" w:color="auto" w:sz="6" w:space="0"/>
              <w:bottom w:val="single" w:color="auto" w:sz="6" w:space="0"/>
              <w:right w:val="single" w:color="auto" w:sz="6" w:space="0"/>
            </w:tcBorders>
            <w:noWrap/>
            <w:vAlign w:val="center"/>
          </w:tcPr>
          <w:p w14:paraId="0254E56F">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07D65171">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1463EA45">
            <w:pPr>
              <w:spacing w:line="340" w:lineRule="exact"/>
              <w:jc w:val="left"/>
              <w:rPr>
                <w:rFonts w:hint="eastAsia" w:ascii="仿宋" w:hAnsi="仿宋" w:eastAsia="仿宋" w:cs="仿宋"/>
                <w:color w:val="auto"/>
                <w:sz w:val="24"/>
                <w:highlight w:val="none"/>
              </w:rPr>
            </w:pPr>
          </w:p>
        </w:tc>
      </w:tr>
    </w:tbl>
    <w:p w14:paraId="461C18F7">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01F0E8C2">
      <w:pPr>
        <w:spacing w:line="300" w:lineRule="auto"/>
        <w:contextualSpacing/>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 供应商提交的响应文件中与磋商文件第四章“采购需求”中的技术要求如有偏离的，应逐条填列在偏离表中。</w:t>
      </w:r>
      <w:r>
        <w:rPr>
          <w:rFonts w:hint="eastAsia" w:ascii="仿宋" w:hAnsi="仿宋" w:eastAsia="仿宋" w:cs="仿宋"/>
          <w:b/>
          <w:bCs/>
          <w:color w:val="auto"/>
          <w:sz w:val="24"/>
          <w:szCs w:val="24"/>
          <w:highlight w:val="none"/>
        </w:rPr>
        <w:t>如果磋商文件要求提供证明材料，供应商需将证明材料列于该表之下。</w:t>
      </w:r>
    </w:p>
    <w:p w14:paraId="26CC1222">
      <w:pPr>
        <w:spacing w:line="300" w:lineRule="auto"/>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2.“偏离说明”一栏选择“正偏离”、“无偏离”、“负偏离”进行填写。</w:t>
      </w:r>
      <w:r>
        <w:rPr>
          <w:rFonts w:hint="eastAsia" w:ascii="仿宋" w:hAnsi="仿宋" w:eastAsia="仿宋" w:cs="仿宋"/>
          <w:b/>
          <w:bCs/>
          <w:color w:val="auto"/>
          <w:sz w:val="24"/>
          <w:highlight w:val="none"/>
        </w:rPr>
        <w:t>未填写的内容视为完全响应本磋商文件要求。</w:t>
      </w:r>
      <w:r>
        <w:rPr>
          <w:rFonts w:hint="eastAsia" w:ascii="仿宋" w:hAnsi="仿宋" w:eastAsia="仿宋" w:cs="仿宋"/>
          <w:color w:val="auto"/>
          <w:sz w:val="24"/>
          <w:highlight w:val="none"/>
        </w:rPr>
        <w:t>正偏离、无偏离的确认和负偏离是否响应磋商文件，由磋商小组认定。</w:t>
      </w:r>
    </w:p>
    <w:p w14:paraId="4A78EB05">
      <w:pPr>
        <w:pStyle w:val="50"/>
        <w:rPr>
          <w:rFonts w:hint="eastAsia" w:ascii="仿宋" w:hAnsi="仿宋" w:eastAsia="仿宋" w:cs="仿宋"/>
          <w:color w:val="auto"/>
          <w:highlight w:val="none"/>
        </w:rPr>
      </w:pPr>
    </w:p>
    <w:p w14:paraId="67CEB07D">
      <w:pPr>
        <w:ind w:left="480"/>
        <w:rPr>
          <w:rFonts w:hint="eastAsia" w:ascii="仿宋" w:hAnsi="仿宋" w:eastAsia="仿宋" w:cs="仿宋"/>
          <w:b/>
          <w:i/>
          <w:color w:val="auto"/>
          <w:sz w:val="24"/>
          <w:szCs w:val="21"/>
          <w:highlight w:val="none"/>
          <w:u w:val="single"/>
        </w:rPr>
      </w:pPr>
    </w:p>
    <w:p w14:paraId="08E395F5">
      <w:pPr>
        <w:rPr>
          <w:rFonts w:hint="default" w:ascii="仿宋" w:hAnsi="仿宋" w:eastAsia="仿宋" w:cs="仿宋"/>
          <w:b/>
          <w:color w:val="auto"/>
          <w:sz w:val="28"/>
          <w:szCs w:val="28"/>
          <w:highlight w:val="none"/>
          <w:lang w:val="en-US" w:eastAsia="zh-CN"/>
        </w:rPr>
      </w:pPr>
      <w:r>
        <w:rPr>
          <w:rFonts w:hint="eastAsia" w:ascii="仿宋" w:hAnsi="仿宋" w:eastAsia="仿宋" w:cs="仿宋"/>
          <w:b/>
          <w:color w:val="auto"/>
          <w:sz w:val="24"/>
          <w:szCs w:val="24"/>
          <w:highlight w:val="none"/>
        </w:rPr>
        <w:br w:type="page" w:clear="all"/>
      </w: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11</w:t>
      </w:r>
    </w:p>
    <w:p w14:paraId="74919959">
      <w:pPr>
        <w:rPr>
          <w:rFonts w:hint="eastAsia" w:ascii="仿宋" w:hAnsi="仿宋" w:eastAsia="仿宋" w:cs="仿宋"/>
          <w:b/>
          <w:color w:val="auto"/>
          <w:sz w:val="28"/>
          <w:szCs w:val="28"/>
          <w:highlight w:val="none"/>
        </w:rPr>
      </w:pPr>
    </w:p>
    <w:p w14:paraId="7C98D7B4">
      <w:pPr>
        <w:ind w:firstLine="562"/>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商务要求响应及偏离表</w:t>
      </w:r>
    </w:p>
    <w:p w14:paraId="2CE6F15E">
      <w:pPr>
        <w:ind w:firstLine="48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（由供应商据实填写，表格不够自行添加）</w:t>
      </w:r>
    </w:p>
    <w:tbl>
      <w:tblPr>
        <w:tblStyle w:val="5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3"/>
        <w:gridCol w:w="2300"/>
        <w:gridCol w:w="2856"/>
        <w:gridCol w:w="2581"/>
        <w:gridCol w:w="1382"/>
      </w:tblGrid>
      <w:tr w14:paraId="6B5EA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14:paraId="7DC8E1EF">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14:paraId="5213B83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14:paraId="778AF0B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14:paraId="6D42ED21">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14:paraId="4F85E59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偏离说明</w:t>
            </w:r>
          </w:p>
        </w:tc>
      </w:tr>
      <w:tr w14:paraId="1A827D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14:paraId="2E5008E6">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14:paraId="011F8518">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6FD4CFC1">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168BBBB">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0DC54222">
            <w:pPr>
              <w:spacing w:line="340" w:lineRule="exact"/>
              <w:jc w:val="left"/>
              <w:rPr>
                <w:rFonts w:hint="eastAsia" w:ascii="仿宋" w:hAnsi="仿宋" w:eastAsia="仿宋" w:cs="仿宋"/>
                <w:color w:val="auto"/>
                <w:sz w:val="24"/>
                <w:highlight w:val="none"/>
              </w:rPr>
            </w:pPr>
          </w:p>
        </w:tc>
      </w:tr>
      <w:tr w14:paraId="3A3ACE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14:paraId="29C3F27B">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14:paraId="6BB24953">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8F685EC">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3E3CE2D8">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4DF2C936">
            <w:pPr>
              <w:spacing w:line="340" w:lineRule="exact"/>
              <w:jc w:val="left"/>
              <w:rPr>
                <w:rFonts w:hint="eastAsia" w:ascii="仿宋" w:hAnsi="仿宋" w:eastAsia="仿宋" w:cs="仿宋"/>
                <w:color w:val="auto"/>
                <w:sz w:val="24"/>
                <w:highlight w:val="none"/>
              </w:rPr>
            </w:pPr>
          </w:p>
        </w:tc>
      </w:tr>
      <w:tr w14:paraId="13839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14:paraId="2AD1CE3D">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14:paraId="36C1C732">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0CEBF54B">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ED44048">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7787555A">
            <w:pPr>
              <w:spacing w:line="340" w:lineRule="exact"/>
              <w:jc w:val="left"/>
              <w:rPr>
                <w:rFonts w:hint="eastAsia" w:ascii="仿宋" w:hAnsi="仿宋" w:eastAsia="仿宋" w:cs="仿宋"/>
                <w:color w:val="auto"/>
                <w:sz w:val="24"/>
                <w:highlight w:val="none"/>
              </w:rPr>
            </w:pPr>
          </w:p>
        </w:tc>
      </w:tr>
      <w:tr w14:paraId="746A11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14:paraId="4FC3AD78">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14:paraId="78C159BA">
            <w:pPr>
              <w:spacing w:line="340" w:lineRule="exact"/>
              <w:jc w:val="left"/>
              <w:rPr>
                <w:rFonts w:hint="eastAsia" w:ascii="仿宋" w:hAnsi="仿宋" w:eastAsia="仿宋" w:cs="仿宋"/>
                <w:color w:val="auto"/>
                <w:sz w:val="24"/>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14:paraId="55436CA0">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2EB1B3E9">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2B33BDF7">
            <w:pPr>
              <w:spacing w:line="340" w:lineRule="exact"/>
              <w:jc w:val="left"/>
              <w:rPr>
                <w:rFonts w:hint="eastAsia" w:ascii="仿宋" w:hAnsi="仿宋" w:eastAsia="仿宋" w:cs="仿宋"/>
                <w:color w:val="auto"/>
                <w:sz w:val="24"/>
                <w:highlight w:val="none"/>
              </w:rPr>
            </w:pPr>
          </w:p>
        </w:tc>
      </w:tr>
      <w:tr w14:paraId="48ADE5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843" w:type="dxa"/>
            <w:tcBorders>
              <w:top w:val="single" w:color="auto" w:sz="6" w:space="0"/>
              <w:left w:val="single" w:color="auto" w:sz="12" w:space="0"/>
              <w:bottom w:val="single" w:color="auto" w:sz="6" w:space="0"/>
              <w:right w:val="single" w:color="auto" w:sz="6" w:space="0"/>
            </w:tcBorders>
            <w:noWrap/>
          </w:tcPr>
          <w:p w14:paraId="5D9D6FB9">
            <w:pPr>
              <w:spacing w:line="340" w:lineRule="exact"/>
              <w:jc w:val="cente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p>
        </w:tc>
        <w:tc>
          <w:tcPr>
            <w:tcW w:w="2300" w:type="dxa"/>
            <w:tcBorders>
              <w:top w:val="single" w:color="auto" w:sz="6" w:space="0"/>
              <w:left w:val="single" w:color="auto" w:sz="6" w:space="0"/>
              <w:bottom w:val="single" w:color="auto" w:sz="6" w:space="0"/>
              <w:right w:val="single" w:color="auto" w:sz="6" w:space="0"/>
            </w:tcBorders>
            <w:noWrap/>
            <w:vAlign w:val="center"/>
          </w:tcPr>
          <w:p w14:paraId="0C79D0A5">
            <w:pPr>
              <w:spacing w:line="340" w:lineRule="exact"/>
              <w:jc w:val="left"/>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p>
        </w:tc>
        <w:tc>
          <w:tcPr>
            <w:tcW w:w="1095" w:type="pct"/>
            <w:tcBorders>
              <w:top w:val="single" w:color="auto" w:sz="6" w:space="0"/>
              <w:left w:val="single" w:color="auto" w:sz="6" w:space="0"/>
              <w:bottom w:val="single" w:color="auto" w:sz="6" w:space="0"/>
              <w:right w:val="single" w:color="auto" w:sz="6" w:space="0"/>
            </w:tcBorders>
            <w:noWrap/>
            <w:vAlign w:val="center"/>
          </w:tcPr>
          <w:p w14:paraId="51A50D84">
            <w:pPr>
              <w:spacing w:line="340" w:lineRule="exact"/>
              <w:jc w:val="left"/>
              <w:rPr>
                <w:rFonts w:hint="eastAsia" w:ascii="仿宋" w:hAnsi="仿宋" w:eastAsia="仿宋" w:cs="仿宋"/>
                <w:color w:val="auto"/>
                <w:sz w:val="24"/>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14:paraId="66DEA0BB">
            <w:pPr>
              <w:spacing w:line="340" w:lineRule="exact"/>
              <w:jc w:val="left"/>
              <w:rPr>
                <w:rFonts w:hint="eastAsia" w:ascii="仿宋" w:hAnsi="仿宋" w:eastAsia="仿宋" w:cs="仿宋"/>
                <w:color w:val="auto"/>
                <w:sz w:val="24"/>
                <w:highlight w:val="none"/>
              </w:rPr>
            </w:pPr>
          </w:p>
        </w:tc>
        <w:tc>
          <w:tcPr>
            <w:tcW w:w="778" w:type="pct"/>
            <w:tcBorders>
              <w:top w:val="single" w:color="auto" w:sz="6" w:space="0"/>
              <w:left w:val="single" w:color="auto" w:sz="6" w:space="0"/>
              <w:bottom w:val="single" w:color="auto" w:sz="6" w:space="0"/>
              <w:right w:val="single" w:color="auto" w:sz="12" w:space="0"/>
            </w:tcBorders>
            <w:noWrap/>
          </w:tcPr>
          <w:p w14:paraId="09313C63">
            <w:pPr>
              <w:spacing w:line="340" w:lineRule="exact"/>
              <w:jc w:val="left"/>
              <w:rPr>
                <w:rFonts w:hint="eastAsia" w:ascii="仿宋" w:hAnsi="仿宋" w:eastAsia="仿宋" w:cs="仿宋"/>
                <w:color w:val="auto"/>
                <w:sz w:val="24"/>
                <w:highlight w:val="none"/>
              </w:rPr>
            </w:pPr>
          </w:p>
        </w:tc>
      </w:tr>
    </w:tbl>
    <w:p w14:paraId="6CE0B508">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48EF1266">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供应商提交的响应文件中与磋商文件第四章“采购需求”中的商务要求如有偏离的，应逐条填列在偏离表中。</w:t>
      </w:r>
      <w:r>
        <w:rPr>
          <w:rFonts w:hint="eastAsia" w:ascii="仿宋" w:hAnsi="仿宋" w:eastAsia="仿宋" w:cs="仿宋"/>
          <w:b/>
          <w:bCs/>
          <w:color w:val="auto"/>
          <w:sz w:val="24"/>
          <w:szCs w:val="24"/>
          <w:highlight w:val="none"/>
        </w:rPr>
        <w:t>如果磋商文件要求提供证明材料，供应商需将证明材料列于该表之下。</w:t>
      </w:r>
    </w:p>
    <w:p w14:paraId="00EDFD5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2.“偏离说明”一栏选择“正偏离”、“无偏离”、“负偏离”进行填写。</w:t>
      </w:r>
      <w:r>
        <w:rPr>
          <w:rFonts w:hint="eastAsia" w:ascii="仿宋" w:hAnsi="仿宋" w:eastAsia="仿宋" w:cs="仿宋"/>
          <w:b/>
          <w:bCs/>
          <w:color w:val="auto"/>
          <w:sz w:val="24"/>
          <w:szCs w:val="24"/>
          <w:highlight w:val="none"/>
        </w:rPr>
        <w:t>未填写的内容视为完全响应本磋商文件要求</w:t>
      </w:r>
      <w:r>
        <w:rPr>
          <w:rFonts w:hint="eastAsia" w:ascii="仿宋" w:hAnsi="仿宋" w:eastAsia="仿宋" w:cs="仿宋"/>
          <w:color w:val="auto"/>
          <w:sz w:val="24"/>
          <w:szCs w:val="24"/>
          <w:highlight w:val="none"/>
        </w:rPr>
        <w:t>。正偏离、无偏离的确认和负偏离是否响应磋商文件，由磋商小组认定。</w:t>
      </w:r>
    </w:p>
    <w:p w14:paraId="6B0461EA">
      <w:pPr>
        <w:rPr>
          <w:rFonts w:ascii="宋体" w:hAnsi="宋体"/>
          <w:b/>
          <w:color w:val="auto"/>
          <w:sz w:val="24"/>
          <w:szCs w:val="24"/>
          <w:highlight w:val="none"/>
        </w:rPr>
      </w:pPr>
      <w:r>
        <w:rPr>
          <w:rFonts w:ascii="宋体" w:hAnsi="宋体"/>
          <w:b/>
          <w:color w:val="auto"/>
          <w:sz w:val="24"/>
          <w:szCs w:val="24"/>
          <w:highlight w:val="none"/>
        </w:rPr>
        <w:br w:type="page"/>
      </w:r>
    </w:p>
    <w:p w14:paraId="6DFF4AFF">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rFonts w:hint="default" w:ascii="宋体" w:hAnsi="宋体" w:eastAsia="宋体"/>
          <w:b/>
          <w:color w:val="auto"/>
          <w:sz w:val="24"/>
          <w:szCs w:val="24"/>
          <w:highlight w:val="none"/>
          <w:lang w:val="en-US" w:eastAsia="zh-CN"/>
        </w:rPr>
      </w:pPr>
      <w:r>
        <w:rPr>
          <w:rFonts w:ascii="宋体" w:hAnsi="宋体"/>
          <w:b/>
          <w:color w:val="auto"/>
          <w:sz w:val="24"/>
          <w:szCs w:val="24"/>
          <w:highlight w:val="none"/>
        </w:rPr>
        <w:t>附件</w:t>
      </w:r>
      <w:r>
        <w:rPr>
          <w:rFonts w:hint="eastAsia" w:ascii="宋体" w:hAnsi="宋体"/>
          <w:b/>
          <w:color w:val="auto"/>
          <w:sz w:val="24"/>
          <w:szCs w:val="24"/>
          <w:highlight w:val="none"/>
          <w:lang w:val="en-US" w:eastAsia="zh-CN"/>
        </w:rPr>
        <w:t>13</w:t>
      </w:r>
    </w:p>
    <w:p w14:paraId="5E1E6760">
      <w:pPr>
        <w:jc w:val="center"/>
        <w:rPr>
          <w:rFonts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44CBA5B0">
      <w:pPr>
        <w:adjustRightInd w:val="0"/>
        <w:snapToGrid w:val="0"/>
        <w:spacing w:before="312" w:beforeLines="100"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一、质疑供应商基本信息</w:t>
      </w:r>
    </w:p>
    <w:p w14:paraId="5B67D09F">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质疑供应商：</w:t>
      </w:r>
    </w:p>
    <w:p w14:paraId="37DF81EE">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地址：邮编：</w:t>
      </w:r>
    </w:p>
    <w:p w14:paraId="73076C93">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联系人：联系电话：</w:t>
      </w:r>
    </w:p>
    <w:p w14:paraId="0151AA93">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授权代表：</w:t>
      </w:r>
    </w:p>
    <w:p w14:paraId="16FFDC07">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联系电话：</w:t>
      </w:r>
    </w:p>
    <w:p w14:paraId="63E278B4">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地址：邮编：</w:t>
      </w:r>
    </w:p>
    <w:p w14:paraId="779D782C">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二、质疑项目基本情况</w:t>
      </w:r>
    </w:p>
    <w:p w14:paraId="21AEBF9F">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质疑项目的名称：</w:t>
      </w:r>
    </w:p>
    <w:p w14:paraId="5CDD036F">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质疑项目的编号：包号：</w:t>
      </w:r>
    </w:p>
    <w:p w14:paraId="3D893979">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采购人名称：</w:t>
      </w:r>
    </w:p>
    <w:p w14:paraId="72524E49">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采购文件获取日期：</w:t>
      </w:r>
    </w:p>
    <w:p w14:paraId="0610613F">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三、质疑事项具体内容</w:t>
      </w:r>
    </w:p>
    <w:p w14:paraId="44666392">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质疑事项1：</w:t>
      </w:r>
    </w:p>
    <w:p w14:paraId="138BCBE0">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事实依据：</w:t>
      </w:r>
    </w:p>
    <w:p w14:paraId="5431DD58">
      <w:pPr>
        <w:adjustRightInd w:val="0"/>
        <w:snapToGrid w:val="0"/>
        <w:spacing w:line="360" w:lineRule="auto"/>
        <w:rPr>
          <w:rFonts w:ascii="宋体" w:hAnsi="宋体" w:cs="仿宋"/>
          <w:color w:val="auto"/>
          <w:sz w:val="24"/>
          <w:szCs w:val="24"/>
          <w:highlight w:val="none"/>
        </w:rPr>
      </w:pPr>
    </w:p>
    <w:p w14:paraId="2CA2D307">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法律依据：</w:t>
      </w:r>
    </w:p>
    <w:p w14:paraId="2F3A6503">
      <w:pPr>
        <w:adjustRightInd w:val="0"/>
        <w:snapToGrid w:val="0"/>
        <w:spacing w:line="360" w:lineRule="auto"/>
        <w:rPr>
          <w:rFonts w:ascii="宋体" w:hAnsi="宋体" w:cs="仿宋"/>
          <w:color w:val="auto"/>
          <w:sz w:val="24"/>
          <w:szCs w:val="24"/>
          <w:highlight w:val="none"/>
          <w:u w:val="dotted"/>
        </w:rPr>
      </w:pPr>
    </w:p>
    <w:p w14:paraId="0EEE66BF">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质疑事项2</w:t>
      </w:r>
    </w:p>
    <w:p w14:paraId="4C033117">
      <w:pPr>
        <w:adjustRightInd w:val="0"/>
        <w:snapToGrid w:val="0"/>
        <w:spacing w:line="360" w:lineRule="auto"/>
        <w:rPr>
          <w:rFonts w:ascii="宋体" w:hAnsi="宋体" w:cs="仿宋"/>
          <w:color w:val="auto"/>
          <w:sz w:val="24"/>
          <w:szCs w:val="24"/>
          <w:highlight w:val="none"/>
        </w:rPr>
      </w:pPr>
      <w:r>
        <w:rPr>
          <w:rFonts w:hint="eastAsia" w:ascii="宋体" w:hAnsi="宋体" w:cs="仿宋"/>
          <w:color w:val="auto"/>
          <w:sz w:val="24"/>
          <w:szCs w:val="24"/>
          <w:highlight w:val="none"/>
        </w:rPr>
        <w:t>……</w:t>
      </w:r>
    </w:p>
    <w:p w14:paraId="02D24470">
      <w:pPr>
        <w:adjustRightInd w:val="0"/>
        <w:snapToGrid w:val="0"/>
        <w:spacing w:line="360" w:lineRule="auto"/>
        <w:rPr>
          <w:rFonts w:ascii="宋体" w:hAnsi="宋体" w:cs="仿宋"/>
          <w:bCs/>
          <w:color w:val="auto"/>
          <w:sz w:val="24"/>
          <w:szCs w:val="24"/>
          <w:highlight w:val="none"/>
        </w:rPr>
      </w:pPr>
      <w:r>
        <w:rPr>
          <w:rFonts w:hint="eastAsia" w:ascii="宋体" w:hAnsi="宋体" w:cs="仿宋"/>
          <w:bCs/>
          <w:color w:val="auto"/>
          <w:sz w:val="24"/>
          <w:szCs w:val="24"/>
          <w:highlight w:val="none"/>
        </w:rPr>
        <w:t>四、与质疑事项相关的质疑请求</w:t>
      </w:r>
    </w:p>
    <w:p w14:paraId="1CF16179">
      <w:pPr>
        <w:adjustRightInd w:val="0"/>
        <w:snapToGrid w:val="0"/>
        <w:spacing w:line="360" w:lineRule="auto"/>
        <w:rPr>
          <w:rFonts w:ascii="宋体" w:hAnsi="宋体" w:cs="仿宋"/>
          <w:color w:val="auto"/>
          <w:sz w:val="24"/>
          <w:szCs w:val="24"/>
          <w:highlight w:val="none"/>
          <w:u w:val="dotted"/>
        </w:rPr>
      </w:pPr>
      <w:r>
        <w:rPr>
          <w:rFonts w:hint="eastAsia" w:ascii="宋体" w:hAnsi="宋体" w:cs="仿宋"/>
          <w:color w:val="auto"/>
          <w:sz w:val="24"/>
          <w:szCs w:val="24"/>
          <w:highlight w:val="none"/>
        </w:rPr>
        <w:t>请求：</w:t>
      </w:r>
    </w:p>
    <w:p w14:paraId="7D41473F">
      <w:pPr>
        <w:rPr>
          <w:rFonts w:ascii="宋体" w:hAnsi="宋体"/>
          <w:color w:val="auto"/>
          <w:sz w:val="24"/>
          <w:szCs w:val="24"/>
          <w:highlight w:val="none"/>
        </w:rPr>
      </w:pPr>
      <w:r>
        <w:rPr>
          <w:rFonts w:hint="eastAsia" w:ascii="宋体" w:hAnsi="宋体"/>
          <w:color w:val="auto"/>
          <w:sz w:val="24"/>
          <w:szCs w:val="24"/>
          <w:highlight w:val="none"/>
        </w:rPr>
        <w:t xml:space="preserve">签字(签章)：                   公章：                      </w:t>
      </w:r>
    </w:p>
    <w:p w14:paraId="34730F79">
      <w:pPr>
        <w:rPr>
          <w:rFonts w:ascii="宋体" w:hAnsi="宋体"/>
          <w:color w:val="auto"/>
          <w:sz w:val="24"/>
          <w:szCs w:val="24"/>
          <w:highlight w:val="none"/>
        </w:rPr>
      </w:pPr>
      <w:r>
        <w:rPr>
          <w:rFonts w:hint="eastAsia" w:ascii="宋体" w:hAnsi="宋体"/>
          <w:color w:val="auto"/>
          <w:sz w:val="24"/>
          <w:szCs w:val="24"/>
          <w:highlight w:val="none"/>
        </w:rPr>
        <w:t xml:space="preserve">日期：    </w:t>
      </w:r>
    </w:p>
    <w:p w14:paraId="2F58F5E2">
      <w:pPr>
        <w:spacing w:line="400" w:lineRule="exact"/>
        <w:rPr>
          <w:rFonts w:ascii="宋体" w:hAnsi="宋体"/>
          <w:b/>
          <w:color w:val="auto"/>
          <w:sz w:val="24"/>
          <w:szCs w:val="24"/>
          <w:highlight w:val="none"/>
        </w:rPr>
      </w:pPr>
      <w:r>
        <w:rPr>
          <w:rFonts w:hint="eastAsia" w:ascii="宋体" w:hAnsi="宋体"/>
          <w:b/>
          <w:color w:val="auto"/>
          <w:sz w:val="24"/>
          <w:szCs w:val="24"/>
          <w:highlight w:val="none"/>
        </w:rPr>
        <w:t>质疑函制作说明：</w:t>
      </w:r>
    </w:p>
    <w:p w14:paraId="10A769D3">
      <w:pPr>
        <w:widowControl/>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1.供应商提出质疑时，应提交质疑函和必要的证明材料。</w:t>
      </w:r>
    </w:p>
    <w:p w14:paraId="4A11838B">
      <w:pPr>
        <w:widowControl/>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14:paraId="545D6723">
      <w:pPr>
        <w:widowControl/>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3.质疑供应商若对项目的某一分包进行质疑，质疑函中应列明具体分包号。</w:t>
      </w:r>
    </w:p>
    <w:p w14:paraId="1A186AAA">
      <w:pPr>
        <w:widowControl/>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4.质疑函的质疑事项应具体、明确，并有必要的事实依据和法律依据。</w:t>
      </w:r>
    </w:p>
    <w:p w14:paraId="660FE33B">
      <w:pPr>
        <w:widowControl/>
        <w:spacing w:line="40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5.质疑函的质疑请求应与质疑事项相关。</w:t>
      </w:r>
    </w:p>
    <w:p w14:paraId="0D13804F">
      <w:pPr>
        <w:widowControl/>
        <w:spacing w:line="400" w:lineRule="exact"/>
        <w:ind w:firstLine="480" w:firstLineChars="200"/>
        <w:jc w:val="left"/>
        <w:rPr>
          <w:rFonts w:hint="eastAsia" w:ascii="Times New Roman" w:hAnsi="Times New Roman" w:eastAsia="宋体"/>
          <w:color w:val="auto"/>
          <w:highlight w:val="none"/>
          <w:lang w:eastAsia="zh-CN"/>
        </w:rPr>
      </w:pPr>
      <w:r>
        <w:rPr>
          <w:rFonts w:hint="eastAsia" w:ascii="宋体" w:hAnsi="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r>
        <w:rPr>
          <w:rFonts w:hint="eastAsia" w:ascii="宋体" w:hAnsi="宋体"/>
          <w:color w:val="auto"/>
          <w:sz w:val="24"/>
          <w:szCs w:val="24"/>
          <w:highlight w:val="none"/>
          <w:lang w:eastAsia="zh-CN"/>
        </w:rPr>
        <w:t>。</w:t>
      </w:r>
    </w:p>
    <w:sectPr>
      <w:footerReference r:id="rId8" w:type="first"/>
      <w:headerReference r:id="rId5" w:type="default"/>
      <w:footerReference r:id="rId6" w:type="default"/>
      <w:footerReference r:id="rId7" w:type="even"/>
      <w:pgSz w:w="11906" w:h="16838"/>
      <w:pgMar w:top="1440" w:right="1080" w:bottom="1440" w:left="1080" w:header="851" w:footer="90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00"/>
    <w:family w:val="auto"/>
    <w:pitch w:val="default"/>
    <w:sig w:usb0="00000000" w:usb1="00000000" w:usb2="00000000" w:usb3="00000000" w:csb0="00000000" w:csb1="00000000"/>
  </w:font>
  <w:font w:name="方正黑体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20B0503020202020204"/>
    <w:charset w:val="00"/>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04ED1">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6D6A">
    <w:pPr>
      <w:spacing w:line="173" w:lineRule="auto"/>
      <w:ind w:left="4627"/>
      <w:rPr>
        <w:rFonts w:ascii="Times New Roman" w:hAnsi="Times New Roman" w:eastAsia="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ABA7B">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Kcwv1w2AgAAYwQAAA4AAAAAAAAAAQAgAAAAHwEAAGRycy9lMm9Eb2MueG1s&#10;UEsFBgAAAAAGAAYAWQEAAMcFAAAAAA==&#10;">
              <v:fill on="f" focussize="0,0"/>
              <v:stroke on="f" weight="0.5pt"/>
              <v:imagedata o:title=""/>
              <o:lock v:ext="edit" aspectratio="f"/>
              <v:textbox inset="0mm,0mm,0mm,0mm" style="mso-fit-shape-to-text:t;">
                <w:txbxContent>
                  <w:p w14:paraId="6AAABA7B">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0074">
    <w:pPr>
      <w:pStyle w:val="32"/>
      <w:jc w:val="center"/>
      <w:rPr>
        <w:b/>
        <w:i/>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21F2F">
                          <w:pPr>
                            <w:pStyle w:val="3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BmfhYg2AgAAYwQAAA4AAAAAAAAAAQAgAAAAHwEAAGRycy9lMm9Eb2MueG1s&#10;UEsFBgAAAAAGAAYAWQEAAMcFAAAAAA==&#10;">
              <v:fill on="f" focussize="0,0"/>
              <v:stroke on="f" weight="0.5pt"/>
              <v:imagedata o:title=""/>
              <o:lock v:ext="edit" aspectratio="f"/>
              <v:textbox inset="0mm,0mm,0mm,0mm" style="mso-fit-shape-to-text:t;">
                <w:txbxContent>
                  <w:p w14:paraId="03F21F2F">
                    <w:pPr>
                      <w:pStyle w:val="3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62258">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1</w:t>
    </w:r>
    <w:r>
      <w:fldChar w:fldCharType="end"/>
    </w:r>
  </w:p>
  <w:p w14:paraId="5974D55E">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E587">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16859">
                          <w:pPr>
                            <w:pStyle w:val="3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TjceWNwIAAGMEAAAOAAAAAAAAAAEAIAAAAB8BAABkcnMvZTJvRG9jLnht&#10;bFBLBQYAAAAABgAGAFkBAADIBQAAAAA=&#10;">
              <v:fill on="f" focussize="0,0"/>
              <v:stroke on="f" weight="0.5pt"/>
              <v:imagedata o:title=""/>
              <o:lock v:ext="edit" aspectratio="f"/>
              <v:textbox inset="0mm,0mm,0mm,0mm" style="mso-fit-shape-to-text:t;">
                <w:txbxContent>
                  <w:p w14:paraId="04016859">
                    <w:pPr>
                      <w:pStyle w:val="3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E0D6">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Letter"/>
      <w:pStyle w:val="250"/>
      <w:lvlText w:val="附录%1."/>
      <w:lvlJc w:val="left"/>
      <w:pPr>
        <w:tabs>
          <w:tab w:val="left" w:pos="907"/>
        </w:tabs>
        <w:ind w:left="907" w:hanging="907"/>
      </w:pPr>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2">
    <w:nsid w:val="10A35D59"/>
    <w:multiLevelType w:val="multilevel"/>
    <w:tmpl w:val="10A35D59"/>
    <w:lvl w:ilvl="0" w:tentative="0">
      <w:start w:val="1"/>
      <w:numFmt w:val="decimal"/>
      <w:suff w:val="nothing"/>
      <w:lvlText w:val="（%1）"/>
      <w:lvlJc w:val="left"/>
      <w:rPr>
        <w:rFonts w:cs="Times New Roman"/>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59ADCABA"/>
    <w:multiLevelType w:val="multilevel"/>
    <w:tmpl w:val="59ADCABA"/>
    <w:lvl w:ilvl="0" w:tentative="0">
      <w:start w:val="1"/>
      <w:numFmt w:val="decimal"/>
      <w:pStyle w:val="25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018F6A3E"/>
    <w:rsid w:val="02DD77F9"/>
    <w:rsid w:val="03375E63"/>
    <w:rsid w:val="033A26B5"/>
    <w:rsid w:val="094A39EE"/>
    <w:rsid w:val="09B63701"/>
    <w:rsid w:val="0C9D1011"/>
    <w:rsid w:val="10660D3A"/>
    <w:rsid w:val="10A76889"/>
    <w:rsid w:val="1146319E"/>
    <w:rsid w:val="169D1326"/>
    <w:rsid w:val="1A357638"/>
    <w:rsid w:val="1B2304CB"/>
    <w:rsid w:val="1E4F4D7F"/>
    <w:rsid w:val="1E62123C"/>
    <w:rsid w:val="21242AF6"/>
    <w:rsid w:val="213C5216"/>
    <w:rsid w:val="22AE3C35"/>
    <w:rsid w:val="2443573A"/>
    <w:rsid w:val="26946591"/>
    <w:rsid w:val="28F54E2E"/>
    <w:rsid w:val="294528DA"/>
    <w:rsid w:val="2B932BBB"/>
    <w:rsid w:val="2CA541BD"/>
    <w:rsid w:val="2FE741D6"/>
    <w:rsid w:val="31BB7E81"/>
    <w:rsid w:val="33303A6F"/>
    <w:rsid w:val="35B7678E"/>
    <w:rsid w:val="38BA2E86"/>
    <w:rsid w:val="39545CE6"/>
    <w:rsid w:val="3CFB49AC"/>
    <w:rsid w:val="3D736C38"/>
    <w:rsid w:val="40030006"/>
    <w:rsid w:val="420320EA"/>
    <w:rsid w:val="43371ABA"/>
    <w:rsid w:val="44384737"/>
    <w:rsid w:val="494F7001"/>
    <w:rsid w:val="4BFC470B"/>
    <w:rsid w:val="52862B12"/>
    <w:rsid w:val="55815288"/>
    <w:rsid w:val="59A61BCC"/>
    <w:rsid w:val="6346705A"/>
    <w:rsid w:val="64FA42F3"/>
    <w:rsid w:val="6516669D"/>
    <w:rsid w:val="69817536"/>
    <w:rsid w:val="6D9C5805"/>
    <w:rsid w:val="70C82B52"/>
    <w:rsid w:val="7253172E"/>
    <w:rsid w:val="77343ADD"/>
    <w:rsid w:val="7B6B57F6"/>
    <w:rsid w:val="7C4371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lang w:val="en-US" w:eastAsia="zh-CN" w:bidi="ar-SA"/>
    </w:rPr>
  </w:style>
  <w:style w:type="paragraph" w:styleId="3">
    <w:name w:val="heading 1"/>
    <w:basedOn w:val="1"/>
    <w:next w:val="1"/>
    <w:link w:val="215"/>
    <w:qFormat/>
    <w:uiPriority w:val="0"/>
    <w:pPr>
      <w:keepNext/>
      <w:jc w:val="center"/>
      <w:outlineLvl w:val="0"/>
    </w:pPr>
    <w:rPr>
      <w:rFonts w:ascii="楷体_GB2312" w:hAnsi="Times New Roman" w:eastAsia="楷体_GB2312"/>
      <w:sz w:val="28"/>
      <w:szCs w:val="28"/>
    </w:rPr>
  </w:style>
  <w:style w:type="paragraph" w:styleId="4">
    <w:name w:val="heading 2"/>
    <w:basedOn w:val="1"/>
    <w:next w:val="5"/>
    <w:link w:val="216"/>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5"/>
    <w:link w:val="218"/>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219"/>
    <w:qFormat/>
    <w:uiPriority w:val="0"/>
    <w:pPr>
      <w:keepNext/>
      <w:keepLines/>
      <w:spacing w:before="280" w:after="290" w:line="376" w:lineRule="auto"/>
      <w:outlineLvl w:val="3"/>
    </w:pPr>
    <w:rPr>
      <w:rFonts w:ascii="Arial" w:hAnsi="Arial" w:eastAsia="黑体" w:cs="Arial"/>
      <w:b/>
      <w:bCs/>
      <w:sz w:val="28"/>
      <w:szCs w:val="28"/>
    </w:rPr>
  </w:style>
  <w:style w:type="paragraph" w:styleId="8">
    <w:name w:val="heading 5"/>
    <w:basedOn w:val="1"/>
    <w:next w:val="5"/>
    <w:link w:val="220"/>
    <w:qFormat/>
    <w:uiPriority w:val="0"/>
    <w:pPr>
      <w:keepNext/>
      <w:outlineLvl w:val="4"/>
    </w:pPr>
    <w:rPr>
      <w:rFonts w:ascii="宋体" w:hAnsi="Times New Roman"/>
      <w:color w:val="000000"/>
      <w:sz w:val="28"/>
      <w:szCs w:val="28"/>
    </w:rPr>
  </w:style>
  <w:style w:type="paragraph" w:styleId="9">
    <w:name w:val="heading 6"/>
    <w:basedOn w:val="1"/>
    <w:next w:val="1"/>
    <w:link w:val="221"/>
    <w:qFormat/>
    <w:uiPriority w:val="0"/>
    <w:pPr>
      <w:keepNext/>
      <w:keepLines/>
      <w:numPr>
        <w:ilvl w:val="5"/>
        <w:numId w:val="1"/>
      </w:numPr>
      <w:spacing w:before="240" w:after="64" w:line="320" w:lineRule="auto"/>
      <w:outlineLvl w:val="5"/>
    </w:pPr>
    <w:rPr>
      <w:rFonts w:ascii="Arial" w:hAnsi="Arial" w:eastAsia="黑体"/>
      <w:b/>
      <w:bCs/>
      <w:sz w:val="24"/>
      <w:szCs w:val="24"/>
    </w:rPr>
  </w:style>
  <w:style w:type="paragraph" w:styleId="10">
    <w:name w:val="heading 7"/>
    <w:basedOn w:val="1"/>
    <w:next w:val="1"/>
    <w:link w:val="222"/>
    <w:qFormat/>
    <w:uiPriority w:val="0"/>
    <w:pPr>
      <w:keepNext/>
      <w:keepLines/>
      <w:numPr>
        <w:ilvl w:val="6"/>
        <w:numId w:val="1"/>
      </w:numPr>
      <w:spacing w:before="240" w:after="64" w:line="320" w:lineRule="auto"/>
      <w:outlineLvl w:val="6"/>
    </w:pPr>
    <w:rPr>
      <w:rFonts w:ascii="Times New Roman" w:hAnsi="Times New Roman"/>
      <w:b/>
      <w:bCs/>
      <w:sz w:val="24"/>
      <w:szCs w:val="24"/>
    </w:rPr>
  </w:style>
  <w:style w:type="paragraph" w:styleId="11">
    <w:name w:val="heading 8"/>
    <w:basedOn w:val="1"/>
    <w:next w:val="1"/>
    <w:link w:val="223"/>
    <w:qFormat/>
    <w:uiPriority w:val="0"/>
    <w:pPr>
      <w:keepNext/>
      <w:keepLines/>
      <w:numPr>
        <w:ilvl w:val="7"/>
        <w:numId w:val="1"/>
      </w:numPr>
      <w:spacing w:before="240" w:after="64" w:line="320" w:lineRule="auto"/>
      <w:outlineLvl w:val="7"/>
    </w:pPr>
    <w:rPr>
      <w:rFonts w:ascii="Arial" w:hAnsi="Arial" w:eastAsia="黑体"/>
      <w:sz w:val="24"/>
      <w:szCs w:val="24"/>
    </w:rPr>
  </w:style>
  <w:style w:type="paragraph" w:styleId="12">
    <w:name w:val="heading 9"/>
    <w:basedOn w:val="1"/>
    <w:next w:val="1"/>
    <w:link w:val="224"/>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普通正文"/>
    <w:basedOn w:val="1"/>
    <w:qFormat/>
    <w:uiPriority w:val="0"/>
    <w:pPr>
      <w:spacing w:before="120" w:after="120" w:line="360" w:lineRule="auto"/>
      <w:ind w:firstLine="480"/>
      <w:jc w:val="left"/>
    </w:pPr>
    <w:rPr>
      <w:rFonts w:ascii="Arial" w:hAnsi="Arial"/>
      <w:sz w:val="24"/>
      <w:szCs w:val="24"/>
    </w:rPr>
  </w:style>
  <w:style w:type="paragraph" w:styleId="5">
    <w:name w:val="Normal Indent"/>
    <w:basedOn w:val="1"/>
    <w:link w:val="217"/>
    <w:qFormat/>
    <w:uiPriority w:val="0"/>
    <w:pPr>
      <w:ind w:firstLine="420"/>
    </w:pPr>
    <w:rPr>
      <w:szCs w:val="21"/>
    </w:rPr>
  </w:style>
  <w:style w:type="paragraph" w:styleId="13">
    <w:name w:val="List 3"/>
    <w:basedOn w:val="1"/>
    <w:qFormat/>
    <w:uiPriority w:val="0"/>
    <w:pPr>
      <w:ind w:left="100" w:hanging="200"/>
    </w:pPr>
    <w:rPr>
      <w:rFonts w:ascii="Times New Roman" w:hAnsi="Times New Roman"/>
      <w:szCs w:val="21"/>
    </w:rPr>
  </w:style>
  <w:style w:type="paragraph" w:styleId="14">
    <w:name w:val="toc 7"/>
    <w:basedOn w:val="1"/>
    <w:next w:val="1"/>
    <w:semiHidden/>
    <w:qFormat/>
    <w:uiPriority w:val="0"/>
    <w:pPr>
      <w:ind w:left="1260"/>
      <w:jc w:val="left"/>
    </w:pPr>
    <w:rPr>
      <w:rFonts w:ascii="Times New Roman" w:hAnsi="Times New Roman"/>
      <w:szCs w:val="21"/>
    </w:r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index 5"/>
    <w:basedOn w:val="1"/>
    <w:next w:val="1"/>
    <w:qFormat/>
    <w:uiPriority w:val="0"/>
    <w:pPr>
      <w:ind w:left="1050" w:hanging="210" w:firstLineChars="200"/>
      <w:jc w:val="left"/>
    </w:pPr>
    <w:rPr>
      <w:sz w:val="18"/>
      <w:szCs w:val="18"/>
      <w:lang w:eastAsia="zh-TW"/>
    </w:rPr>
  </w:style>
  <w:style w:type="paragraph" w:styleId="17">
    <w:name w:val="Document Map"/>
    <w:basedOn w:val="1"/>
    <w:link w:val="225"/>
    <w:semiHidden/>
    <w:qFormat/>
    <w:uiPriority w:val="0"/>
    <w:pPr>
      <w:shd w:val="clear" w:color="auto" w:fill="000080"/>
    </w:pPr>
    <w:rPr>
      <w:rFonts w:ascii="Times New Roman" w:hAnsi="Times New Roman"/>
      <w:szCs w:val="21"/>
    </w:rPr>
  </w:style>
  <w:style w:type="paragraph" w:styleId="18">
    <w:name w:val="annotation text"/>
    <w:basedOn w:val="1"/>
    <w:link w:val="226"/>
    <w:unhideWhenUsed/>
    <w:qFormat/>
    <w:uiPriority w:val="0"/>
    <w:pPr>
      <w:jc w:val="left"/>
    </w:pPr>
  </w:style>
  <w:style w:type="paragraph" w:styleId="19">
    <w:name w:val="Body Text 3"/>
    <w:basedOn w:val="1"/>
    <w:link w:val="227"/>
    <w:qFormat/>
    <w:uiPriority w:val="0"/>
    <w:rPr>
      <w:rFonts w:ascii="仿宋_GB2312" w:hAnsi="Arial" w:eastAsia="仿宋_GB2312"/>
      <w:sz w:val="32"/>
      <w:szCs w:val="32"/>
    </w:rPr>
  </w:style>
  <w:style w:type="paragraph" w:styleId="20">
    <w:name w:val="Body Text"/>
    <w:basedOn w:val="1"/>
    <w:next w:val="1"/>
    <w:link w:val="228"/>
    <w:qFormat/>
    <w:uiPriority w:val="0"/>
    <w:rPr>
      <w:rFonts w:ascii="楷体_GB2312" w:hAnsi="Arial" w:eastAsia="楷体_GB2312"/>
      <w:sz w:val="28"/>
      <w:szCs w:val="28"/>
    </w:rPr>
  </w:style>
  <w:style w:type="paragraph" w:styleId="21">
    <w:name w:val="Body Text Indent"/>
    <w:basedOn w:val="1"/>
    <w:next w:val="22"/>
    <w:link w:val="213"/>
    <w:unhideWhenUsed/>
    <w:qFormat/>
    <w:uiPriority w:val="0"/>
    <w:pPr>
      <w:spacing w:after="120"/>
      <w:ind w:left="420"/>
    </w:pPr>
  </w:style>
  <w:style w:type="paragraph" w:styleId="22">
    <w:name w:val="envelope return"/>
    <w:basedOn w:val="1"/>
    <w:unhideWhenUsed/>
    <w:qFormat/>
    <w:uiPriority w:val="99"/>
    <w:rPr>
      <w:rFonts w:ascii="Arial" w:hAnsi="Arial" w:eastAsia="楷体_GB2312"/>
      <w:sz w:val="26"/>
      <w:szCs w:val="20"/>
    </w:rPr>
  </w:style>
  <w:style w:type="paragraph" w:styleId="23">
    <w:name w:val="List 2"/>
    <w:basedOn w:val="1"/>
    <w:qFormat/>
    <w:uiPriority w:val="0"/>
    <w:pPr>
      <w:ind w:left="100" w:hanging="200"/>
    </w:pPr>
    <w:rPr>
      <w:rFonts w:ascii="Times New Roman" w:hAnsi="Times New Roman"/>
      <w:szCs w:val="21"/>
    </w:rPr>
  </w:style>
  <w:style w:type="paragraph" w:styleId="24">
    <w:name w:val="toc 5"/>
    <w:basedOn w:val="1"/>
    <w:next w:val="1"/>
    <w:semiHidden/>
    <w:qFormat/>
    <w:uiPriority w:val="0"/>
    <w:pPr>
      <w:ind w:left="840"/>
      <w:jc w:val="left"/>
    </w:pPr>
    <w:rPr>
      <w:rFonts w:ascii="Times New Roman" w:hAnsi="Times New Roman"/>
      <w:szCs w:val="21"/>
    </w:rPr>
  </w:style>
  <w:style w:type="paragraph" w:styleId="25">
    <w:name w:val="toc 3"/>
    <w:basedOn w:val="1"/>
    <w:next w:val="1"/>
    <w:semiHidden/>
    <w:qFormat/>
    <w:uiPriority w:val="0"/>
    <w:pPr>
      <w:ind w:left="420"/>
      <w:jc w:val="left"/>
    </w:pPr>
    <w:rPr>
      <w:rFonts w:ascii="Times New Roman" w:hAnsi="Times New Roman"/>
      <w:i/>
      <w:iCs/>
      <w:szCs w:val="24"/>
    </w:rPr>
  </w:style>
  <w:style w:type="paragraph" w:styleId="26">
    <w:name w:val="Plain Text"/>
    <w:basedOn w:val="1"/>
    <w:link w:val="229"/>
    <w:qFormat/>
    <w:uiPriority w:val="0"/>
    <w:rPr>
      <w:rFonts w:ascii="宋体" w:hAnsi="Courier New" w:cs="Courier New"/>
      <w:szCs w:val="21"/>
    </w:rPr>
  </w:style>
  <w:style w:type="paragraph" w:styleId="27">
    <w:name w:val="toc 8"/>
    <w:basedOn w:val="1"/>
    <w:next w:val="1"/>
    <w:semiHidden/>
    <w:qFormat/>
    <w:uiPriority w:val="0"/>
    <w:pPr>
      <w:ind w:left="1470"/>
      <w:jc w:val="left"/>
    </w:pPr>
    <w:rPr>
      <w:rFonts w:ascii="Times New Roman" w:hAnsi="Times New Roman"/>
      <w:szCs w:val="21"/>
    </w:rPr>
  </w:style>
  <w:style w:type="paragraph" w:styleId="28">
    <w:name w:val="Date"/>
    <w:basedOn w:val="1"/>
    <w:next w:val="1"/>
    <w:link w:val="230"/>
    <w:qFormat/>
    <w:uiPriority w:val="0"/>
    <w:rPr>
      <w:rFonts w:ascii="Times New Roman" w:hAnsi="Times New Roman"/>
      <w:sz w:val="24"/>
      <w:szCs w:val="24"/>
    </w:rPr>
  </w:style>
  <w:style w:type="paragraph" w:styleId="29">
    <w:name w:val="Body Text Indent 2"/>
    <w:basedOn w:val="1"/>
    <w:link w:val="231"/>
    <w:qFormat/>
    <w:uiPriority w:val="0"/>
    <w:pPr>
      <w:ind w:left="630" w:firstLine="645"/>
    </w:pPr>
    <w:rPr>
      <w:rFonts w:ascii="Arial" w:hAnsi="Arial" w:eastAsia="仿宋_GB2312" w:cs="Arial"/>
      <w:sz w:val="32"/>
      <w:szCs w:val="32"/>
    </w:rPr>
  </w:style>
  <w:style w:type="paragraph" w:styleId="30">
    <w:name w:val="endnote text"/>
    <w:basedOn w:val="1"/>
    <w:link w:val="206"/>
    <w:semiHidden/>
    <w:unhideWhenUsed/>
    <w:qFormat/>
    <w:uiPriority w:val="99"/>
    <w:pPr>
      <w:spacing w:after="0" w:line="240" w:lineRule="auto"/>
    </w:pPr>
    <w:rPr>
      <w:sz w:val="20"/>
    </w:rPr>
  </w:style>
  <w:style w:type="paragraph" w:styleId="31">
    <w:name w:val="Balloon Text"/>
    <w:basedOn w:val="1"/>
    <w:link w:val="232"/>
    <w:semiHidden/>
    <w:qFormat/>
    <w:uiPriority w:val="0"/>
    <w:rPr>
      <w:rFonts w:ascii="Times New Roman" w:hAnsi="Times New Roman"/>
      <w:sz w:val="18"/>
      <w:szCs w:val="18"/>
    </w:rPr>
  </w:style>
  <w:style w:type="paragraph" w:styleId="32">
    <w:name w:val="footer"/>
    <w:basedOn w:val="1"/>
    <w:link w:val="233"/>
    <w:qFormat/>
    <w:uiPriority w:val="0"/>
    <w:pPr>
      <w:tabs>
        <w:tab w:val="center" w:pos="4153"/>
        <w:tab w:val="right" w:pos="8306"/>
      </w:tabs>
      <w:jc w:val="left"/>
    </w:pPr>
    <w:rPr>
      <w:rFonts w:ascii="Times New Roman" w:hAnsi="Times New Roman"/>
      <w:sz w:val="18"/>
      <w:szCs w:val="18"/>
    </w:rPr>
  </w:style>
  <w:style w:type="paragraph" w:styleId="33">
    <w:name w:val="header"/>
    <w:basedOn w:val="1"/>
    <w:link w:val="234"/>
    <w:qFormat/>
    <w:uiPriority w:val="0"/>
    <w:pPr>
      <w:pBdr>
        <w:bottom w:val="single" w:color="auto" w:sz="6" w:space="1"/>
      </w:pBdr>
      <w:tabs>
        <w:tab w:val="center" w:pos="4153"/>
        <w:tab w:val="right" w:pos="8306"/>
      </w:tabs>
      <w:jc w:val="center"/>
    </w:pPr>
    <w:rPr>
      <w:rFonts w:ascii="Times New Roman" w:hAnsi="Times New Roman"/>
      <w:sz w:val="18"/>
      <w:szCs w:val="18"/>
    </w:rPr>
  </w:style>
  <w:style w:type="paragraph" w:styleId="34">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5">
    <w:name w:val="toc 4"/>
    <w:basedOn w:val="1"/>
    <w:next w:val="1"/>
    <w:semiHidden/>
    <w:qFormat/>
    <w:uiPriority w:val="0"/>
    <w:pPr>
      <w:ind w:left="630"/>
      <w:jc w:val="left"/>
    </w:pPr>
    <w:rPr>
      <w:rFonts w:ascii="Times New Roman" w:hAnsi="Times New Roman"/>
      <w:szCs w:val="21"/>
    </w:rPr>
  </w:style>
  <w:style w:type="paragraph" w:styleId="36">
    <w:name w:val="Subtitle"/>
    <w:basedOn w:val="1"/>
    <w:next w:val="1"/>
    <w:link w:val="72"/>
    <w:qFormat/>
    <w:uiPriority w:val="11"/>
    <w:pPr>
      <w:spacing w:before="200" w:after="200"/>
    </w:pPr>
    <w:rPr>
      <w:sz w:val="24"/>
      <w:szCs w:val="24"/>
    </w:rPr>
  </w:style>
  <w:style w:type="paragraph" w:styleId="37">
    <w:name w:val="List"/>
    <w:basedOn w:val="1"/>
    <w:qFormat/>
    <w:uiPriority w:val="0"/>
    <w:pPr>
      <w:ind w:left="200" w:hanging="200"/>
    </w:pPr>
    <w:rPr>
      <w:rFonts w:ascii="Times New Roman" w:hAnsi="Times New Roman"/>
      <w:szCs w:val="21"/>
    </w:rPr>
  </w:style>
  <w:style w:type="paragraph" w:styleId="38">
    <w:name w:val="footnote text"/>
    <w:basedOn w:val="1"/>
    <w:next w:val="16"/>
    <w:link w:val="205"/>
    <w:semiHidden/>
    <w:unhideWhenUsed/>
    <w:qFormat/>
    <w:uiPriority w:val="99"/>
    <w:pPr>
      <w:spacing w:after="40" w:line="240" w:lineRule="auto"/>
    </w:pPr>
    <w:rPr>
      <w:sz w:val="18"/>
    </w:rPr>
  </w:style>
  <w:style w:type="paragraph" w:styleId="39">
    <w:name w:val="toc 6"/>
    <w:basedOn w:val="1"/>
    <w:next w:val="1"/>
    <w:semiHidden/>
    <w:qFormat/>
    <w:uiPriority w:val="0"/>
    <w:pPr>
      <w:ind w:left="1050"/>
      <w:jc w:val="left"/>
    </w:pPr>
    <w:rPr>
      <w:rFonts w:ascii="Times New Roman" w:hAnsi="Times New Roman"/>
      <w:szCs w:val="21"/>
    </w:rPr>
  </w:style>
  <w:style w:type="paragraph" w:styleId="40">
    <w:name w:val="Body Text Indent 3"/>
    <w:basedOn w:val="1"/>
    <w:link w:val="235"/>
    <w:qFormat/>
    <w:uiPriority w:val="0"/>
    <w:pPr>
      <w:ind w:left="645" w:firstLine="645"/>
    </w:pPr>
    <w:rPr>
      <w:rFonts w:ascii="Arial" w:hAnsi="Arial" w:eastAsia="仿宋_GB2312" w:cs="Arial"/>
      <w:color w:val="FFFF00"/>
      <w:sz w:val="32"/>
      <w:szCs w:val="32"/>
    </w:rPr>
  </w:style>
  <w:style w:type="paragraph" w:styleId="41">
    <w:name w:val="table of figures"/>
    <w:basedOn w:val="1"/>
    <w:next w:val="1"/>
    <w:semiHidden/>
    <w:qFormat/>
    <w:uiPriority w:val="0"/>
    <w:pPr>
      <w:ind w:left="840" w:hanging="420"/>
    </w:pPr>
    <w:rPr>
      <w:rFonts w:ascii="Times New Roman" w:hAnsi="Times New Roman"/>
      <w:szCs w:val="21"/>
    </w:rPr>
  </w:style>
  <w:style w:type="paragraph" w:styleId="42">
    <w:name w:val="toc 2"/>
    <w:basedOn w:val="1"/>
    <w:next w:val="1"/>
    <w:semiHidden/>
    <w:qFormat/>
    <w:uiPriority w:val="0"/>
    <w:pPr>
      <w:ind w:left="210"/>
      <w:jc w:val="left"/>
    </w:pPr>
    <w:rPr>
      <w:rFonts w:ascii="Times New Roman" w:hAnsi="Times New Roman"/>
      <w:smallCaps/>
      <w:szCs w:val="24"/>
    </w:rPr>
  </w:style>
  <w:style w:type="paragraph" w:styleId="43">
    <w:name w:val="toc 9"/>
    <w:basedOn w:val="1"/>
    <w:next w:val="1"/>
    <w:semiHidden/>
    <w:qFormat/>
    <w:uiPriority w:val="0"/>
    <w:pPr>
      <w:ind w:left="1680"/>
      <w:jc w:val="left"/>
    </w:pPr>
    <w:rPr>
      <w:rFonts w:ascii="Times New Roman" w:hAnsi="Times New Roman"/>
      <w:szCs w:val="21"/>
    </w:rPr>
  </w:style>
  <w:style w:type="paragraph" w:styleId="44">
    <w:name w:val="Body Text 2"/>
    <w:basedOn w:val="1"/>
    <w:link w:val="236"/>
    <w:qFormat/>
    <w:uiPriority w:val="0"/>
    <w:pPr>
      <w:widowControl/>
      <w:jc w:val="center"/>
    </w:pPr>
    <w:rPr>
      <w:rFonts w:ascii="楷体_GB2312" w:hAnsi="Times New Roman" w:eastAsia="楷体_GB2312"/>
      <w:sz w:val="28"/>
      <w:szCs w:val="28"/>
    </w:rPr>
  </w:style>
  <w:style w:type="paragraph" w:styleId="45">
    <w:name w:val="Normal (Web)"/>
    <w:basedOn w:val="1"/>
    <w:qFormat/>
    <w:uiPriority w:val="99"/>
    <w:pPr>
      <w:widowControl/>
      <w:spacing w:before="100" w:beforeAutospacing="1" w:after="100" w:afterAutospacing="1"/>
      <w:jc w:val="left"/>
    </w:pPr>
    <w:rPr>
      <w:rFonts w:ascii="宋体" w:hAnsi="宋体" w:cs="宋体"/>
      <w:sz w:val="24"/>
      <w:szCs w:val="24"/>
    </w:rPr>
  </w:style>
  <w:style w:type="paragraph" w:styleId="46">
    <w:name w:val="index 1"/>
    <w:basedOn w:val="1"/>
    <w:next w:val="1"/>
    <w:semiHidden/>
    <w:qFormat/>
    <w:uiPriority w:val="0"/>
    <w:pPr>
      <w:spacing w:line="240" w:lineRule="atLeast"/>
    </w:pPr>
    <w:rPr>
      <w:rFonts w:ascii="Times New Roman" w:hAnsi="Times New Roman"/>
      <w:b/>
      <w:bCs/>
      <w:szCs w:val="21"/>
    </w:rPr>
  </w:style>
  <w:style w:type="paragraph" w:styleId="47">
    <w:name w:val="Title"/>
    <w:basedOn w:val="1"/>
    <w:next w:val="1"/>
    <w:link w:val="71"/>
    <w:qFormat/>
    <w:uiPriority w:val="10"/>
    <w:pPr>
      <w:spacing w:before="300" w:after="200"/>
      <w:contextualSpacing/>
    </w:pPr>
    <w:rPr>
      <w:sz w:val="48"/>
      <w:szCs w:val="48"/>
    </w:rPr>
  </w:style>
  <w:style w:type="paragraph" w:styleId="48">
    <w:name w:val="annotation subject"/>
    <w:basedOn w:val="18"/>
    <w:next w:val="18"/>
    <w:link w:val="237"/>
    <w:semiHidden/>
    <w:qFormat/>
    <w:uiPriority w:val="0"/>
    <w:rPr>
      <w:rFonts w:ascii="Times New Roman" w:hAnsi="Times New Roman"/>
      <w:b/>
      <w:bCs/>
      <w:szCs w:val="21"/>
    </w:rPr>
  </w:style>
  <w:style w:type="paragraph" w:styleId="49">
    <w:name w:val="Body Text First Indent"/>
    <w:basedOn w:val="20"/>
    <w:link w:val="238"/>
    <w:qFormat/>
    <w:uiPriority w:val="0"/>
    <w:pPr>
      <w:spacing w:line="360" w:lineRule="auto"/>
      <w:ind w:firstLine="200"/>
    </w:pPr>
    <w:rPr>
      <w:rFonts w:ascii="仿宋_GB2312" w:hAnsi="Times New Roman" w:eastAsia="仿宋_GB2312"/>
      <w:sz w:val="30"/>
      <w:szCs w:val="30"/>
    </w:rPr>
  </w:style>
  <w:style w:type="paragraph" w:styleId="50">
    <w:name w:val="Body Text First Indent 2"/>
    <w:basedOn w:val="21"/>
    <w:next w:val="1"/>
    <w:link w:val="214"/>
    <w:qFormat/>
    <w:uiPriority w:val="0"/>
    <w:pPr>
      <w:spacing w:after="0" w:line="360" w:lineRule="auto"/>
      <w:ind w:left="0" w:firstLine="420"/>
    </w:pPr>
    <w:rPr>
      <w:rFonts w:ascii="宋体" w:hAnsi="宋体"/>
      <w:szCs w:val="20"/>
    </w:rPr>
  </w:style>
  <w:style w:type="table" w:styleId="52">
    <w:name w:val="Table Grid"/>
    <w:basedOn w:val="51"/>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4">
    <w:name w:val="Strong"/>
    <w:qFormat/>
    <w:uiPriority w:val="0"/>
    <w:rPr>
      <w:b/>
      <w:bCs/>
    </w:rPr>
  </w:style>
  <w:style w:type="character" w:styleId="55">
    <w:name w:val="endnote reference"/>
    <w:basedOn w:val="53"/>
    <w:semiHidden/>
    <w:unhideWhenUsed/>
    <w:qFormat/>
    <w:uiPriority w:val="99"/>
    <w:rPr>
      <w:vertAlign w:val="superscript"/>
    </w:rPr>
  </w:style>
  <w:style w:type="character" w:styleId="56">
    <w:name w:val="page number"/>
    <w:qFormat/>
    <w:uiPriority w:val="0"/>
  </w:style>
  <w:style w:type="character" w:styleId="57">
    <w:name w:val="FollowedHyperlink"/>
    <w:qFormat/>
    <w:uiPriority w:val="0"/>
    <w:rPr>
      <w:color w:val="800080"/>
      <w:u w:val="single"/>
    </w:rPr>
  </w:style>
  <w:style w:type="character" w:styleId="58">
    <w:name w:val="Emphasis"/>
    <w:basedOn w:val="53"/>
    <w:qFormat/>
    <w:uiPriority w:val="20"/>
    <w:rPr>
      <w:i/>
      <w:iCs/>
    </w:rPr>
  </w:style>
  <w:style w:type="character" w:styleId="59">
    <w:name w:val="Hyperlink"/>
    <w:qFormat/>
    <w:uiPriority w:val="0"/>
    <w:rPr>
      <w:color w:val="0000FF"/>
      <w:u w:val="single"/>
    </w:rPr>
  </w:style>
  <w:style w:type="character" w:styleId="60">
    <w:name w:val="annotation reference"/>
    <w:semiHidden/>
    <w:qFormat/>
    <w:uiPriority w:val="0"/>
    <w:rPr>
      <w:sz w:val="21"/>
      <w:szCs w:val="21"/>
    </w:rPr>
  </w:style>
  <w:style w:type="character" w:styleId="61">
    <w:name w:val="footnote reference"/>
    <w:basedOn w:val="53"/>
    <w:unhideWhenUsed/>
    <w:qFormat/>
    <w:uiPriority w:val="99"/>
    <w:rPr>
      <w:vertAlign w:val="superscript"/>
    </w:rPr>
  </w:style>
  <w:style w:type="character" w:customStyle="1" w:styleId="62">
    <w:name w:val="Heading 1 Char"/>
    <w:basedOn w:val="53"/>
    <w:qFormat/>
    <w:uiPriority w:val="9"/>
    <w:rPr>
      <w:rFonts w:ascii="Arial" w:hAnsi="Arial" w:eastAsia="Arial" w:cs="Arial"/>
      <w:sz w:val="40"/>
      <w:szCs w:val="40"/>
    </w:rPr>
  </w:style>
  <w:style w:type="character" w:customStyle="1" w:styleId="63">
    <w:name w:val="Heading 2 Char"/>
    <w:basedOn w:val="53"/>
    <w:qFormat/>
    <w:uiPriority w:val="9"/>
    <w:rPr>
      <w:rFonts w:ascii="Arial" w:hAnsi="Arial" w:eastAsia="Arial" w:cs="Arial"/>
      <w:sz w:val="34"/>
    </w:rPr>
  </w:style>
  <w:style w:type="character" w:customStyle="1" w:styleId="64">
    <w:name w:val="Heading 3 Char"/>
    <w:basedOn w:val="53"/>
    <w:qFormat/>
    <w:uiPriority w:val="9"/>
    <w:rPr>
      <w:rFonts w:ascii="Arial" w:hAnsi="Arial" w:eastAsia="Arial" w:cs="Arial"/>
      <w:sz w:val="30"/>
      <w:szCs w:val="30"/>
    </w:rPr>
  </w:style>
  <w:style w:type="character" w:customStyle="1" w:styleId="65">
    <w:name w:val="Heading 4 Char"/>
    <w:basedOn w:val="53"/>
    <w:qFormat/>
    <w:uiPriority w:val="9"/>
    <w:rPr>
      <w:rFonts w:ascii="Arial" w:hAnsi="Arial" w:eastAsia="Arial" w:cs="Arial"/>
      <w:b/>
      <w:bCs/>
      <w:sz w:val="26"/>
      <w:szCs w:val="26"/>
    </w:rPr>
  </w:style>
  <w:style w:type="character" w:customStyle="1" w:styleId="66">
    <w:name w:val="Heading 5 Char"/>
    <w:basedOn w:val="53"/>
    <w:qFormat/>
    <w:uiPriority w:val="9"/>
    <w:rPr>
      <w:rFonts w:ascii="Arial" w:hAnsi="Arial" w:eastAsia="Arial" w:cs="Arial"/>
      <w:b/>
      <w:bCs/>
      <w:sz w:val="24"/>
      <w:szCs w:val="24"/>
    </w:rPr>
  </w:style>
  <w:style w:type="character" w:customStyle="1" w:styleId="67">
    <w:name w:val="Heading 6 Char"/>
    <w:basedOn w:val="53"/>
    <w:qFormat/>
    <w:uiPriority w:val="9"/>
    <w:rPr>
      <w:rFonts w:ascii="Arial" w:hAnsi="Arial" w:eastAsia="Arial" w:cs="Arial"/>
      <w:b/>
      <w:bCs/>
      <w:sz w:val="22"/>
      <w:szCs w:val="22"/>
    </w:rPr>
  </w:style>
  <w:style w:type="character" w:customStyle="1" w:styleId="68">
    <w:name w:val="Heading 7 Char"/>
    <w:basedOn w:val="53"/>
    <w:qFormat/>
    <w:uiPriority w:val="9"/>
    <w:rPr>
      <w:rFonts w:ascii="Arial" w:hAnsi="Arial" w:eastAsia="Arial" w:cs="Arial"/>
      <w:b/>
      <w:bCs/>
      <w:i/>
      <w:iCs/>
      <w:sz w:val="22"/>
      <w:szCs w:val="22"/>
    </w:rPr>
  </w:style>
  <w:style w:type="character" w:customStyle="1" w:styleId="69">
    <w:name w:val="Heading 8 Char"/>
    <w:basedOn w:val="53"/>
    <w:qFormat/>
    <w:uiPriority w:val="9"/>
    <w:rPr>
      <w:rFonts w:ascii="Arial" w:hAnsi="Arial" w:eastAsia="Arial" w:cs="Arial"/>
      <w:i/>
      <w:iCs/>
      <w:sz w:val="22"/>
      <w:szCs w:val="22"/>
    </w:rPr>
  </w:style>
  <w:style w:type="character" w:customStyle="1" w:styleId="70">
    <w:name w:val="Heading 9 Char"/>
    <w:basedOn w:val="53"/>
    <w:qFormat/>
    <w:uiPriority w:val="9"/>
    <w:rPr>
      <w:rFonts w:ascii="Arial" w:hAnsi="Arial" w:eastAsia="Arial" w:cs="Arial"/>
      <w:i/>
      <w:iCs/>
      <w:sz w:val="21"/>
      <w:szCs w:val="21"/>
    </w:rPr>
  </w:style>
  <w:style w:type="character" w:customStyle="1" w:styleId="71">
    <w:name w:val="Title Char"/>
    <w:basedOn w:val="53"/>
    <w:link w:val="47"/>
    <w:qFormat/>
    <w:uiPriority w:val="10"/>
    <w:rPr>
      <w:sz w:val="48"/>
      <w:szCs w:val="48"/>
    </w:rPr>
  </w:style>
  <w:style w:type="character" w:customStyle="1" w:styleId="72">
    <w:name w:val="Subtitle Char"/>
    <w:basedOn w:val="53"/>
    <w:link w:val="36"/>
    <w:qFormat/>
    <w:uiPriority w:val="11"/>
    <w:rPr>
      <w:sz w:val="24"/>
      <w:szCs w:val="24"/>
    </w:rPr>
  </w:style>
  <w:style w:type="paragraph" w:styleId="73">
    <w:name w:val="Quote"/>
    <w:basedOn w:val="1"/>
    <w:next w:val="1"/>
    <w:link w:val="74"/>
    <w:qFormat/>
    <w:uiPriority w:val="29"/>
    <w:pPr>
      <w:ind w:left="720" w:right="720"/>
    </w:pPr>
    <w:rPr>
      <w:i/>
    </w:rPr>
  </w:style>
  <w:style w:type="character" w:customStyle="1" w:styleId="74">
    <w:name w:val="Quote Char"/>
    <w:link w:val="73"/>
    <w:qFormat/>
    <w:uiPriority w:val="29"/>
    <w:rPr>
      <w:i/>
    </w:rPr>
  </w:style>
  <w:style w:type="paragraph" w:styleId="75">
    <w:name w:val="Intense Quote"/>
    <w:basedOn w:val="1"/>
    <w:next w:val="1"/>
    <w:link w:val="7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6">
    <w:name w:val="Intense Quote Char"/>
    <w:link w:val="75"/>
    <w:qFormat/>
    <w:uiPriority w:val="30"/>
    <w:rPr>
      <w:i/>
    </w:rPr>
  </w:style>
  <w:style w:type="character" w:customStyle="1" w:styleId="77">
    <w:name w:val="Header Char"/>
    <w:basedOn w:val="53"/>
    <w:qFormat/>
    <w:uiPriority w:val="99"/>
  </w:style>
  <w:style w:type="character" w:customStyle="1" w:styleId="78">
    <w:name w:val="Footer Char"/>
    <w:basedOn w:val="53"/>
    <w:qFormat/>
    <w:uiPriority w:val="99"/>
  </w:style>
  <w:style w:type="character" w:customStyle="1" w:styleId="79">
    <w:name w:val="Caption Char"/>
    <w:qFormat/>
    <w:uiPriority w:val="99"/>
  </w:style>
  <w:style w:type="table" w:customStyle="1" w:styleId="80">
    <w:name w:val="Table Grid Light"/>
    <w:basedOn w:val="5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81">
    <w:name w:val="Plain Table 1"/>
    <w:basedOn w:val="5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82">
    <w:name w:val="Plain Table 2"/>
    <w:basedOn w:val="5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3">
    <w:name w:val="Plain Table 3"/>
    <w:basedOn w:val="5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4">
    <w:name w:val="Plain Table 4"/>
    <w:basedOn w:val="5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5">
    <w:name w:val="Plain Table 5"/>
    <w:basedOn w:val="5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6">
    <w:name w:val="Grid Table 1 Light"/>
    <w:basedOn w:val="5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7">
    <w:name w:val="Grid Table 1 Light - Accent 1"/>
    <w:basedOn w:val="5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8">
    <w:name w:val="Grid Table 1 Light - Accent 2"/>
    <w:basedOn w:val="5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9">
    <w:name w:val="Grid Table 1 Light - Accent 3"/>
    <w:basedOn w:val="5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90">
    <w:name w:val="Grid Table 1 Light - Accent 4"/>
    <w:basedOn w:val="5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91">
    <w:name w:val="Grid Table 1 Light - Accent 5"/>
    <w:basedOn w:val="5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92">
    <w:name w:val="Grid Table 1 Light - Accent 6"/>
    <w:basedOn w:val="5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93">
    <w:name w:val="Grid Table 2"/>
    <w:basedOn w:val="5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4">
    <w:name w:val="Grid Table 2 - Accent 1"/>
    <w:basedOn w:val="5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5">
    <w:name w:val="Grid Table 2 - Accent 2"/>
    <w:basedOn w:val="5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6">
    <w:name w:val="Grid Table 2 - Accent 3"/>
    <w:basedOn w:val="5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7">
    <w:name w:val="Grid Table 2 - Accent 4"/>
    <w:basedOn w:val="5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8">
    <w:name w:val="Grid Table 2 - Accent 5"/>
    <w:basedOn w:val="5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9">
    <w:name w:val="Grid Table 2 - Accent 6"/>
    <w:basedOn w:val="5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0">
    <w:name w:val="Grid Table 3"/>
    <w:basedOn w:val="5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1">
    <w:name w:val="Grid Table 3 - Accent 1"/>
    <w:basedOn w:val="5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102">
    <w:name w:val="Grid Table 3 - Accent 2"/>
    <w:basedOn w:val="5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3">
    <w:name w:val="Grid Table 3 - Accent 3"/>
    <w:basedOn w:val="5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4">
    <w:name w:val="Grid Table 3 - Accent 4"/>
    <w:basedOn w:val="5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5">
    <w:name w:val="Grid Table 3 - Accent 5"/>
    <w:basedOn w:val="5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6">
    <w:name w:val="Grid Table 3 - Accent 6"/>
    <w:basedOn w:val="5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7">
    <w:name w:val="Grid Table 4"/>
    <w:basedOn w:val="5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8">
    <w:name w:val="Grid Table 4 - Accent 1"/>
    <w:basedOn w:val="5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9">
    <w:name w:val="Grid Table 4 - Accent 2"/>
    <w:basedOn w:val="51"/>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10">
    <w:name w:val="Grid Table 4 - Accent 3"/>
    <w:basedOn w:val="51"/>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11">
    <w:name w:val="Grid Table 4 - Accent 4"/>
    <w:basedOn w:val="51"/>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12">
    <w:name w:val="Grid Table 4 - Accent 5"/>
    <w:basedOn w:val="51"/>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13">
    <w:name w:val="Grid Table 4 - Accent 6"/>
    <w:basedOn w:val="51"/>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14">
    <w:name w:val="Grid Table 5 Dark"/>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15">
    <w:name w:val="Grid Table 5 Dark- Accent 1"/>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6">
    <w:name w:val="Grid Table 5 Dark - Accent 2"/>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7">
    <w:name w:val="Grid Table 5 Dark - Accent 3"/>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8">
    <w:name w:val="Grid Table 5 Dark- Accent 4"/>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9">
    <w:name w:val="Grid Table 5 Dark - Accent 5"/>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20">
    <w:name w:val="Grid Table 5 Dark - Accent 6"/>
    <w:basedOn w:val="5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21">
    <w:name w:val="Grid Table 6 Colorful"/>
    <w:basedOn w:val="5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2">
    <w:name w:val="Grid Table 6 Colorful - Accent 1"/>
    <w:basedOn w:val="5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3">
    <w:name w:val="Grid Table 6 Colorful - Accent 2"/>
    <w:basedOn w:val="5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4">
    <w:name w:val="Grid Table 6 Colorful - Accent 3"/>
    <w:basedOn w:val="51"/>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5">
    <w:name w:val="Grid Table 6 Colorful - Accent 4"/>
    <w:basedOn w:val="5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6">
    <w:name w:val="Grid Table 6 Colorful - Accent 5"/>
    <w:basedOn w:val="51"/>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7">
    <w:name w:val="Grid Table 6 Colorful - Accent 6"/>
    <w:basedOn w:val="51"/>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8">
    <w:name w:val="Grid Table 7 Colorful"/>
    <w:basedOn w:val="5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9">
    <w:name w:val="Grid Table 7 Colorful - Accent 1"/>
    <w:basedOn w:val="5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30">
    <w:name w:val="Grid Table 7 Colorful - Accent 2"/>
    <w:basedOn w:val="51"/>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31">
    <w:name w:val="Grid Table 7 Colorful - Accent 3"/>
    <w:basedOn w:val="51"/>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32">
    <w:name w:val="Grid Table 7 Colorful - Accent 4"/>
    <w:basedOn w:val="51"/>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33">
    <w:name w:val="Grid Table 7 Colorful - Accent 5"/>
    <w:basedOn w:val="51"/>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34">
    <w:name w:val="Grid Table 7 Colorful - Accent 6"/>
    <w:basedOn w:val="51"/>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35">
    <w:name w:val="List Table 1 Light"/>
    <w:basedOn w:val="5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6">
    <w:name w:val="List Table 1 Light - Accent 1"/>
    <w:basedOn w:val="5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7">
    <w:name w:val="List Table 1 Light - Accent 2"/>
    <w:basedOn w:val="51"/>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8">
    <w:name w:val="List Table 1 Light - Accent 3"/>
    <w:basedOn w:val="51"/>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9">
    <w:name w:val="List Table 1 Light - Accent 4"/>
    <w:basedOn w:val="51"/>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40">
    <w:name w:val="List Table 1 Light - Accent 5"/>
    <w:basedOn w:val="51"/>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41">
    <w:name w:val="List Table 1 Light - Accent 6"/>
    <w:basedOn w:val="51"/>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42">
    <w:name w:val="List Table 2"/>
    <w:basedOn w:val="5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3">
    <w:name w:val="List Table 2 - Accent 1"/>
    <w:basedOn w:val="5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44">
    <w:name w:val="List Table 2 - Accent 2"/>
    <w:basedOn w:val="51"/>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45">
    <w:name w:val="List Table 2 - Accent 3"/>
    <w:basedOn w:val="51"/>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6">
    <w:name w:val="List Table 2 - Accent 4"/>
    <w:basedOn w:val="51"/>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7">
    <w:name w:val="List Table 2 - Accent 5"/>
    <w:basedOn w:val="51"/>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8">
    <w:name w:val="List Table 2 - Accent 6"/>
    <w:basedOn w:val="51"/>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9">
    <w:name w:val="List Table 3"/>
    <w:basedOn w:val="5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50">
    <w:name w:val="List Table 3 - Accent 1"/>
    <w:basedOn w:val="5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51">
    <w:name w:val="List Table 3 - Accent 2"/>
    <w:basedOn w:val="5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52">
    <w:name w:val="List Table 3 - Accent 3"/>
    <w:basedOn w:val="51"/>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53">
    <w:name w:val="List Table 3 - Accent 4"/>
    <w:basedOn w:val="5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54">
    <w:name w:val="List Table 3 - Accent 5"/>
    <w:basedOn w:val="51"/>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55">
    <w:name w:val="List Table 3 - Accent 6"/>
    <w:basedOn w:val="51"/>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6">
    <w:name w:val="List Table 4"/>
    <w:basedOn w:val="5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7">
    <w:name w:val="List Table 4 - Accent 1"/>
    <w:basedOn w:val="5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8">
    <w:name w:val="List Table 4 - Accent 2"/>
    <w:basedOn w:val="51"/>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9">
    <w:name w:val="List Table 4 - Accent 3"/>
    <w:basedOn w:val="51"/>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60">
    <w:name w:val="List Table 4 - Accent 4"/>
    <w:basedOn w:val="51"/>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61">
    <w:name w:val="List Table 4 - Accent 5"/>
    <w:basedOn w:val="51"/>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62">
    <w:name w:val="List Table 4 - Accent 6"/>
    <w:basedOn w:val="51"/>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63">
    <w:name w:val="List Table 5 Dark"/>
    <w:basedOn w:val="5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64">
    <w:name w:val="List Table 5 Dark - Accent 1"/>
    <w:basedOn w:val="5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65">
    <w:name w:val="List Table 5 Dark - Accent 2"/>
    <w:basedOn w:val="51"/>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6">
    <w:name w:val="List Table 5 Dark - Accent 3"/>
    <w:basedOn w:val="51"/>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7">
    <w:name w:val="List Table 5 Dark - Accent 4"/>
    <w:basedOn w:val="51"/>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8">
    <w:name w:val="List Table 5 Dark - Accent 5"/>
    <w:basedOn w:val="51"/>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9">
    <w:name w:val="List Table 5 Dark - Accent 6"/>
    <w:basedOn w:val="51"/>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70">
    <w:name w:val="List Table 6 Colorful"/>
    <w:basedOn w:val="5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71">
    <w:name w:val="List Table 6 Colorful - Accent 1"/>
    <w:basedOn w:val="5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2">
    <w:name w:val="List Table 6 Colorful - Accent 2"/>
    <w:basedOn w:val="51"/>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3">
    <w:name w:val="List Table 6 Colorful - Accent 3"/>
    <w:basedOn w:val="51"/>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4">
    <w:name w:val="List Table 6 Colorful - Accent 4"/>
    <w:basedOn w:val="51"/>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5">
    <w:name w:val="List Table 6 Colorful - Accent 5"/>
    <w:basedOn w:val="51"/>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6">
    <w:name w:val="List Table 6 Colorful - Accent 6"/>
    <w:basedOn w:val="51"/>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7">
    <w:name w:val="List Table 7 Colorful"/>
    <w:basedOn w:val="5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8">
    <w:name w:val="List Table 7 Colorful - Accent 1"/>
    <w:basedOn w:val="5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9">
    <w:name w:val="List Table 7 Colorful - Accent 2"/>
    <w:basedOn w:val="51"/>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80">
    <w:name w:val="List Table 7 Colorful - Accent 3"/>
    <w:basedOn w:val="51"/>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81">
    <w:name w:val="List Table 7 Colorful - Accent 4"/>
    <w:basedOn w:val="51"/>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82">
    <w:name w:val="List Table 7 Colorful - Accent 5"/>
    <w:basedOn w:val="51"/>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83">
    <w:name w:val="List Table 7 Colorful - Accent 6"/>
    <w:basedOn w:val="51"/>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84">
    <w:name w:val="Lined - Accent"/>
    <w:basedOn w:val="51"/>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5">
    <w:name w:val="Lined - Accent 1"/>
    <w:basedOn w:val="5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6">
    <w:name w:val="Lined - Accent 2"/>
    <w:basedOn w:val="51"/>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7">
    <w:name w:val="Lined - Accent 3"/>
    <w:basedOn w:val="51"/>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8">
    <w:name w:val="Lined - Accent 4"/>
    <w:basedOn w:val="51"/>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9">
    <w:name w:val="Lined - Accent 5"/>
    <w:basedOn w:val="51"/>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0">
    <w:name w:val="Lined - Accent 6"/>
    <w:basedOn w:val="51"/>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1">
    <w:name w:val="Bordered &amp; Lined - Accent"/>
    <w:basedOn w:val="5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92">
    <w:name w:val="Bordered &amp; Lined - Accent 1"/>
    <w:basedOn w:val="5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93">
    <w:name w:val="Bordered &amp; Lined - Accent 2"/>
    <w:basedOn w:val="51"/>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94">
    <w:name w:val="Bordered &amp; Lined - Accent 3"/>
    <w:basedOn w:val="51"/>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95">
    <w:name w:val="Bordered &amp; Lined - Accent 4"/>
    <w:basedOn w:val="51"/>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6">
    <w:name w:val="Bordered &amp; Lined - Accent 5"/>
    <w:basedOn w:val="51"/>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7">
    <w:name w:val="Bordered &amp; Lined - Accent 6"/>
    <w:basedOn w:val="51"/>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8">
    <w:name w:val="Bordered"/>
    <w:basedOn w:val="5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9">
    <w:name w:val="Bordered - Accent 1"/>
    <w:basedOn w:val="5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200">
    <w:name w:val="Bordered - Accent 2"/>
    <w:basedOn w:val="5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201">
    <w:name w:val="Bordered - Accent 3"/>
    <w:basedOn w:val="5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202">
    <w:name w:val="Bordered - Accent 4"/>
    <w:basedOn w:val="5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203">
    <w:name w:val="Bordered - Accent 5"/>
    <w:basedOn w:val="5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204">
    <w:name w:val="Bordered - Accent 6"/>
    <w:basedOn w:val="5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205">
    <w:name w:val="Footnote Text Char"/>
    <w:link w:val="38"/>
    <w:qFormat/>
    <w:uiPriority w:val="99"/>
    <w:rPr>
      <w:sz w:val="18"/>
    </w:rPr>
  </w:style>
  <w:style w:type="character" w:customStyle="1" w:styleId="206">
    <w:name w:val="Endnote Text Char"/>
    <w:link w:val="30"/>
    <w:qFormat/>
    <w:uiPriority w:val="99"/>
    <w:rPr>
      <w:sz w:val="20"/>
    </w:rPr>
  </w:style>
  <w:style w:type="paragraph" w:customStyle="1" w:styleId="207">
    <w:name w:val="TOC Heading"/>
    <w:unhideWhenUsed/>
    <w:qFormat/>
    <w:uiPriority w:val="39"/>
    <w:rPr>
      <w:rFonts w:hint="default" w:ascii="Times New Roman" w:hAnsi="Times New Roman" w:eastAsia="宋体" w:cs="Times New Roman"/>
    </w:rPr>
  </w:style>
  <w:style w:type="paragraph" w:customStyle="1" w:styleId="208">
    <w:name w:val="Default"/>
    <w:qFormat/>
    <w:uiPriority w:val="0"/>
    <w:pPr>
      <w:widowControl w:val="0"/>
    </w:pPr>
    <w:rPr>
      <w:rFonts w:hint="default" w:ascii="宋体" w:hAnsi="宋体" w:eastAsia="宋体" w:cs="宋体"/>
      <w:color w:val="000000"/>
      <w:sz w:val="24"/>
      <w:szCs w:val="24"/>
      <w:lang w:val="en-US" w:eastAsia="zh-CN" w:bidi="ar-SA"/>
    </w:rPr>
  </w:style>
  <w:style w:type="paragraph" w:customStyle="1" w:styleId="209">
    <w:name w:val="正文首行缩进 21"/>
    <w:basedOn w:val="210"/>
    <w:next w:val="1"/>
    <w:qFormat/>
    <w:uiPriority w:val="99"/>
    <w:pPr>
      <w:spacing w:line="360" w:lineRule="auto"/>
    </w:pPr>
    <w:rPr>
      <w:rFonts w:cs="宋体"/>
      <w:szCs w:val="22"/>
    </w:rPr>
  </w:style>
  <w:style w:type="paragraph" w:customStyle="1" w:styleId="210">
    <w:name w:val="正文文本缩进1"/>
    <w:basedOn w:val="1"/>
    <w:next w:val="211"/>
    <w:qFormat/>
    <w:uiPriority w:val="0"/>
    <w:pPr>
      <w:spacing w:after="120"/>
      <w:ind w:left="420"/>
    </w:pPr>
    <w:rPr>
      <w:lang w:val="zh-CN"/>
    </w:rPr>
  </w:style>
  <w:style w:type="paragraph" w:customStyle="1" w:styleId="211">
    <w:name w:val="寄信人地址1"/>
    <w:basedOn w:val="1"/>
    <w:qFormat/>
    <w:uiPriority w:val="0"/>
    <w:rPr>
      <w:rFonts w:ascii="Arial" w:hAnsi="Arial"/>
    </w:rPr>
  </w:style>
  <w:style w:type="paragraph" w:customStyle="1" w:styleId="212">
    <w:name w:val="标题 111"/>
    <w:basedOn w:val="1"/>
    <w:next w:val="1"/>
    <w:qFormat/>
    <w:uiPriority w:val="0"/>
    <w:pPr>
      <w:keepNext/>
      <w:keepLines/>
      <w:widowControl w:val="0"/>
      <w:spacing w:before="480" w:after="200"/>
      <w:ind w:left="0" w:right="0"/>
      <w:jc w:val="both"/>
      <w:outlineLvl w:val="0"/>
    </w:pPr>
    <w:rPr>
      <w:rFonts w:ascii="Arial" w:hAnsi="Arial" w:eastAsia="Arial"/>
      <w:sz w:val="40"/>
      <w:szCs w:val="40"/>
    </w:rPr>
  </w:style>
  <w:style w:type="character" w:customStyle="1" w:styleId="213">
    <w:name w:val="正文文本缩进 字符"/>
    <w:basedOn w:val="53"/>
    <w:link w:val="21"/>
    <w:semiHidden/>
    <w:qFormat/>
    <w:uiPriority w:val="99"/>
  </w:style>
  <w:style w:type="character" w:customStyle="1" w:styleId="214">
    <w:name w:val="正文文本首行缩进 2 字符"/>
    <w:link w:val="50"/>
    <w:qFormat/>
    <w:uiPriority w:val="0"/>
    <w:rPr>
      <w:rFonts w:ascii="宋体" w:hAnsi="宋体" w:eastAsia="宋体" w:cs="Times New Roman"/>
      <w:szCs w:val="20"/>
    </w:rPr>
  </w:style>
  <w:style w:type="character" w:customStyle="1" w:styleId="215">
    <w:name w:val="标题 1 字符"/>
    <w:link w:val="3"/>
    <w:qFormat/>
    <w:uiPriority w:val="0"/>
    <w:rPr>
      <w:rFonts w:ascii="楷体_GB2312" w:hAnsi="Times New Roman" w:eastAsia="楷体_GB2312" w:cs="Times New Roman"/>
      <w:sz w:val="28"/>
      <w:szCs w:val="28"/>
    </w:rPr>
  </w:style>
  <w:style w:type="character" w:customStyle="1" w:styleId="216">
    <w:name w:val="标题 2 字符"/>
    <w:link w:val="4"/>
    <w:qFormat/>
    <w:uiPriority w:val="0"/>
    <w:rPr>
      <w:rFonts w:ascii="Arial" w:hAnsi="Arial" w:eastAsia="幼圆" w:cs="Arial"/>
      <w:b/>
      <w:bCs/>
      <w:sz w:val="44"/>
      <w:szCs w:val="44"/>
    </w:rPr>
  </w:style>
  <w:style w:type="character" w:customStyle="1" w:styleId="217">
    <w:name w:val="正文缩进 字符"/>
    <w:link w:val="5"/>
    <w:qFormat/>
    <w:uiPriority w:val="0"/>
    <w:rPr>
      <w:szCs w:val="21"/>
    </w:rPr>
  </w:style>
  <w:style w:type="character" w:customStyle="1" w:styleId="218">
    <w:name w:val="标题 3 字符"/>
    <w:link w:val="6"/>
    <w:qFormat/>
    <w:uiPriority w:val="0"/>
    <w:rPr>
      <w:rFonts w:ascii="Times New Roman" w:hAnsi="Times New Roman" w:eastAsia="宋体" w:cs="Times New Roman"/>
      <w:b/>
      <w:bCs/>
      <w:sz w:val="32"/>
      <w:szCs w:val="32"/>
    </w:rPr>
  </w:style>
  <w:style w:type="character" w:customStyle="1" w:styleId="219">
    <w:name w:val="标题 4 字符"/>
    <w:link w:val="7"/>
    <w:qFormat/>
    <w:uiPriority w:val="0"/>
    <w:rPr>
      <w:rFonts w:ascii="Arial" w:hAnsi="Arial" w:eastAsia="黑体" w:cs="Arial"/>
      <w:b/>
      <w:bCs/>
      <w:sz w:val="28"/>
      <w:szCs w:val="28"/>
    </w:rPr>
  </w:style>
  <w:style w:type="character" w:customStyle="1" w:styleId="220">
    <w:name w:val="标题 5 字符"/>
    <w:link w:val="8"/>
    <w:qFormat/>
    <w:uiPriority w:val="0"/>
    <w:rPr>
      <w:rFonts w:ascii="宋体" w:hAnsi="Times New Roman" w:eastAsia="宋体" w:cs="Times New Roman"/>
      <w:color w:val="000000"/>
      <w:sz w:val="28"/>
      <w:szCs w:val="28"/>
    </w:rPr>
  </w:style>
  <w:style w:type="character" w:customStyle="1" w:styleId="221">
    <w:name w:val="标题 6 字符"/>
    <w:link w:val="9"/>
    <w:qFormat/>
    <w:uiPriority w:val="0"/>
    <w:rPr>
      <w:rFonts w:ascii="Arial" w:hAnsi="Arial" w:eastAsia="黑体" w:cs="Times New Roman"/>
      <w:b/>
      <w:bCs/>
      <w:sz w:val="24"/>
      <w:szCs w:val="24"/>
    </w:rPr>
  </w:style>
  <w:style w:type="character" w:customStyle="1" w:styleId="222">
    <w:name w:val="标题 7 字符"/>
    <w:link w:val="10"/>
    <w:qFormat/>
    <w:uiPriority w:val="0"/>
    <w:rPr>
      <w:rFonts w:ascii="Times New Roman" w:hAnsi="Times New Roman" w:eastAsia="宋体" w:cs="Times New Roman"/>
      <w:b/>
      <w:bCs/>
      <w:sz w:val="24"/>
      <w:szCs w:val="24"/>
    </w:rPr>
  </w:style>
  <w:style w:type="character" w:customStyle="1" w:styleId="223">
    <w:name w:val="标题 8 字符"/>
    <w:link w:val="11"/>
    <w:qFormat/>
    <w:uiPriority w:val="0"/>
    <w:rPr>
      <w:rFonts w:ascii="Arial" w:hAnsi="Arial" w:eastAsia="黑体" w:cs="Times New Roman"/>
      <w:sz w:val="24"/>
      <w:szCs w:val="24"/>
    </w:rPr>
  </w:style>
  <w:style w:type="character" w:customStyle="1" w:styleId="224">
    <w:name w:val="标题 9 字符"/>
    <w:link w:val="12"/>
    <w:qFormat/>
    <w:uiPriority w:val="0"/>
    <w:rPr>
      <w:rFonts w:ascii="Arial" w:hAnsi="Arial" w:eastAsia="黑体" w:cs="Times New Roman"/>
      <w:szCs w:val="21"/>
    </w:rPr>
  </w:style>
  <w:style w:type="character" w:customStyle="1" w:styleId="225">
    <w:name w:val="文档结构图 字符"/>
    <w:link w:val="17"/>
    <w:semiHidden/>
    <w:qFormat/>
    <w:uiPriority w:val="0"/>
    <w:rPr>
      <w:rFonts w:ascii="Times New Roman" w:hAnsi="Times New Roman" w:eastAsia="宋体" w:cs="Times New Roman"/>
      <w:szCs w:val="21"/>
      <w:shd w:val="clear" w:color="auto" w:fill="000080"/>
    </w:rPr>
  </w:style>
  <w:style w:type="character" w:customStyle="1" w:styleId="226">
    <w:name w:val="批注文字 字符"/>
    <w:basedOn w:val="53"/>
    <w:link w:val="18"/>
    <w:semiHidden/>
    <w:qFormat/>
    <w:uiPriority w:val="99"/>
  </w:style>
  <w:style w:type="character" w:customStyle="1" w:styleId="227">
    <w:name w:val="正文文本 3 字符"/>
    <w:link w:val="19"/>
    <w:qFormat/>
    <w:uiPriority w:val="0"/>
    <w:rPr>
      <w:rFonts w:ascii="仿宋_GB2312" w:hAnsi="Arial" w:eastAsia="仿宋_GB2312" w:cs="Times New Roman"/>
      <w:sz w:val="32"/>
      <w:szCs w:val="32"/>
    </w:rPr>
  </w:style>
  <w:style w:type="character" w:customStyle="1" w:styleId="228">
    <w:name w:val="正文文本 字符"/>
    <w:link w:val="20"/>
    <w:qFormat/>
    <w:uiPriority w:val="0"/>
    <w:rPr>
      <w:rFonts w:ascii="楷体_GB2312" w:hAnsi="Arial" w:eastAsia="楷体_GB2312" w:cs="Times New Roman"/>
      <w:sz w:val="28"/>
      <w:szCs w:val="28"/>
    </w:rPr>
  </w:style>
  <w:style w:type="character" w:customStyle="1" w:styleId="229">
    <w:name w:val="纯文本 字符"/>
    <w:link w:val="26"/>
    <w:qFormat/>
    <w:uiPriority w:val="0"/>
    <w:rPr>
      <w:rFonts w:ascii="宋体" w:hAnsi="Courier New" w:eastAsia="宋体" w:cs="Courier New"/>
      <w:szCs w:val="21"/>
    </w:rPr>
  </w:style>
  <w:style w:type="character" w:customStyle="1" w:styleId="230">
    <w:name w:val="日期 字符"/>
    <w:link w:val="28"/>
    <w:qFormat/>
    <w:uiPriority w:val="0"/>
    <w:rPr>
      <w:rFonts w:ascii="Times New Roman" w:hAnsi="Times New Roman" w:eastAsia="宋体" w:cs="Times New Roman"/>
      <w:sz w:val="24"/>
      <w:szCs w:val="24"/>
    </w:rPr>
  </w:style>
  <w:style w:type="character" w:customStyle="1" w:styleId="231">
    <w:name w:val="正文文本缩进 2 字符"/>
    <w:link w:val="29"/>
    <w:qFormat/>
    <w:uiPriority w:val="0"/>
    <w:rPr>
      <w:rFonts w:ascii="Arial" w:hAnsi="Arial" w:eastAsia="仿宋_GB2312" w:cs="Arial"/>
      <w:sz w:val="32"/>
      <w:szCs w:val="32"/>
    </w:rPr>
  </w:style>
  <w:style w:type="character" w:customStyle="1" w:styleId="232">
    <w:name w:val="批注框文本 字符"/>
    <w:link w:val="31"/>
    <w:semiHidden/>
    <w:qFormat/>
    <w:uiPriority w:val="0"/>
    <w:rPr>
      <w:rFonts w:ascii="Times New Roman" w:hAnsi="Times New Roman" w:eastAsia="宋体" w:cs="Times New Roman"/>
      <w:sz w:val="18"/>
      <w:szCs w:val="18"/>
    </w:rPr>
  </w:style>
  <w:style w:type="character" w:customStyle="1" w:styleId="233">
    <w:name w:val="页脚 字符"/>
    <w:link w:val="32"/>
    <w:qFormat/>
    <w:uiPriority w:val="0"/>
    <w:rPr>
      <w:rFonts w:ascii="Times New Roman" w:hAnsi="Times New Roman" w:eastAsia="宋体" w:cs="Times New Roman"/>
      <w:sz w:val="18"/>
      <w:szCs w:val="18"/>
    </w:rPr>
  </w:style>
  <w:style w:type="character" w:customStyle="1" w:styleId="234">
    <w:name w:val="页眉 字符"/>
    <w:link w:val="33"/>
    <w:qFormat/>
    <w:uiPriority w:val="0"/>
    <w:rPr>
      <w:rFonts w:ascii="Times New Roman" w:hAnsi="Times New Roman" w:eastAsia="宋体" w:cs="Times New Roman"/>
      <w:sz w:val="18"/>
      <w:szCs w:val="18"/>
    </w:rPr>
  </w:style>
  <w:style w:type="character" w:customStyle="1" w:styleId="235">
    <w:name w:val="正文文本缩进 3 字符"/>
    <w:link w:val="40"/>
    <w:qFormat/>
    <w:uiPriority w:val="0"/>
    <w:rPr>
      <w:rFonts w:ascii="Arial" w:hAnsi="Arial" w:eastAsia="仿宋_GB2312" w:cs="Arial"/>
      <w:color w:val="FFFF00"/>
      <w:sz w:val="32"/>
      <w:szCs w:val="32"/>
    </w:rPr>
  </w:style>
  <w:style w:type="character" w:customStyle="1" w:styleId="236">
    <w:name w:val="正文文本 2 字符"/>
    <w:link w:val="44"/>
    <w:qFormat/>
    <w:uiPriority w:val="0"/>
    <w:rPr>
      <w:rFonts w:ascii="楷体_GB2312" w:hAnsi="Times New Roman" w:eastAsia="楷体_GB2312" w:cs="Times New Roman"/>
      <w:sz w:val="28"/>
      <w:szCs w:val="28"/>
    </w:rPr>
  </w:style>
  <w:style w:type="character" w:customStyle="1" w:styleId="237">
    <w:name w:val="批注主题 字符"/>
    <w:link w:val="48"/>
    <w:semiHidden/>
    <w:qFormat/>
    <w:uiPriority w:val="0"/>
    <w:rPr>
      <w:rFonts w:ascii="Times New Roman" w:hAnsi="Times New Roman" w:eastAsia="宋体" w:cs="Times New Roman"/>
      <w:b/>
      <w:bCs/>
      <w:szCs w:val="21"/>
    </w:rPr>
  </w:style>
  <w:style w:type="character" w:customStyle="1" w:styleId="238">
    <w:name w:val="正文文本首行缩进 字符"/>
    <w:link w:val="49"/>
    <w:qFormat/>
    <w:uiPriority w:val="0"/>
    <w:rPr>
      <w:rFonts w:ascii="仿宋_GB2312" w:hAnsi="Times New Roman" w:eastAsia="仿宋_GB2312" w:cs="Times New Roman"/>
      <w:sz w:val="30"/>
      <w:szCs w:val="30"/>
    </w:rPr>
  </w:style>
  <w:style w:type="character" w:customStyle="1" w:styleId="239">
    <w:name w:val="font5 Char"/>
    <w:qFormat/>
    <w:uiPriority w:val="0"/>
    <w:rPr>
      <w:rFonts w:ascii="宋体" w:hAnsi="宋体" w:eastAsia="宋体"/>
      <w:sz w:val="28"/>
      <w:szCs w:val="28"/>
      <w:lang w:val="en-US" w:eastAsia="zh-CN" w:bidi="ar-SA"/>
    </w:rPr>
  </w:style>
  <w:style w:type="character" w:customStyle="1" w:styleId="240">
    <w:name w:val="二级目录 Char"/>
    <w:link w:val="241"/>
    <w:qFormat/>
    <w:uiPriority w:val="0"/>
    <w:rPr>
      <w:rFonts w:ascii="Calibri" w:hAnsi="Calibri"/>
      <w:b/>
      <w:sz w:val="30"/>
      <w:szCs w:val="28"/>
    </w:rPr>
  </w:style>
  <w:style w:type="paragraph" w:customStyle="1" w:styleId="241">
    <w:name w:val="二级目录"/>
    <w:next w:val="1"/>
    <w:link w:val="240"/>
    <w:qFormat/>
    <w:uiPriority w:val="0"/>
    <w:pPr>
      <w:tabs>
        <w:tab w:val="left" w:pos="907"/>
        <w:tab w:val="left" w:pos="1145"/>
      </w:tabs>
      <w:ind w:left="907" w:hanging="907"/>
      <w:outlineLvl w:val="1"/>
    </w:pPr>
    <w:rPr>
      <w:rFonts w:hint="default" w:ascii="Calibri" w:hAnsi="Calibri" w:eastAsia="宋体" w:cs="Times New Roman"/>
      <w:b/>
      <w:sz w:val="30"/>
      <w:szCs w:val="28"/>
      <w:lang w:val="en-US" w:eastAsia="zh-CN" w:bidi="ar-SA"/>
    </w:rPr>
  </w:style>
  <w:style w:type="character" w:customStyle="1" w:styleId="242">
    <w:name w:val="列出段落 Char"/>
    <w:link w:val="243"/>
    <w:qFormat/>
    <w:uiPriority w:val="0"/>
    <w:rPr>
      <w:rFonts w:ascii="Calibri" w:hAnsi="Calibri"/>
      <w:sz w:val="24"/>
      <w:szCs w:val="24"/>
      <w:lang w:eastAsia="en-US" w:bidi="en-US"/>
    </w:rPr>
  </w:style>
  <w:style w:type="paragraph" w:customStyle="1" w:styleId="243">
    <w:name w:val="列出段落1"/>
    <w:basedOn w:val="1"/>
    <w:link w:val="242"/>
    <w:qFormat/>
    <w:uiPriority w:val="0"/>
    <w:pPr>
      <w:widowControl/>
      <w:ind w:left="720"/>
      <w:contextualSpacing/>
      <w:jc w:val="left"/>
    </w:pPr>
    <w:rPr>
      <w:sz w:val="24"/>
      <w:szCs w:val="24"/>
      <w:lang w:eastAsia="en-US" w:bidi="en-US"/>
    </w:rPr>
  </w:style>
  <w:style w:type="paragraph" w:customStyle="1" w:styleId="244">
    <w:name w:val="Body Text(ch)"/>
    <w:basedOn w:val="1"/>
    <w:next w:val="20"/>
    <w:qFormat/>
    <w:uiPriority w:val="0"/>
    <w:pPr>
      <w:spacing w:after="120"/>
    </w:pPr>
    <w:rPr>
      <w:rFonts w:ascii="宋体" w:hAnsi="Arial"/>
      <w:bCs/>
      <w:iCs/>
      <w:szCs w:val="24"/>
    </w:rPr>
  </w:style>
  <w:style w:type="paragraph" w:customStyle="1" w:styleId="245">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247">
    <w:name w:val="Char"/>
    <w:basedOn w:val="1"/>
    <w:qFormat/>
    <w:uiPriority w:val="0"/>
    <w:pPr>
      <w:tabs>
        <w:tab w:val="left" w:pos="360"/>
      </w:tabs>
      <w:ind w:firstLine="200"/>
    </w:pPr>
    <w:rPr>
      <w:rFonts w:ascii="Times New Roman" w:hAnsi="Times New Roman"/>
      <w:sz w:val="28"/>
      <w:szCs w:val="30"/>
    </w:rPr>
  </w:style>
  <w:style w:type="paragraph" w:customStyle="1" w:styleId="248">
    <w:name w:val="Char1"/>
    <w:basedOn w:val="17"/>
    <w:qFormat/>
    <w:uiPriority w:val="0"/>
    <w:rPr>
      <w:rFonts w:ascii="Tahoma" w:hAnsi="Tahoma"/>
      <w:sz w:val="24"/>
      <w:szCs w:val="24"/>
    </w:rPr>
  </w:style>
  <w:style w:type="paragraph" w:customStyle="1" w:styleId="249">
    <w:name w:val="table_lines"/>
    <w:basedOn w:val="1"/>
    <w:qFormat/>
    <w:uiPriority w:val="0"/>
    <w:pPr>
      <w:widowControl/>
      <w:jc w:val="left"/>
    </w:pPr>
    <w:rPr>
      <w:rFonts w:ascii="Times New Roman" w:hAnsi="Times New Roman"/>
      <w:sz w:val="20"/>
      <w:szCs w:val="20"/>
      <w:lang w:val="de-DE" w:eastAsia="de-DE"/>
    </w:rPr>
  </w:style>
  <w:style w:type="paragraph" w:customStyle="1" w:styleId="250">
    <w:name w:val="附录1"/>
    <w:qFormat/>
    <w:uiPriority w:val="0"/>
    <w:pPr>
      <w:numPr>
        <w:ilvl w:val="0"/>
        <w:numId w:val="2"/>
      </w:numPr>
      <w:spacing w:before="240" w:line="600" w:lineRule="atLeast"/>
    </w:pPr>
    <w:rPr>
      <w:rFonts w:hint="default" w:ascii="Times New Roman" w:hAnsi="Times New Roman" w:eastAsia="宋体" w:cs="Times New Roman"/>
      <w:b/>
      <w:i/>
      <w:sz w:val="28"/>
      <w:lang w:val="en-US" w:eastAsia="zh-CN" w:bidi="ar-SA"/>
    </w:rPr>
  </w:style>
  <w:style w:type="paragraph" w:customStyle="1" w:styleId="251">
    <w:name w:val="font7"/>
    <w:basedOn w:val="1"/>
    <w:qFormat/>
    <w:uiPriority w:val="0"/>
    <w:pPr>
      <w:widowControl/>
      <w:spacing w:before="100" w:beforeAutospacing="1" w:after="100" w:afterAutospacing="1"/>
      <w:jc w:val="left"/>
    </w:pPr>
    <w:rPr>
      <w:rFonts w:hint="eastAsia" w:ascii="宋体" w:hAnsi="宋体"/>
      <w:sz w:val="18"/>
      <w:szCs w:val="18"/>
    </w:rPr>
  </w:style>
  <w:style w:type="paragraph" w:customStyle="1" w:styleId="252">
    <w:name w:val="Char Char Char Char"/>
    <w:basedOn w:val="17"/>
    <w:qFormat/>
    <w:uiPriority w:val="0"/>
    <w:pPr>
      <w:spacing w:line="360" w:lineRule="auto"/>
    </w:pPr>
    <w:rPr>
      <w:rFonts w:ascii="Tahoma" w:hAnsi="Tahoma"/>
      <w:sz w:val="24"/>
      <w:szCs w:val="24"/>
    </w:rPr>
  </w:style>
  <w:style w:type="paragraph" w:styleId="253">
    <w:name w:val="List Paragraph"/>
    <w:basedOn w:val="1"/>
    <w:qFormat/>
    <w:uiPriority w:val="34"/>
    <w:pPr>
      <w:widowControl/>
      <w:ind w:left="720"/>
      <w:contextualSpacing/>
      <w:jc w:val="left"/>
    </w:pPr>
    <w:rPr>
      <w:sz w:val="24"/>
      <w:szCs w:val="24"/>
      <w:lang w:eastAsia="en-US" w:bidi="en-US"/>
    </w:rPr>
  </w:style>
  <w:style w:type="paragraph" w:customStyle="1" w:styleId="254">
    <w:name w:val="4"/>
    <w:basedOn w:val="1"/>
    <w:next w:val="40"/>
    <w:qFormat/>
    <w:uiPriority w:val="0"/>
    <w:pPr>
      <w:spacing w:line="360" w:lineRule="auto"/>
      <w:ind w:firstLine="420"/>
    </w:pPr>
    <w:rPr>
      <w:rFonts w:ascii="Times New Roman" w:hAnsi="Times New Roman"/>
      <w:color w:val="FF0000"/>
      <w:sz w:val="24"/>
      <w:szCs w:val="24"/>
    </w:rPr>
  </w:style>
  <w:style w:type="paragraph" w:customStyle="1" w:styleId="255">
    <w:name w:val="普通 (Web)"/>
    <w:basedOn w:val="1"/>
    <w:qFormat/>
    <w:uiPriority w:val="0"/>
    <w:pPr>
      <w:widowControl/>
      <w:spacing w:before="100" w:beforeAutospacing="1" w:after="100" w:afterAutospacing="1"/>
      <w:jc w:val="left"/>
    </w:pPr>
    <w:rPr>
      <w:rFonts w:ascii="宋体" w:hAnsi="宋体"/>
      <w:sz w:val="24"/>
      <w:szCs w:val="24"/>
    </w:rPr>
  </w:style>
  <w:style w:type="paragraph" w:customStyle="1" w:styleId="256">
    <w:name w:val="Char Char Char Char Char Char Char Char Char Char"/>
    <w:basedOn w:val="1"/>
    <w:qFormat/>
    <w:uiPriority w:val="0"/>
    <w:pPr>
      <w:spacing w:line="360" w:lineRule="auto"/>
    </w:pPr>
    <w:rPr>
      <w:rFonts w:ascii="Times New Roman" w:hAnsi="Times New Roman"/>
      <w:sz w:val="24"/>
      <w:szCs w:val="20"/>
    </w:rPr>
  </w:style>
  <w:style w:type="paragraph" w:customStyle="1" w:styleId="257">
    <w:name w:val="样式1"/>
    <w:basedOn w:val="1"/>
    <w:qFormat/>
    <w:uiPriority w:val="0"/>
    <w:pPr>
      <w:numPr>
        <w:ilvl w:val="0"/>
        <w:numId w:val="3"/>
      </w:numPr>
    </w:pPr>
    <w:rPr>
      <w:rFonts w:ascii="宋体" w:hAnsi="宋体"/>
      <w:szCs w:val="21"/>
    </w:rPr>
  </w:style>
  <w:style w:type="paragraph" w:customStyle="1" w:styleId="258">
    <w:name w:val="font6"/>
    <w:basedOn w:val="1"/>
    <w:qFormat/>
    <w:uiPriority w:val="0"/>
    <w:pPr>
      <w:widowControl/>
      <w:spacing w:before="100" w:beforeAutospacing="1" w:after="100" w:afterAutospacing="1"/>
      <w:jc w:val="left"/>
    </w:pPr>
    <w:rPr>
      <w:rFonts w:hint="eastAsia" w:ascii="宋体" w:hAnsi="宋体"/>
      <w:sz w:val="28"/>
      <w:szCs w:val="28"/>
      <w:u w:val="single"/>
    </w:rPr>
  </w:style>
  <w:style w:type="paragraph" w:customStyle="1" w:styleId="259">
    <w:name w:val="xl25"/>
    <w:basedOn w:val="1"/>
    <w:qFormat/>
    <w:uiPriority w:val="0"/>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60">
    <w:name w:val="图标"/>
    <w:basedOn w:val="1"/>
    <w:next w:val="1"/>
    <w:qFormat/>
    <w:uiPriority w:val="0"/>
    <w:pPr>
      <w:tabs>
        <w:tab w:val="left" w:pos="567"/>
        <w:tab w:val="left" w:pos="840"/>
      </w:tabs>
      <w:spacing w:before="120" w:after="120" w:line="320" w:lineRule="atLeast"/>
      <w:ind w:left="840" w:hanging="420"/>
      <w:jc w:val="center"/>
    </w:pPr>
    <w:rPr>
      <w:rFonts w:ascii="Times New Roman" w:hAnsi="Times New Roman" w:eastAsia="仿宋_GB2312"/>
      <w:sz w:val="24"/>
      <w:szCs w:val="20"/>
    </w:rPr>
  </w:style>
  <w:style w:type="paragraph" w:customStyle="1" w:styleId="261">
    <w:name w:val="标题3"/>
    <w:basedOn w:val="1"/>
    <w:next w:val="1"/>
    <w:qFormat/>
    <w:uiPriority w:val="0"/>
    <w:pPr>
      <w:spacing w:line="590" w:lineRule="atLeast"/>
      <w:ind w:firstLine="624"/>
    </w:pPr>
    <w:rPr>
      <w:rFonts w:ascii="方正黑体_GBK" w:hAnsi="Times New Roman" w:eastAsia="方正黑体_GBK"/>
      <w:sz w:val="32"/>
      <w:szCs w:val="32"/>
    </w:rPr>
  </w:style>
  <w:style w:type="paragraph" w:customStyle="1" w:styleId="26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263">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264">
    <w:name w:val="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26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sz w:val="24"/>
      <w:szCs w:val="24"/>
    </w:rPr>
  </w:style>
  <w:style w:type="paragraph" w:customStyle="1" w:styleId="266">
    <w:name w:val="Char Char Char Char Char Char Char Char1"/>
    <w:basedOn w:val="1"/>
    <w:qFormat/>
    <w:uiPriority w:val="0"/>
    <w:pPr>
      <w:widowControl/>
      <w:spacing w:after="160" w:line="240" w:lineRule="exact"/>
      <w:jc w:val="left"/>
    </w:pPr>
    <w:rPr>
      <w:rFonts w:ascii="Verdana" w:hAnsi="Verdana"/>
      <w:sz w:val="20"/>
      <w:szCs w:val="20"/>
      <w:lang w:eastAsia="en-US"/>
    </w:rPr>
  </w:style>
  <w:style w:type="paragraph" w:customStyle="1" w:styleId="267">
    <w:name w:val="xl30"/>
    <w:basedOn w:val="1"/>
    <w:qFormat/>
    <w:uiPriority w:val="0"/>
    <w:pPr>
      <w:widowControl/>
      <w:spacing w:before="100" w:beforeAutospacing="1" w:after="100" w:afterAutospacing="1"/>
      <w:jc w:val="center"/>
    </w:pPr>
    <w:rPr>
      <w:rFonts w:ascii="宋体" w:hAnsi="宋体"/>
      <w:b/>
      <w:bCs/>
      <w:sz w:val="36"/>
      <w:szCs w:val="36"/>
    </w:rPr>
  </w:style>
  <w:style w:type="paragraph" w:customStyle="1" w:styleId="268">
    <w:name w:val="Char Char Char Char1"/>
    <w:basedOn w:val="17"/>
    <w:qFormat/>
    <w:uiPriority w:val="0"/>
    <w:pPr>
      <w:spacing w:line="360" w:lineRule="auto"/>
    </w:pPr>
    <w:rPr>
      <w:rFonts w:ascii="Tahoma" w:hAnsi="Tahoma"/>
      <w:sz w:val="24"/>
      <w:szCs w:val="24"/>
    </w:rPr>
  </w:style>
  <w:style w:type="paragraph" w:customStyle="1" w:styleId="269">
    <w:name w:val="table_1stline"/>
    <w:basedOn w:val="1"/>
    <w:qFormat/>
    <w:uiPriority w:val="0"/>
    <w:pPr>
      <w:widowControl/>
      <w:spacing w:before="120"/>
      <w:jc w:val="left"/>
    </w:pPr>
    <w:rPr>
      <w:rFonts w:ascii="Times New Roman" w:hAnsi="Times New Roman"/>
      <w:bCs/>
      <w:sz w:val="20"/>
      <w:szCs w:val="20"/>
      <w:lang w:val="de-DE" w:eastAsia="de-DE"/>
    </w:rPr>
  </w:style>
  <w:style w:type="paragraph" w:customStyle="1" w:styleId="270">
    <w:name w:val="font5"/>
    <w:basedOn w:val="1"/>
    <w:qFormat/>
    <w:uiPriority w:val="0"/>
    <w:pPr>
      <w:widowControl/>
      <w:spacing w:before="100" w:beforeAutospacing="1" w:after="100" w:afterAutospacing="1"/>
      <w:jc w:val="left"/>
    </w:pPr>
    <w:rPr>
      <w:rFonts w:hint="eastAsia" w:ascii="宋体" w:hAnsi="宋体"/>
      <w:sz w:val="28"/>
      <w:szCs w:val="28"/>
    </w:rPr>
  </w:style>
  <w:style w:type="paragraph" w:customStyle="1" w:styleId="271">
    <w:name w:val="标题1"/>
    <w:basedOn w:val="1"/>
    <w:next w:val="1"/>
    <w:qFormat/>
    <w:uiPriority w:val="0"/>
    <w:pPr>
      <w:tabs>
        <w:tab w:val="left" w:pos="9193"/>
        <w:tab w:val="left" w:pos="9827"/>
      </w:tabs>
      <w:spacing w:line="700" w:lineRule="atLeast"/>
      <w:jc w:val="center"/>
    </w:pPr>
    <w:rPr>
      <w:rFonts w:ascii="方正小标宋_GBK" w:hAnsi="Times New Roman" w:eastAsia="方正小标宋_GBK"/>
      <w:sz w:val="44"/>
      <w:szCs w:val="20"/>
    </w:rPr>
  </w:style>
  <w:style w:type="paragraph" w:customStyle="1" w:styleId="272">
    <w:name w:val="_Style 111"/>
    <w:semiHidden/>
    <w:qFormat/>
    <w:uiPriority w:val="99"/>
    <w:rPr>
      <w:rFonts w:hint="default" w:ascii="Times New Roman" w:hAnsi="Times New Roman" w:eastAsia="宋体" w:cs="Times New Roman"/>
      <w:sz w:val="21"/>
      <w:szCs w:val="21"/>
      <w:lang w:val="en-US" w:eastAsia="zh-CN" w:bidi="ar-SA"/>
    </w:rPr>
  </w:style>
  <w:style w:type="paragraph" w:styleId="273">
    <w:name w:val="No Spacing"/>
    <w:qFormat/>
    <w:uiPriority w:val="99"/>
    <w:pPr>
      <w:widowControl w:val="0"/>
      <w:jc w:val="both"/>
    </w:pPr>
    <w:rPr>
      <w:rFonts w:hint="default" w:ascii="Times New Roman" w:hAnsi="Times New Roman" w:eastAsia="宋体" w:cs="Times New Roman"/>
      <w:sz w:val="21"/>
      <w:szCs w:val="21"/>
      <w:lang w:val="en-US" w:eastAsia="zh-CN" w:bidi="ar-SA"/>
    </w:rPr>
  </w:style>
  <w:style w:type="paragraph" w:customStyle="1" w:styleId="274">
    <w:name w:val="目录 82"/>
    <w:next w:val="1"/>
    <w:qFormat/>
    <w:uiPriority w:val="0"/>
    <w:pPr>
      <w:ind w:left="2550"/>
      <w:jc w:val="both"/>
    </w:pPr>
    <w:rPr>
      <w:rFonts w:hint="default" w:ascii="Calibri" w:hAnsi="Calibri" w:eastAsia="宋体" w:cs="Times New Roman"/>
      <w:sz w:val="21"/>
      <w:lang w:val="en-US" w:eastAsia="zh-CN" w:bidi="ar-SA"/>
    </w:rPr>
  </w:style>
  <w:style w:type="paragraph" w:customStyle="1" w:styleId="275">
    <w:name w:val="段"/>
    <w:next w:val="1"/>
    <w:qFormat/>
    <w:uiPriority w:val="0"/>
    <w:pPr>
      <w:spacing w:line="360" w:lineRule="auto"/>
      <w:ind w:firstLine="200"/>
      <w:jc w:val="both"/>
    </w:pPr>
    <w:rPr>
      <w:rFonts w:hint="default" w:ascii="宋体" w:hAnsi="Times New Roman" w:eastAsia="宋体" w:cs="Times New Roman"/>
      <w:sz w:val="24"/>
      <w:szCs w:val="22"/>
      <w:lang w:val="en-US" w:eastAsia="zh-CN" w:bidi="ar-SA"/>
    </w:rPr>
  </w:style>
  <w:style w:type="paragraph" w:customStyle="1" w:styleId="276">
    <w:name w:val="修订1"/>
    <w:hidden/>
    <w:unhideWhenUsed/>
    <w:qFormat/>
    <w:uiPriority w:val="99"/>
    <w:rPr>
      <w:rFonts w:hint="default" w:ascii="Calibri" w:hAnsi="Calibri" w:eastAsia="宋体" w:cs="Times New Roman"/>
      <w:sz w:val="21"/>
      <w:szCs w:val="22"/>
      <w:lang w:val="en-US" w:eastAsia="zh-CN" w:bidi="ar-SA"/>
    </w:rPr>
  </w:style>
  <w:style w:type="paragraph" w:customStyle="1" w:styleId="277">
    <w:name w:val="DAS正文"/>
    <w:basedOn w:val="1"/>
    <w:qFormat/>
    <w:uiPriority w:val="0"/>
    <w:pPr>
      <w:spacing w:line="360" w:lineRule="auto"/>
      <w:ind w:right="181" w:firstLine="480"/>
    </w:pPr>
    <w:rPr>
      <w:rFonts w:ascii="Verdana" w:hAnsi="Verdana"/>
      <w:szCs w:val="24"/>
    </w:rPr>
  </w:style>
  <w:style w:type="table" w:customStyle="1" w:styleId="278">
    <w:name w:val="Table Normal"/>
    <w:semiHidden/>
    <w:unhideWhenUsed/>
    <w:qFormat/>
    <w:uiPriority w:val="0"/>
    <w:tblPr>
      <w:tblCellMar>
        <w:top w:w="0" w:type="dxa"/>
        <w:left w:w="0" w:type="dxa"/>
        <w:bottom w:w="0" w:type="dxa"/>
        <w:right w:w="0" w:type="dxa"/>
      </w:tblCellMar>
    </w:tblPr>
  </w:style>
  <w:style w:type="paragraph" w:customStyle="1" w:styleId="279">
    <w:name w:val="修订2"/>
    <w:hidden/>
    <w:unhideWhenUsed/>
    <w:qFormat/>
    <w:uiPriority w:val="99"/>
    <w:rPr>
      <w:rFonts w:hint="default" w:ascii="Calibri" w:hAnsi="Calibri" w:eastAsia="宋体" w:cs="Times New Roman"/>
      <w:sz w:val="21"/>
      <w:szCs w:val="22"/>
      <w:lang w:val="en-US" w:eastAsia="zh-CN" w:bidi="ar-SA"/>
    </w:rPr>
  </w:style>
  <w:style w:type="paragraph" w:customStyle="1" w:styleId="280">
    <w:name w:val="Revision"/>
    <w:hidden/>
    <w:unhideWhenUsed/>
    <w:qFormat/>
    <w:uiPriority w:val="99"/>
    <w:rPr>
      <w:rFonts w:hint="default" w:ascii="Calibri" w:hAnsi="Calibri" w:eastAsia="宋体" w:cs="Times New Roman"/>
      <w:sz w:val="21"/>
      <w:szCs w:val="22"/>
      <w:lang w:val="en-US" w:eastAsia="zh-CN" w:bidi="ar-SA"/>
    </w:rPr>
  </w:style>
  <w:style w:type="paragraph" w:customStyle="1" w:styleId="281">
    <w:name w:val="纯文本11"/>
    <w:basedOn w:val="1"/>
    <w:qFormat/>
    <w:uiPriority w:val="0"/>
    <w:rPr>
      <w:rFonts w:ascii="宋体" w:hAnsi="Courier New" w:eastAsia="楷体_GB2312"/>
      <w:sz w:val="26"/>
      <w:szCs w:val="24"/>
    </w:rPr>
  </w:style>
  <w:style w:type="paragraph" w:customStyle="1" w:styleId="282">
    <w:name w:val="正文文本111"/>
    <w:basedOn w:val="1"/>
    <w:next w:val="208"/>
    <w:qFormat/>
    <w:uiPriority w:val="0"/>
    <w:rPr>
      <w:rFonts w:ascii="方正仿宋_GB2312" w:hAnsi="Arial" w:eastAsia="宋体" w:cs="Times New Roman"/>
      <w:sz w:val="28"/>
      <w:szCs w:val="28"/>
    </w:rPr>
  </w:style>
  <w:style w:type="paragraph" w:customStyle="1" w:styleId="283">
    <w:name w:val="纯文本1"/>
    <w:basedOn w:val="1"/>
    <w:qFormat/>
    <w:uiPriority w:val="0"/>
    <w:rPr>
      <w:rFonts w:ascii="宋体" w:hAnsi="Courier New" w:eastAsia="宋体" w:cs="宋体"/>
      <w:szCs w:val="21"/>
    </w:rPr>
  </w:style>
  <w:style w:type="paragraph" w:customStyle="1" w:styleId="284">
    <w:name w:val="无间隔"/>
    <w:qFormat/>
    <w:uiPriority w:val="0"/>
    <w:rPr>
      <w:rFonts w:hint="default" w:ascii="Times New Roman" w:hAnsi="Times New Roman" w:eastAsia="宋体" w:cs="Times New Roman"/>
      <w:lang w:val="en-US" w:eastAsia="zh-CN" w:bidi="ar-SA"/>
    </w:rPr>
  </w:style>
  <w:style w:type="paragraph" w:customStyle="1" w:styleId="285">
    <w:name w:val="正文文本11"/>
    <w:basedOn w:val="1"/>
    <w:next w:val="1"/>
    <w:qFormat/>
    <w:uiPriority w:val="0"/>
    <w:pPr>
      <w:spacing w:line="400" w:lineRule="exact"/>
    </w:pPr>
    <w:rPr>
      <w:rFonts w:ascii="楷体_GB2312" w:hAnsi="Times New Roman" w:eastAsia="宋体"/>
      <w:sz w:val="28"/>
    </w:rPr>
  </w:style>
  <w:style w:type="paragraph" w:customStyle="1" w:styleId="286">
    <w:name w:val="页脚1"/>
    <w:basedOn w:val="1"/>
    <w:qFormat/>
    <w:uiPriority w:val="0"/>
    <w:pPr>
      <w:tabs>
        <w:tab w:val="center" w:pos="4153"/>
        <w:tab w:val="right" w:pos="8306"/>
      </w:tabs>
      <w:jc w:val="left"/>
    </w:pPr>
    <w:rPr>
      <w:sz w:val="18"/>
      <w:szCs w:val="18"/>
    </w:rPr>
  </w:style>
  <w:style w:type="paragraph" w:customStyle="1" w:styleId="287">
    <w:name w:val="页脚11"/>
    <w:basedOn w:val="1"/>
    <w:qFormat/>
    <w:uiPriority w:val="0"/>
    <w:pPr>
      <w:tabs>
        <w:tab w:val="center" w:pos="7143"/>
        <w:tab w:val="right" w:pos="14287"/>
      </w:tabs>
      <w:spacing w:after="0" w:line="240" w:lineRule="auto"/>
    </w:pPr>
    <w:rPr>
      <w:sz w:val="20"/>
      <w:szCs w:val="20"/>
    </w:rPr>
  </w:style>
  <w:style w:type="paragraph" w:customStyle="1" w:styleId="288">
    <w:name w:val="正文文本缩进 211"/>
    <w:basedOn w:val="1"/>
    <w:qFormat/>
    <w:uiPriority w:val="0"/>
    <w:pPr>
      <w:spacing w:line="500" w:lineRule="exact"/>
      <w:ind w:firstLine="560"/>
    </w:pPr>
    <w:rPr>
      <w:rFonts w:ascii="Times New Roman" w:hAnsi="Times New Roman" w:eastAsia="仿宋_GB2312" w:cs="Times New Roman"/>
      <w:sz w:val="28"/>
      <w:szCs w:val="20"/>
    </w:rPr>
  </w:style>
  <w:style w:type="character" w:customStyle="1" w:styleId="289">
    <w:name w:val="NormalCharacter1"/>
    <w:qFormat/>
    <w:uiPriority w:val="0"/>
    <w:rPr>
      <w:rFonts w:ascii="Times New Roman" w:hAnsi="Times New Roman" w:eastAsia="宋体" w:cs="Times New Roman"/>
    </w:rPr>
  </w:style>
  <w:style w:type="paragraph" w:customStyle="1" w:styleId="290">
    <w:name w:val="BodyText1I2"/>
    <w:basedOn w:val="291"/>
    <w:qFormat/>
    <w:uiPriority w:val="99"/>
    <w:pPr>
      <w:ind w:firstLine="420" w:firstLineChars="200"/>
    </w:pPr>
  </w:style>
  <w:style w:type="paragraph" w:customStyle="1" w:styleId="291">
    <w:name w:val="BodyTextIndent"/>
    <w:basedOn w:val="1"/>
    <w:next w:val="292"/>
    <w:qFormat/>
    <w:uiPriority w:val="99"/>
    <w:pPr>
      <w:spacing w:after="120"/>
      <w:ind w:left="420" w:leftChars="200"/>
    </w:pPr>
  </w:style>
  <w:style w:type="paragraph" w:customStyle="1" w:styleId="292">
    <w:name w:val="EnvelopeReturn"/>
    <w:basedOn w:val="1"/>
    <w:qFormat/>
    <w:uiPriority w:val="99"/>
    <w:pPr>
      <w:snapToGrid w:val="0"/>
    </w:pPr>
    <w:rPr>
      <w:rFonts w:ascii="Arial" w:hAnsi="Arial"/>
    </w:rPr>
  </w:style>
  <w:style w:type="paragraph" w:customStyle="1" w:styleId="293">
    <w:name w:val="msonormalcxspmiddle"/>
    <w:basedOn w:val="1"/>
    <w:qFormat/>
    <w:uiPriority w:val="0"/>
    <w:pPr>
      <w:widowControl/>
      <w:spacing w:before="100" w:beforeAutospacing="1" w:after="100" w:afterAutospacing="1"/>
      <w:jc w:val="left"/>
    </w:pPr>
    <w:rPr>
      <w:rFonts w:ascii="宋体" w:hAnsi="宋体" w:cs="宋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83</Pages>
  <Words>31069</Words>
  <Characters>32930</Characters>
  <TotalTime>0</TotalTime>
  <ScaleCrop>false</ScaleCrop>
  <LinksUpToDate>false</LinksUpToDate>
  <CharactersWithSpaces>34127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2024-10-10T07:27:00Z</dcterms:created>
  <dc:creator>赵国文</dc:creator>
  <cp:lastModifiedBy>Iris</cp:lastModifiedBy>
  <dcterms:modified xsi:type="dcterms:W3CDTF">2025-03-25T09:00:25Z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9A1A14E00C914D07A4BC9ADD17E5A757_13</vt:lpwstr>
  </property>
  <property fmtid="{D5CDD505-2E9C-101B-9397-08002B2CF9AE}" pid="4" name="KSOTemplateDocerSaveRecord">
    <vt:lpwstr>eyJoZGlkIjoiMjhmOWZjZTFiZWY0MjllOTY5NWMwMGU5YmIwMTZkYzUiLCJ1c2VySWQiOiIzNTM3MDUxNTMifQ==</vt:lpwstr>
  </property>
</Properties>
</file>