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napToGrid w:val="0"/>
        <w:spacing w:line="300" w:lineRule="auto"/>
        <w:jc w:val="left"/>
        <w:rPr>
          <w:rFonts w:hAnsi="宋体"/>
          <w:color w:val="auto"/>
          <w:sz w:val="44"/>
          <w:szCs w:val="44"/>
          <w:highlight w:val="none"/>
          <w:shd w:val="clear" w:color="auto" w:fill="auto"/>
        </w:rPr>
      </w:pPr>
      <w:r>
        <w:rPr>
          <w:rFonts w:hint="eastAsia" w:hAnsi="宋体"/>
          <w:color w:val="auto"/>
          <w:sz w:val="44"/>
          <w:szCs w:val="44"/>
          <w:highlight w:val="none"/>
          <w:shd w:val="clear" w:color="auto" w:fill="auto"/>
        </w:rPr>
        <w:t xml:space="preserve">   </w:t>
      </w:r>
      <w:r>
        <w:rPr>
          <w:rFonts w:hAnsi="宋体"/>
          <w:color w:val="auto"/>
          <w:sz w:val="44"/>
          <w:szCs w:val="44"/>
          <w:highlight w:val="none"/>
          <w:shd w:val="clear" w:color="auto" w:fill="auto"/>
        </w:rPr>
        <w:tab/>
      </w:r>
    </w:p>
    <w:p>
      <w:pPr>
        <w:tabs>
          <w:tab w:val="left" w:pos="6300"/>
        </w:tabs>
        <w:snapToGrid w:val="0"/>
        <w:spacing w:line="300" w:lineRule="auto"/>
        <w:jc w:val="center"/>
        <w:rPr>
          <w:rFonts w:hAnsi="宋体" w:cs="宋体"/>
          <w:color w:val="auto"/>
          <w:sz w:val="36"/>
          <w:szCs w:val="36"/>
          <w:highlight w:val="none"/>
          <w:shd w:val="clear" w:color="auto" w:fill="auto"/>
        </w:rPr>
      </w:pPr>
    </w:p>
    <w:p>
      <w:pPr>
        <w:spacing w:line="700" w:lineRule="exact"/>
        <w:jc w:val="center"/>
        <w:rPr>
          <w:rFonts w:hint="eastAsia" w:hAnsi="宋体" w:eastAsia="宋体"/>
          <w:b/>
          <w:color w:val="auto"/>
          <w:sz w:val="56"/>
          <w:szCs w:val="56"/>
          <w:highlight w:val="none"/>
          <w:shd w:val="clear" w:color="auto" w:fill="auto"/>
          <w:lang w:eastAsia="zh-CN"/>
        </w:rPr>
      </w:pPr>
      <w:r>
        <w:rPr>
          <w:rFonts w:hint="eastAsia" w:hAnsi="宋体" w:cs="宋体"/>
          <w:b/>
          <w:bCs/>
          <w:color w:val="auto"/>
          <w:sz w:val="44"/>
          <w:szCs w:val="44"/>
          <w:highlight w:val="none"/>
          <w:shd w:val="clear" w:color="auto" w:fill="auto"/>
          <w:lang w:eastAsia="zh-CN"/>
        </w:rPr>
        <w:t>南通博物苑“百年如意—故宫博物院典藏如意特展”展览服务项目</w:t>
      </w: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r>
        <w:rPr>
          <w:rFonts w:hAnsi="宋体"/>
          <w:b/>
          <w:color w:val="auto"/>
          <w:sz w:val="72"/>
          <w:szCs w:val="72"/>
          <w:highlight w:val="none"/>
          <w:shd w:val="clear" w:color="auto" w:fill="auto"/>
        </w:rPr>
        <w:t>竞争性磋商文件</w:t>
      </w:r>
    </w:p>
    <w:p>
      <w:pPr>
        <w:spacing w:line="720" w:lineRule="auto"/>
        <w:jc w:val="center"/>
        <w:rPr>
          <w:rFonts w:hAnsi="宋体"/>
          <w:b/>
          <w:color w:val="auto"/>
          <w:sz w:val="44"/>
          <w:szCs w:val="44"/>
          <w:highlight w:val="none"/>
          <w:shd w:val="clear" w:color="auto" w:fill="auto"/>
        </w:rPr>
      </w:pPr>
      <w:r>
        <w:rPr>
          <w:rFonts w:hint="eastAsia" w:hAnsi="宋体"/>
          <w:b/>
          <w:color w:val="auto"/>
          <w:sz w:val="44"/>
          <w:szCs w:val="44"/>
          <w:highlight w:val="none"/>
          <w:shd w:val="clear" w:color="auto" w:fill="auto"/>
        </w:rPr>
        <w:t>（资格后审）</w:t>
      </w:r>
    </w:p>
    <w:p>
      <w:pPr>
        <w:snapToGrid w:val="0"/>
        <w:spacing w:line="360" w:lineRule="auto"/>
        <w:jc w:val="center"/>
        <w:rPr>
          <w:rFonts w:hint="eastAsia" w:hAnsi="宋体"/>
          <w:b/>
          <w:color w:val="auto"/>
          <w:sz w:val="36"/>
          <w:highlight w:val="none"/>
          <w:shd w:val="clear" w:color="auto" w:fill="auto"/>
          <w:lang w:val="en-US" w:eastAsia="zh-CN"/>
        </w:rPr>
      </w:pPr>
    </w:p>
    <w:p>
      <w:pPr>
        <w:snapToGrid w:val="0"/>
        <w:spacing w:line="360" w:lineRule="auto"/>
        <w:jc w:val="center"/>
        <w:rPr>
          <w:rFonts w:hAnsi="宋体"/>
          <w:b/>
          <w:color w:val="auto"/>
          <w:sz w:val="36"/>
          <w:highlight w:val="none"/>
          <w:shd w:val="clear" w:color="auto" w:fill="auto"/>
        </w:rPr>
      </w:pPr>
    </w:p>
    <w:p>
      <w:pPr>
        <w:snapToGrid w:val="0"/>
        <w:spacing w:line="360" w:lineRule="auto"/>
        <w:rPr>
          <w:rFonts w:hAnsi="宋体"/>
          <w:b/>
          <w:color w:val="auto"/>
          <w:sz w:val="36"/>
          <w:highlight w:val="none"/>
          <w:shd w:val="clear" w:color="auto" w:fill="auto"/>
        </w:rPr>
      </w:pPr>
    </w:p>
    <w:p>
      <w:pPr>
        <w:snapToGrid w:val="0"/>
        <w:spacing w:line="360" w:lineRule="auto"/>
        <w:jc w:val="center"/>
        <w:rPr>
          <w:rFonts w:hAnsi="宋体"/>
          <w:b/>
          <w:color w:val="auto"/>
          <w:sz w:val="36"/>
          <w:highlight w:val="none"/>
          <w:shd w:val="clear" w:color="auto" w:fill="auto"/>
        </w:rPr>
      </w:pPr>
    </w:p>
    <w:p>
      <w:pPr>
        <w:adjustRightInd w:val="0"/>
        <w:snapToGrid w:val="0"/>
        <w:spacing w:line="360" w:lineRule="auto"/>
        <w:rPr>
          <w:rFonts w:hint="eastAsia" w:hAnsi="宋体" w:cs="宋体"/>
          <w:b/>
          <w:color w:val="auto"/>
          <w:sz w:val="30"/>
          <w:szCs w:val="30"/>
          <w:highlight w:val="none"/>
          <w:shd w:val="clear" w:color="auto" w:fill="auto"/>
        </w:rPr>
      </w:pPr>
    </w:p>
    <w:p>
      <w:pPr>
        <w:adjustRightInd w:val="0"/>
        <w:snapToGrid w:val="0"/>
        <w:spacing w:line="360" w:lineRule="auto"/>
        <w:jc w:val="center"/>
        <w:rPr>
          <w:rFonts w:hint="eastAsia" w:hAnsi="宋体" w:eastAsia="宋体" w:cs="宋体"/>
          <w:b/>
          <w:color w:val="auto"/>
          <w:sz w:val="30"/>
          <w:szCs w:val="30"/>
          <w:highlight w:val="none"/>
          <w:shd w:val="clear" w:color="auto" w:fill="auto"/>
          <w:lang w:eastAsia="zh-CN"/>
        </w:rPr>
      </w:pPr>
      <w:r>
        <w:rPr>
          <w:rFonts w:hint="eastAsia" w:hAnsi="宋体" w:cs="宋体"/>
          <w:b/>
          <w:color w:val="auto"/>
          <w:sz w:val="30"/>
          <w:szCs w:val="30"/>
          <w:highlight w:val="none"/>
          <w:shd w:val="clear" w:color="auto" w:fill="auto"/>
        </w:rPr>
        <w:t>采购人：</w:t>
      </w:r>
      <w:r>
        <w:rPr>
          <w:rFonts w:hint="eastAsia" w:hAnsi="宋体" w:cs="宋体"/>
          <w:b/>
          <w:color w:val="auto"/>
          <w:sz w:val="30"/>
          <w:szCs w:val="30"/>
          <w:highlight w:val="none"/>
          <w:shd w:val="clear" w:color="auto" w:fill="auto"/>
          <w:lang w:eastAsia="zh-CN"/>
        </w:rPr>
        <w:t>南通博物苑</w:t>
      </w:r>
    </w:p>
    <w:p>
      <w:pPr>
        <w:adjustRightInd w:val="0"/>
        <w:snapToGrid w:val="0"/>
        <w:spacing w:line="360" w:lineRule="auto"/>
        <w:jc w:val="center"/>
        <w:rPr>
          <w:rFonts w:hAnsi="宋体" w:cs="宋体"/>
          <w:b/>
          <w:color w:val="auto"/>
          <w:sz w:val="30"/>
          <w:szCs w:val="30"/>
          <w:highlight w:val="none"/>
          <w:shd w:val="clear" w:color="auto" w:fill="auto"/>
        </w:rPr>
      </w:pPr>
      <w:r>
        <w:rPr>
          <w:rFonts w:hint="eastAsia" w:hAnsi="宋体" w:cs="宋体"/>
          <w:b/>
          <w:color w:val="auto"/>
          <w:sz w:val="30"/>
          <w:szCs w:val="30"/>
          <w:highlight w:val="none"/>
          <w:shd w:val="clear" w:color="auto" w:fill="auto"/>
        </w:rPr>
        <w:t>代理机构：江苏正扬招标代理有限公司</w:t>
      </w:r>
    </w:p>
    <w:p>
      <w:pPr>
        <w:adjustRightInd w:val="0"/>
        <w:snapToGrid w:val="0"/>
        <w:spacing w:line="360" w:lineRule="auto"/>
        <w:jc w:val="center"/>
        <w:rPr>
          <w:rFonts w:hAnsi="宋体" w:cs="宋体"/>
          <w:b/>
          <w:color w:val="auto"/>
          <w:sz w:val="30"/>
          <w:szCs w:val="30"/>
          <w:highlight w:val="none"/>
          <w:shd w:val="clear" w:color="auto" w:fill="auto"/>
        </w:rPr>
      </w:pPr>
    </w:p>
    <w:p>
      <w:pPr>
        <w:adjustRightInd w:val="0"/>
        <w:snapToGrid w:val="0"/>
        <w:spacing w:line="360" w:lineRule="auto"/>
        <w:jc w:val="center"/>
        <w:rPr>
          <w:rFonts w:hAnsi="宋体" w:cs="宋体"/>
          <w:b/>
          <w:color w:val="auto"/>
          <w:sz w:val="44"/>
          <w:szCs w:val="44"/>
          <w:highlight w:val="none"/>
          <w:shd w:val="clear" w:color="auto" w:fill="auto"/>
        </w:rPr>
      </w:pPr>
      <w:r>
        <w:rPr>
          <w:rFonts w:hint="eastAsia" w:hAnsi="宋体" w:cs="宋体"/>
          <w:b/>
          <w:color w:val="auto"/>
          <w:sz w:val="30"/>
          <w:szCs w:val="30"/>
          <w:highlight w:val="none"/>
          <w:shd w:val="clear" w:color="auto" w:fill="auto"/>
          <w:lang w:val="en-US" w:eastAsia="zh-CN"/>
        </w:rPr>
        <w:t>2025</w:t>
      </w:r>
      <w:r>
        <w:rPr>
          <w:rFonts w:hint="eastAsia" w:hAnsi="宋体" w:cs="宋体"/>
          <w:b/>
          <w:color w:val="auto"/>
          <w:sz w:val="30"/>
          <w:szCs w:val="30"/>
          <w:highlight w:val="none"/>
          <w:shd w:val="clear" w:color="auto" w:fill="auto"/>
        </w:rPr>
        <w:t>年</w:t>
      </w:r>
      <w:r>
        <w:rPr>
          <w:rFonts w:hint="eastAsia" w:hAnsi="宋体" w:cs="宋体"/>
          <w:b/>
          <w:color w:val="auto"/>
          <w:sz w:val="30"/>
          <w:szCs w:val="30"/>
          <w:highlight w:val="none"/>
          <w:shd w:val="clear" w:color="auto" w:fill="auto"/>
          <w:lang w:val="en-US" w:eastAsia="zh-CN"/>
        </w:rPr>
        <w:t>11</w:t>
      </w:r>
      <w:r>
        <w:rPr>
          <w:rFonts w:hint="eastAsia" w:hAnsi="宋体" w:cs="宋体"/>
          <w:b/>
          <w:color w:val="auto"/>
          <w:sz w:val="30"/>
          <w:szCs w:val="30"/>
          <w:highlight w:val="none"/>
          <w:shd w:val="clear" w:color="auto" w:fill="auto"/>
        </w:rPr>
        <w:t>月</w:t>
      </w:r>
      <w:r>
        <w:rPr>
          <w:rFonts w:hAnsi="宋体" w:cs="宋体"/>
          <w:b/>
          <w:color w:val="auto"/>
          <w:sz w:val="44"/>
          <w:szCs w:val="44"/>
          <w:highlight w:val="none"/>
          <w:shd w:val="clear" w:color="auto" w:fill="auto"/>
        </w:rPr>
        <w:br w:type="page"/>
      </w:r>
    </w:p>
    <w:p>
      <w:pPr>
        <w:jc w:val="center"/>
        <w:rPr>
          <w:rFonts w:hAnsi="宋体" w:cs="宋体"/>
          <w:b/>
          <w:color w:val="auto"/>
          <w:sz w:val="44"/>
          <w:szCs w:val="44"/>
          <w:highlight w:val="none"/>
          <w:shd w:val="clear" w:color="auto" w:fill="auto"/>
        </w:rPr>
      </w:pPr>
    </w:p>
    <w:p>
      <w:pPr>
        <w:jc w:val="center"/>
        <w:rPr>
          <w:rFonts w:hAnsi="宋体" w:cs="宋体"/>
          <w:b/>
          <w:color w:val="auto"/>
          <w:sz w:val="44"/>
          <w:szCs w:val="44"/>
          <w:highlight w:val="none"/>
          <w:shd w:val="clear" w:color="auto" w:fill="auto"/>
        </w:rPr>
      </w:pPr>
      <w:r>
        <w:rPr>
          <w:rFonts w:hint="eastAsia" w:hAnsi="宋体" w:cs="宋体"/>
          <w:b/>
          <w:color w:val="auto"/>
          <w:sz w:val="44"/>
          <w:szCs w:val="44"/>
          <w:highlight w:val="none"/>
          <w:shd w:val="clear" w:color="auto" w:fill="auto"/>
        </w:rPr>
        <w:t>竞争性磋商文件备案表</w:t>
      </w:r>
    </w:p>
    <w:p>
      <w:pPr>
        <w:jc w:val="center"/>
        <w:rPr>
          <w:rFonts w:hAnsi="宋体" w:cs="宋体"/>
          <w:b/>
          <w:color w:val="auto"/>
          <w:sz w:val="44"/>
          <w:szCs w:val="44"/>
          <w:highlight w:val="none"/>
          <w:shd w:val="clear" w:color="auto" w:fill="auto"/>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9180" w:type="dxa"/>
          </w:tcPr>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编制人：李艳梅</w:t>
            </w:r>
          </w:p>
          <w:p>
            <w:pPr>
              <w:tabs>
                <w:tab w:val="left" w:pos="3492"/>
              </w:tabs>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11</w:t>
            </w:r>
            <w:r>
              <w:rPr>
                <w:rFonts w:hint="eastAsia" w:hAnsi="宋体" w:cs="宋体"/>
                <w:color w:val="auto"/>
                <w:position w:val="-48"/>
                <w:sz w:val="25"/>
                <w:highlight w:val="none"/>
                <w:shd w:val="clear" w:color="auto" w:fill="auto"/>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5" w:hRule="atLeast"/>
          <w:jc w:val="center"/>
        </w:trPr>
        <w:tc>
          <w:tcPr>
            <w:tcW w:w="9180" w:type="dxa"/>
          </w:tcPr>
          <w:p>
            <w:pPr>
              <w:spacing w:line="360" w:lineRule="auto"/>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采购人（盖章）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代理机构（盖章）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11</w:t>
            </w:r>
            <w:r>
              <w:rPr>
                <w:rFonts w:hint="eastAsia" w:hAnsi="宋体" w:cs="宋体"/>
                <w:color w:val="auto"/>
                <w:position w:val="-48"/>
                <w:sz w:val="25"/>
                <w:highlight w:val="none"/>
                <w:shd w:val="clear" w:color="auto" w:fill="auto"/>
              </w:rPr>
              <w:t>月</w:t>
            </w:r>
          </w:p>
        </w:tc>
      </w:tr>
    </w:tbl>
    <w:p>
      <w:pPr>
        <w:pStyle w:val="7"/>
        <w:overflowPunct w:val="0"/>
        <w:ind w:firstLine="0"/>
        <w:rPr>
          <w:rFonts w:hAnsi="宋体" w:eastAsia="宋体"/>
          <w:b/>
          <w:color w:val="auto"/>
          <w:sz w:val="44"/>
          <w:szCs w:val="44"/>
          <w:highlight w:val="none"/>
          <w:shd w:val="clear" w:color="auto" w:fill="auto"/>
        </w:rPr>
      </w:pPr>
    </w:p>
    <w:p>
      <w:pPr>
        <w:pStyle w:val="7"/>
        <w:overflowPunct w:val="0"/>
        <w:ind w:firstLine="0"/>
        <w:jc w:val="center"/>
        <w:rPr>
          <w:rFonts w:hAnsi="宋体" w:eastAsia="宋体"/>
          <w:b/>
          <w:color w:val="auto"/>
          <w:sz w:val="44"/>
          <w:szCs w:val="44"/>
          <w:highlight w:val="none"/>
          <w:shd w:val="clear" w:color="auto" w:fill="auto"/>
        </w:rPr>
      </w:pPr>
    </w:p>
    <w:p>
      <w:pPr>
        <w:pStyle w:val="7"/>
        <w:overflowPunct w:val="0"/>
        <w:ind w:firstLine="0"/>
        <w:jc w:val="center"/>
        <w:rPr>
          <w:rFonts w:hAnsi="宋体" w:eastAsia="宋体"/>
          <w:b/>
          <w:color w:val="auto"/>
          <w:sz w:val="44"/>
          <w:szCs w:val="44"/>
          <w:highlight w:val="none"/>
          <w:shd w:val="clear" w:color="auto" w:fill="auto"/>
        </w:rPr>
      </w:pPr>
    </w:p>
    <w:p>
      <w:pPr>
        <w:pStyle w:val="7"/>
        <w:overflowPunct w:val="0"/>
        <w:ind w:firstLine="0"/>
        <w:jc w:val="center"/>
        <w:rPr>
          <w:rFonts w:hAnsi="宋体" w:eastAsia="宋体"/>
          <w:b/>
          <w:color w:val="auto"/>
          <w:sz w:val="44"/>
          <w:szCs w:val="44"/>
          <w:highlight w:val="none"/>
          <w:shd w:val="clear" w:color="auto" w:fill="auto"/>
        </w:rPr>
      </w:pPr>
      <w:r>
        <w:rPr>
          <w:rFonts w:hAnsi="宋体" w:eastAsia="宋体"/>
          <w:b/>
          <w:color w:val="auto"/>
          <w:sz w:val="44"/>
          <w:szCs w:val="44"/>
          <w:highlight w:val="none"/>
          <w:shd w:val="clear" w:color="auto" w:fill="auto"/>
        </w:rPr>
        <w:br w:type="page"/>
      </w:r>
      <w:r>
        <w:rPr>
          <w:rFonts w:hint="eastAsia" w:hAnsi="宋体" w:eastAsia="宋体"/>
          <w:b/>
          <w:color w:val="auto"/>
          <w:sz w:val="44"/>
          <w:szCs w:val="44"/>
          <w:highlight w:val="none"/>
          <w:shd w:val="clear" w:color="auto" w:fill="auto"/>
        </w:rPr>
        <w:t>目  录</w:t>
      </w:r>
    </w:p>
    <w:p>
      <w:pPr>
        <w:pStyle w:val="7"/>
        <w:overflowPunct w:val="0"/>
        <w:ind w:firstLine="0"/>
        <w:jc w:val="center"/>
        <w:rPr>
          <w:rFonts w:hAnsi="宋体" w:eastAsia="宋体"/>
          <w:color w:val="auto"/>
          <w:sz w:val="30"/>
          <w:highlight w:val="none"/>
          <w:shd w:val="clear" w:color="auto" w:fill="auto"/>
        </w:rPr>
      </w:pPr>
    </w:p>
    <w:p>
      <w:pPr>
        <w:pStyle w:val="16"/>
        <w:tabs>
          <w:tab w:val="right" w:leader="dot" w:pos="9528"/>
        </w:tabs>
        <w:spacing w:line="1200" w:lineRule="exact"/>
        <w:rPr>
          <w:rFonts w:hint="eastAsia" w:hAnsi="宋体" w:eastAsia="宋体"/>
          <w:color w:val="auto"/>
          <w:sz w:val="32"/>
          <w:szCs w:val="32"/>
          <w:highlight w:val="none"/>
          <w:shd w:val="clear" w:color="auto" w:fill="auto"/>
          <w:lang w:eastAsia="zh-CN"/>
        </w:rPr>
      </w:pPr>
      <w:r>
        <w:rPr>
          <w:rFonts w:hAnsi="宋体" w:eastAsia="宋体"/>
          <w:b/>
          <w:bCs/>
          <w:color w:val="auto"/>
          <w:sz w:val="36"/>
          <w:szCs w:val="36"/>
          <w:highlight w:val="none"/>
          <w:shd w:val="clear" w:color="auto" w:fill="auto"/>
        </w:rPr>
        <w:fldChar w:fldCharType="begin"/>
      </w:r>
      <w:r>
        <w:rPr>
          <w:rFonts w:hAnsi="宋体" w:eastAsia="宋体"/>
          <w:b/>
          <w:bCs/>
          <w:color w:val="auto"/>
          <w:sz w:val="36"/>
          <w:szCs w:val="36"/>
          <w:highlight w:val="none"/>
          <w:shd w:val="clear" w:color="auto" w:fill="auto"/>
        </w:rPr>
        <w:instrText xml:space="preserve"> TOC \o "1-1" </w:instrText>
      </w:r>
      <w:r>
        <w:rPr>
          <w:rFonts w:hAnsi="宋体" w:eastAsia="宋体"/>
          <w:b/>
          <w:bCs/>
          <w:color w:val="auto"/>
          <w:sz w:val="36"/>
          <w:szCs w:val="36"/>
          <w:highlight w:val="none"/>
          <w:shd w:val="clear" w:color="auto" w:fill="auto"/>
        </w:rPr>
        <w:fldChar w:fldCharType="separate"/>
      </w:r>
      <w:r>
        <w:rPr>
          <w:rFonts w:hAnsi="宋体" w:eastAsia="宋体"/>
          <w:color w:val="auto"/>
          <w:sz w:val="32"/>
          <w:szCs w:val="32"/>
          <w:highlight w:val="none"/>
          <w:shd w:val="clear" w:color="auto" w:fill="auto"/>
        </w:rPr>
        <w:t xml:space="preserve">第一章 </w:t>
      </w:r>
      <w:r>
        <w:rPr>
          <w:rFonts w:hint="eastAsia" w:hAnsi="宋体" w:eastAsia="宋体"/>
          <w:color w:val="auto"/>
          <w:sz w:val="32"/>
          <w:szCs w:val="32"/>
          <w:highlight w:val="none"/>
          <w:shd w:val="clear" w:color="auto" w:fill="auto"/>
        </w:rPr>
        <w:t>竞争性磋商</w:t>
      </w:r>
      <w:r>
        <w:rPr>
          <w:rFonts w:hint="eastAsia" w:hAnsi="宋体" w:eastAsia="宋体"/>
          <w:color w:val="auto"/>
          <w:sz w:val="32"/>
          <w:szCs w:val="32"/>
          <w:highlight w:val="none"/>
          <w:shd w:val="clear" w:color="auto" w:fill="auto"/>
          <w:lang w:eastAsia="zh-CN"/>
        </w:rPr>
        <w:t>公告</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 xml:space="preserve">第二章 </w:t>
      </w:r>
      <w:r>
        <w:rPr>
          <w:rFonts w:hint="eastAsia" w:hAnsi="宋体" w:eastAsia="宋体"/>
          <w:color w:val="auto"/>
          <w:sz w:val="32"/>
          <w:szCs w:val="32"/>
          <w:highlight w:val="none"/>
          <w:shd w:val="clear" w:color="auto" w:fill="auto"/>
        </w:rPr>
        <w:t>供应商</w:t>
      </w:r>
      <w:r>
        <w:rPr>
          <w:rFonts w:hAnsi="宋体" w:eastAsia="宋体"/>
          <w:color w:val="auto"/>
          <w:sz w:val="32"/>
          <w:szCs w:val="32"/>
          <w:highlight w:val="none"/>
          <w:shd w:val="clear" w:color="auto" w:fill="auto"/>
        </w:rPr>
        <w:t>须知</w:t>
      </w:r>
    </w:p>
    <w:p>
      <w:pPr>
        <w:pStyle w:val="16"/>
        <w:tabs>
          <w:tab w:val="right" w:leader="dot" w:pos="9528"/>
        </w:tabs>
        <w:spacing w:line="1200" w:lineRule="exact"/>
        <w:rPr>
          <w:rFonts w:hint="default" w:hAnsi="宋体" w:eastAsia="宋体"/>
          <w:color w:val="auto"/>
          <w:sz w:val="32"/>
          <w:szCs w:val="32"/>
          <w:highlight w:val="none"/>
          <w:shd w:val="clear" w:color="auto" w:fill="auto"/>
          <w:lang w:val="en-US" w:eastAsia="zh-CN"/>
        </w:rPr>
      </w:pPr>
      <w:r>
        <w:rPr>
          <w:rFonts w:hAnsi="宋体" w:eastAsia="宋体"/>
          <w:color w:val="auto"/>
          <w:sz w:val="32"/>
          <w:szCs w:val="32"/>
          <w:highlight w:val="none"/>
          <w:shd w:val="clear" w:color="auto" w:fill="auto"/>
        </w:rPr>
        <w:t xml:space="preserve">第三章 </w:t>
      </w:r>
      <w:r>
        <w:rPr>
          <w:rFonts w:hint="eastAsia" w:hAnsi="宋体" w:eastAsia="宋体"/>
          <w:color w:val="auto"/>
          <w:sz w:val="32"/>
          <w:szCs w:val="32"/>
          <w:highlight w:val="none"/>
          <w:shd w:val="clear" w:color="auto" w:fill="auto"/>
          <w:lang w:val="en-US" w:eastAsia="zh-CN"/>
        </w:rPr>
        <w:t>项目需求</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第</w:t>
      </w:r>
      <w:r>
        <w:rPr>
          <w:rFonts w:hint="eastAsia" w:hAnsi="宋体" w:eastAsia="宋体"/>
          <w:color w:val="auto"/>
          <w:sz w:val="32"/>
          <w:szCs w:val="32"/>
          <w:highlight w:val="none"/>
          <w:shd w:val="clear" w:color="auto" w:fill="auto"/>
        </w:rPr>
        <w:t>四</w:t>
      </w:r>
      <w:r>
        <w:rPr>
          <w:rFonts w:hAnsi="宋体" w:eastAsia="宋体"/>
          <w:color w:val="auto"/>
          <w:sz w:val="32"/>
          <w:szCs w:val="32"/>
          <w:highlight w:val="none"/>
          <w:shd w:val="clear" w:color="auto" w:fill="auto"/>
        </w:rPr>
        <w:t xml:space="preserve">章 </w:t>
      </w:r>
      <w:r>
        <w:rPr>
          <w:rFonts w:hint="eastAsia" w:hAnsi="宋体" w:eastAsia="宋体"/>
          <w:color w:val="auto"/>
          <w:sz w:val="32"/>
          <w:szCs w:val="32"/>
          <w:highlight w:val="none"/>
          <w:shd w:val="clear" w:color="auto" w:fill="auto"/>
        </w:rPr>
        <w:t>评审方法和程序</w:t>
      </w:r>
    </w:p>
    <w:p>
      <w:pPr>
        <w:pStyle w:val="16"/>
        <w:tabs>
          <w:tab w:val="right" w:leader="dot" w:pos="9528"/>
        </w:tabs>
        <w:spacing w:line="1200" w:lineRule="exact"/>
        <w:rPr>
          <w:rFonts w:hAnsi="宋体" w:eastAsia="宋体"/>
          <w:color w:val="auto"/>
          <w:sz w:val="32"/>
          <w:szCs w:val="32"/>
          <w:highlight w:val="none"/>
          <w:shd w:val="clear" w:color="auto" w:fill="auto"/>
        </w:rPr>
      </w:pPr>
      <w:r>
        <w:rPr>
          <w:rFonts w:hint="eastAsia" w:hAnsi="宋体" w:eastAsia="宋体"/>
          <w:color w:val="auto"/>
          <w:sz w:val="32"/>
          <w:szCs w:val="32"/>
          <w:highlight w:val="none"/>
          <w:shd w:val="clear" w:color="auto" w:fill="auto"/>
        </w:rPr>
        <w:t>第五章</w:t>
      </w:r>
      <w:r>
        <w:rPr>
          <w:rFonts w:hAnsi="宋体" w:eastAsia="宋体"/>
          <w:color w:val="auto"/>
          <w:sz w:val="32"/>
          <w:szCs w:val="32"/>
          <w:highlight w:val="none"/>
          <w:shd w:val="clear" w:color="auto" w:fill="auto"/>
        </w:rPr>
        <w:t xml:space="preserve"> </w:t>
      </w:r>
      <w:r>
        <w:rPr>
          <w:rFonts w:hint="eastAsia" w:hAnsi="宋体" w:eastAsia="宋体"/>
          <w:color w:val="auto"/>
          <w:sz w:val="32"/>
          <w:szCs w:val="32"/>
          <w:highlight w:val="none"/>
          <w:shd w:val="clear" w:color="auto" w:fill="auto"/>
        </w:rPr>
        <w:t>合同授予</w:t>
      </w:r>
    </w:p>
    <w:p>
      <w:pPr>
        <w:spacing w:line="1200" w:lineRule="exact"/>
        <w:rPr>
          <w:rFonts w:hAnsi="宋体"/>
          <w:color w:val="auto"/>
          <w:sz w:val="32"/>
          <w:szCs w:val="32"/>
          <w:highlight w:val="none"/>
          <w:shd w:val="clear" w:color="auto" w:fill="auto"/>
        </w:rPr>
      </w:pPr>
      <w:r>
        <w:rPr>
          <w:rFonts w:hAnsi="宋体"/>
          <w:color w:val="auto"/>
          <w:sz w:val="32"/>
          <w:szCs w:val="32"/>
          <w:highlight w:val="none"/>
          <w:shd w:val="clear" w:color="auto" w:fill="auto"/>
        </w:rPr>
        <w:t>第</w:t>
      </w:r>
      <w:r>
        <w:rPr>
          <w:rFonts w:hint="eastAsia" w:hAnsi="宋体"/>
          <w:color w:val="auto"/>
          <w:sz w:val="32"/>
          <w:szCs w:val="32"/>
          <w:highlight w:val="none"/>
          <w:shd w:val="clear" w:color="auto" w:fill="auto"/>
        </w:rPr>
        <w:t>六</w:t>
      </w:r>
      <w:r>
        <w:rPr>
          <w:rFonts w:hAnsi="宋体"/>
          <w:color w:val="auto"/>
          <w:sz w:val="32"/>
          <w:szCs w:val="32"/>
          <w:highlight w:val="none"/>
          <w:shd w:val="clear" w:color="auto" w:fill="auto"/>
        </w:rPr>
        <w:t>章</w:t>
      </w:r>
      <w:r>
        <w:rPr>
          <w:rFonts w:hint="eastAsia" w:hAnsi="宋体"/>
          <w:color w:val="auto"/>
          <w:sz w:val="32"/>
          <w:szCs w:val="32"/>
          <w:highlight w:val="none"/>
          <w:shd w:val="clear" w:color="auto" w:fill="auto"/>
        </w:rPr>
        <w:t xml:space="preserve"> 质疑提出和处理</w:t>
      </w:r>
    </w:p>
    <w:p>
      <w:pPr>
        <w:spacing w:line="1200" w:lineRule="exact"/>
        <w:rPr>
          <w:rFonts w:hAnsi="宋体"/>
          <w:color w:val="auto"/>
          <w:sz w:val="36"/>
          <w:szCs w:val="36"/>
          <w:highlight w:val="none"/>
          <w:shd w:val="clear" w:color="auto" w:fill="auto"/>
        </w:rPr>
      </w:pPr>
      <w:r>
        <w:rPr>
          <w:rFonts w:hint="eastAsia" w:hAnsi="宋体"/>
          <w:color w:val="auto"/>
          <w:sz w:val="32"/>
          <w:szCs w:val="32"/>
          <w:highlight w:val="none"/>
          <w:shd w:val="clear" w:color="auto" w:fill="auto"/>
        </w:rPr>
        <w:t>第七章 响应文件组成及格式</w:t>
      </w:r>
    </w:p>
    <w:p>
      <w:pPr>
        <w:rPr>
          <w:rFonts w:hAnsi="宋体"/>
          <w:b/>
          <w:bCs/>
          <w:color w:val="auto"/>
          <w:sz w:val="36"/>
          <w:szCs w:val="36"/>
          <w:highlight w:val="none"/>
          <w:shd w:val="clear" w:color="auto" w:fill="auto"/>
        </w:rPr>
      </w:pPr>
      <w:r>
        <w:rPr>
          <w:rFonts w:hAnsi="宋体"/>
          <w:b/>
          <w:bCs/>
          <w:color w:val="auto"/>
          <w:sz w:val="36"/>
          <w:szCs w:val="36"/>
          <w:highlight w:val="none"/>
          <w:shd w:val="clear" w:color="auto" w:fill="auto"/>
        </w:rPr>
        <w:fldChar w:fldCharType="end"/>
      </w: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snapToGrid w:val="0"/>
        <w:spacing w:line="360" w:lineRule="auto"/>
        <w:rPr>
          <w:rFonts w:hAnsi="宋体" w:cs="宋体"/>
          <w:b/>
          <w:color w:val="auto"/>
          <w:szCs w:val="21"/>
          <w:highlight w:val="none"/>
          <w:shd w:val="clear" w:color="auto" w:fill="auto"/>
        </w:rPr>
      </w:pPr>
      <w:r>
        <w:rPr>
          <w:rFonts w:hAnsi="宋体"/>
          <w:color w:val="auto"/>
          <w:w w:val="80"/>
          <w:szCs w:val="44"/>
          <w:highlight w:val="none"/>
          <w:shd w:val="clear" w:color="auto" w:fill="auto"/>
        </w:rPr>
        <w:br w:type="page"/>
      </w:r>
      <w:r>
        <w:rPr>
          <w:rFonts w:hint="eastAsia" w:hAnsi="宋体" w:cs="宋体"/>
          <w:b/>
          <w:color w:val="auto"/>
          <w:szCs w:val="21"/>
          <w:highlight w:val="none"/>
          <w:shd w:val="clear" w:color="auto" w:fill="auto"/>
        </w:rPr>
        <w:t>尊敬的供应商：</w:t>
      </w:r>
    </w:p>
    <w:p>
      <w:pPr>
        <w:pStyle w:val="3"/>
        <w:keepNext w:val="0"/>
        <w:keepLines w:val="0"/>
        <w:adjustRightInd w:val="0"/>
        <w:snapToGrid w:val="0"/>
        <w:spacing w:before="0" w:after="0" w:line="360" w:lineRule="auto"/>
        <w:ind w:firstLine="420" w:firstLineChars="200"/>
        <w:jc w:val="left"/>
        <w:textAlignment w:val="baseline"/>
        <w:rPr>
          <w:rFonts w:ascii="宋体" w:hAnsi="宋体" w:eastAsia="宋体"/>
          <w:color w:val="auto"/>
          <w:w w:val="80"/>
          <w:szCs w:val="44"/>
          <w:highlight w:val="none"/>
          <w:shd w:val="clear" w:color="auto" w:fill="auto"/>
        </w:rPr>
      </w:pPr>
      <w:r>
        <w:rPr>
          <w:rFonts w:hint="eastAsia" w:ascii="宋体" w:hAnsi="宋体" w:eastAsia="宋体" w:cs="宋体"/>
          <w:color w:val="auto"/>
          <w:kern w:val="2"/>
          <w:sz w:val="21"/>
          <w:szCs w:val="21"/>
          <w:highlight w:val="none"/>
          <w:shd w:val="clear" w:color="auto" w:fill="auto"/>
        </w:rPr>
        <w:t>欢迎参加本采购项目的竞争性磋商。为了保证本次磋商项目顺利进行，请在制作响应文件之前，仔细阅读本竞争性磋商文件的各项条款，并按要求制作和递交响应文件。谢谢合作！</w:t>
      </w:r>
    </w:p>
    <w:p>
      <w:pPr>
        <w:pStyle w:val="3"/>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shd w:val="clear" w:color="auto" w:fill="auto"/>
          <w:lang w:eastAsia="zh-CN"/>
        </w:rPr>
      </w:pPr>
      <w:r>
        <w:rPr>
          <w:rFonts w:hint="eastAsia" w:ascii="宋体" w:hAnsi="宋体" w:eastAsia="宋体"/>
          <w:color w:val="auto"/>
          <w:w w:val="80"/>
          <w:szCs w:val="44"/>
          <w:highlight w:val="none"/>
          <w:shd w:val="clear" w:color="auto" w:fill="auto"/>
        </w:rPr>
        <w:t>第一章  竞争性磋商</w:t>
      </w:r>
      <w:r>
        <w:rPr>
          <w:rFonts w:hint="eastAsia" w:ascii="宋体" w:hAnsi="宋体" w:eastAsia="宋体"/>
          <w:color w:val="auto"/>
          <w:w w:val="80"/>
          <w:szCs w:val="44"/>
          <w:highlight w:val="none"/>
          <w:shd w:val="clear" w:color="auto" w:fill="auto"/>
          <w:lang w:eastAsia="zh-CN"/>
        </w:rPr>
        <w:t>公告</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江苏正扬招标代理有限公司（以下简称代理机构）受</w:t>
      </w:r>
      <w:r>
        <w:rPr>
          <w:rFonts w:hint="eastAsia" w:hAnsi="宋体"/>
          <w:color w:val="auto"/>
          <w:szCs w:val="21"/>
          <w:highlight w:val="none"/>
          <w:shd w:val="clear" w:color="auto" w:fill="auto"/>
          <w:lang w:eastAsia="zh-CN"/>
        </w:rPr>
        <w:t>南通博物苑</w:t>
      </w:r>
      <w:r>
        <w:rPr>
          <w:rFonts w:hint="eastAsia" w:hAnsi="宋体"/>
          <w:color w:val="auto"/>
          <w:szCs w:val="21"/>
          <w:highlight w:val="none"/>
          <w:shd w:val="clear" w:color="auto" w:fill="auto"/>
        </w:rPr>
        <w:t>（以下简称采购人）的委托，对</w:t>
      </w:r>
      <w:r>
        <w:rPr>
          <w:rFonts w:hint="eastAsia" w:hAnsi="宋体"/>
          <w:color w:val="auto"/>
          <w:szCs w:val="21"/>
          <w:highlight w:val="none"/>
          <w:shd w:val="clear" w:color="auto" w:fill="auto"/>
          <w:lang w:eastAsia="zh-CN"/>
        </w:rPr>
        <w:t>南通博物苑“百年如意—故宫博物院典藏如意特展”展览服务项目</w:t>
      </w:r>
      <w:r>
        <w:rPr>
          <w:rFonts w:hint="eastAsia" w:hAnsi="宋体"/>
          <w:color w:val="auto"/>
          <w:szCs w:val="21"/>
          <w:highlight w:val="none"/>
          <w:shd w:val="clear" w:color="auto" w:fill="auto"/>
        </w:rPr>
        <w:t>组织竞争性磋商采购，诚邀符合条件的潜在供应商参加该项目的竞争性磋商。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一、项目基本情况</w:t>
      </w:r>
    </w:p>
    <w:p>
      <w:pPr>
        <w:spacing w:line="480" w:lineRule="exact"/>
        <w:ind w:firstLine="420" w:firstLineChars="200"/>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lang w:eastAsia="zh-CN"/>
        </w:rPr>
        <w:t>1.</w:t>
      </w:r>
      <w:r>
        <w:rPr>
          <w:rFonts w:hint="eastAsia" w:hAnsi="宋体"/>
          <w:color w:val="auto"/>
          <w:szCs w:val="21"/>
          <w:highlight w:val="none"/>
          <w:shd w:val="clear" w:color="auto" w:fill="auto"/>
          <w:lang w:val="en-US" w:eastAsia="zh-CN"/>
        </w:rPr>
        <w:t>项目编号：NTWC2025057；</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2.</w:t>
      </w:r>
      <w:r>
        <w:rPr>
          <w:rFonts w:hint="eastAsia" w:hAnsi="宋体"/>
          <w:color w:val="auto"/>
          <w:szCs w:val="21"/>
          <w:highlight w:val="none"/>
          <w:shd w:val="clear" w:color="auto" w:fill="auto"/>
        </w:rPr>
        <w:t>项目名称：</w:t>
      </w:r>
      <w:r>
        <w:rPr>
          <w:rFonts w:hint="eastAsia" w:hAnsi="宋体"/>
          <w:color w:val="auto"/>
          <w:szCs w:val="21"/>
          <w:highlight w:val="none"/>
          <w:shd w:val="clear" w:color="auto" w:fill="auto"/>
          <w:lang w:eastAsia="zh-CN"/>
        </w:rPr>
        <w:t>南通博物苑“百年如意—故宫博物院典藏如意特展”展览服务项目</w:t>
      </w:r>
      <w:r>
        <w:rPr>
          <w:rFonts w:hint="eastAsia" w:hAnsi="宋体"/>
          <w:color w:val="auto"/>
          <w:szCs w:val="21"/>
          <w:highlight w:val="none"/>
          <w:shd w:val="clear" w:color="auto" w:fill="auto"/>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.采购方式：竞争性磋商；</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.项目预算：</w:t>
      </w:r>
      <w:r>
        <w:rPr>
          <w:rFonts w:hint="eastAsia" w:hAnsi="宋体"/>
          <w:color w:val="auto"/>
          <w:szCs w:val="21"/>
          <w:highlight w:val="none"/>
          <w:shd w:val="clear" w:color="auto" w:fill="auto"/>
          <w:lang w:val="en-US" w:eastAsia="zh-CN"/>
        </w:rPr>
        <w:t>48万元</w:t>
      </w:r>
      <w:r>
        <w:rPr>
          <w:rFonts w:hint="eastAsia" w:hAnsi="宋体"/>
          <w:color w:val="auto"/>
          <w:szCs w:val="21"/>
          <w:highlight w:val="none"/>
          <w:shd w:val="clear" w:color="auto" w:fill="auto"/>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.最高限价：</w:t>
      </w:r>
      <w:r>
        <w:rPr>
          <w:rFonts w:hint="eastAsia" w:hAnsi="宋体"/>
          <w:color w:val="auto"/>
          <w:szCs w:val="21"/>
          <w:highlight w:val="none"/>
          <w:shd w:val="clear" w:color="auto" w:fill="auto"/>
          <w:lang w:val="en-US" w:eastAsia="zh-CN"/>
        </w:rPr>
        <w:t>48万元</w:t>
      </w:r>
      <w:r>
        <w:rPr>
          <w:rFonts w:hint="eastAsia" w:hAnsi="宋体"/>
          <w:color w:val="auto"/>
          <w:szCs w:val="21"/>
          <w:highlight w:val="none"/>
          <w:shd w:val="clear" w:color="auto" w:fill="auto"/>
        </w:rPr>
        <w:t>；</w:t>
      </w:r>
    </w:p>
    <w:p>
      <w:pPr>
        <w:spacing w:line="480" w:lineRule="exact"/>
        <w:ind w:firstLine="420" w:firstLineChars="200"/>
        <w:rPr>
          <w:rFonts w:hint="default"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.采购需求：</w:t>
      </w:r>
      <w:r>
        <w:rPr>
          <w:rFonts w:hint="eastAsia" w:hAnsi="宋体"/>
          <w:color w:val="auto"/>
          <w:szCs w:val="21"/>
          <w:highlight w:val="none"/>
          <w:shd w:val="clear" w:color="auto" w:fill="auto"/>
          <w:lang w:val="en-US" w:eastAsia="zh-CN"/>
        </w:rPr>
        <w:t>详见第三章；</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7</w:t>
      </w:r>
      <w:r>
        <w:rPr>
          <w:rFonts w:hint="eastAsia" w:hAnsi="宋体"/>
          <w:color w:val="auto"/>
          <w:szCs w:val="21"/>
          <w:highlight w:val="none"/>
          <w:shd w:val="clear" w:color="auto" w:fill="auto"/>
        </w:rPr>
        <w:t>.合同履行期限：</w:t>
      </w:r>
      <w:r>
        <w:rPr>
          <w:rStyle w:val="28"/>
          <w:rFonts w:hint="eastAsia" w:ascii="宋体" w:hAnsi="宋体" w:eastAsia="宋体" w:cs="宋体"/>
          <w:bCs/>
          <w:color w:val="auto"/>
          <w:sz w:val="21"/>
          <w:szCs w:val="21"/>
          <w:highlight w:val="none"/>
          <w:lang w:val="en-US" w:eastAsia="zh-CN"/>
        </w:rPr>
        <w:t>自合同签订之日起至活动结束撤展完成</w:t>
      </w:r>
      <w:r>
        <w:rPr>
          <w:rFonts w:hint="eastAsia" w:hAnsi="宋体"/>
          <w:color w:val="auto"/>
          <w:szCs w:val="21"/>
          <w:highlight w:val="none"/>
          <w:shd w:val="clear" w:color="auto" w:fill="auto"/>
          <w:lang w:val="en-US" w:eastAsia="zh-CN"/>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8</w:t>
      </w:r>
      <w:r>
        <w:rPr>
          <w:rFonts w:hint="eastAsia" w:hAnsi="宋体"/>
          <w:color w:val="auto"/>
          <w:szCs w:val="21"/>
          <w:highlight w:val="none"/>
          <w:shd w:val="clear" w:color="auto" w:fill="auto"/>
        </w:rPr>
        <w:t>.本项目不接受联合体参与磋商。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二、供应商资格要求</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供应商其它资格要求：</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2.供应商提供有效的营业执照等具有独立承担民事责任能力的证明材料复印件。</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供应商须提供参与本次项目采购活动前三年内，在经营活动中没有重大违法记录的书面《无重大违法记录声明函》（</w:t>
      </w:r>
      <w:r>
        <w:rPr>
          <w:rFonts w:hint="eastAsia" w:hAnsi="宋体"/>
          <w:color w:val="auto"/>
          <w:szCs w:val="21"/>
          <w:highlight w:val="none"/>
          <w:shd w:val="clear" w:color="auto" w:fill="auto"/>
          <w:lang w:eastAsia="zh-CN"/>
        </w:rPr>
        <w:t>格式参见附件</w:t>
      </w:r>
      <w:r>
        <w:rPr>
          <w:rFonts w:hint="eastAsia" w:hAnsi="宋体"/>
          <w:color w:val="auto"/>
          <w:szCs w:val="21"/>
          <w:highlight w:val="none"/>
          <w:shd w:val="clear" w:color="auto" w:fill="auto"/>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.关于资格文件的声明函（</w:t>
      </w:r>
      <w:r>
        <w:rPr>
          <w:rFonts w:hint="eastAsia" w:hAnsi="宋体"/>
          <w:color w:val="auto"/>
          <w:szCs w:val="21"/>
          <w:highlight w:val="none"/>
          <w:shd w:val="clear" w:color="auto" w:fill="auto"/>
          <w:lang w:eastAsia="zh-CN"/>
        </w:rPr>
        <w:t>格式参见附件</w:t>
      </w:r>
      <w:r>
        <w:rPr>
          <w:rFonts w:hint="eastAsia" w:hAnsi="宋体"/>
          <w:color w:val="auto"/>
          <w:szCs w:val="21"/>
          <w:highlight w:val="none"/>
          <w:shd w:val="clear" w:color="auto" w:fill="auto"/>
        </w:rPr>
        <w:t>）。</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具体资格要求详见第七章中的“资格审查文件”。</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请供应商认真对照资格要求，如不符合要求，仍参与磋商的，所产生的一切后果由供应商承担。对提供虚假材料的响应供应商作无效响应处理。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三、获取采购文件</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1.</w:t>
      </w:r>
      <w:r>
        <w:rPr>
          <w:rFonts w:hint="default" w:hAnsi="宋体"/>
          <w:color w:val="auto"/>
          <w:szCs w:val="21"/>
          <w:highlight w:val="none"/>
          <w:shd w:val="clear" w:color="auto" w:fill="auto"/>
        </w:rPr>
        <w:t>地点：南通市文化广电和旅游局-政府采购栏、南通博物苑-资讯-招标信息栏</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2.</w:t>
      </w:r>
      <w:r>
        <w:rPr>
          <w:rFonts w:hint="default" w:hAnsi="宋体"/>
          <w:color w:val="auto"/>
          <w:szCs w:val="21"/>
          <w:highlight w:val="none"/>
          <w:shd w:val="clear" w:color="auto" w:fill="auto"/>
        </w:rPr>
        <w:t>方式：自行下载</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.有关本次招标的事项若存在变动或修改，敬请及时关注</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南通市文化广电和旅游局-政府采购栏</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“南通博物苑-资讯-招标信息栏”</w:t>
      </w:r>
      <w:r>
        <w:rPr>
          <w:rFonts w:hint="eastAsia" w:hAnsi="宋体"/>
          <w:color w:val="auto"/>
          <w:szCs w:val="21"/>
          <w:highlight w:val="none"/>
          <w:shd w:val="clear" w:color="auto" w:fill="auto"/>
        </w:rPr>
        <w:t>发布的信息更正公告，恕不另行通知，如有遗漏采购人概不负责。</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四、响应文件提交</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1.响应文件接收截止及评审开始时间：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14</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00</w:t>
      </w:r>
      <w:r>
        <w:rPr>
          <w:rFonts w:hint="eastAsia" w:hAnsi="宋体"/>
          <w:b/>
          <w:bCs/>
          <w:color w:val="auto"/>
          <w:szCs w:val="21"/>
          <w:highlight w:val="none"/>
          <w:shd w:val="clear" w:color="auto" w:fill="auto"/>
        </w:rPr>
        <w:t>分</w:t>
      </w:r>
      <w:r>
        <w:rPr>
          <w:rFonts w:hint="eastAsia" w:hAnsi="宋体"/>
          <w:b w:val="0"/>
          <w:bCs w:val="0"/>
          <w:color w:val="auto"/>
          <w:szCs w:val="21"/>
          <w:highlight w:val="none"/>
          <w:shd w:val="clear" w:color="auto" w:fill="auto"/>
        </w:rPr>
        <w:t>（北京时间）</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2.响应文件递交地址：南通市行政中心综合楼</w:t>
      </w:r>
      <w:r>
        <w:rPr>
          <w:rFonts w:hint="eastAsia" w:hAnsi="宋体"/>
          <w:b w:val="0"/>
          <w:bCs w:val="0"/>
          <w:color w:val="auto"/>
          <w:szCs w:val="21"/>
          <w:highlight w:val="none"/>
          <w:shd w:val="clear" w:color="auto" w:fill="auto"/>
          <w:lang w:val="en-US" w:eastAsia="zh-CN"/>
        </w:rPr>
        <w:t>538</w:t>
      </w:r>
      <w:r>
        <w:rPr>
          <w:rFonts w:hint="eastAsia" w:hAnsi="宋体"/>
          <w:b w:val="0"/>
          <w:bCs w:val="0"/>
          <w:color w:val="auto"/>
          <w:szCs w:val="21"/>
          <w:highlight w:val="none"/>
          <w:shd w:val="clear" w:color="auto" w:fill="auto"/>
        </w:rPr>
        <w:t>会议室（南通市崇川区世纪大道6号），如有变动另行通知。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五、开启</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1.响应文件开启时间：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14</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00</w:t>
      </w:r>
      <w:r>
        <w:rPr>
          <w:rFonts w:hint="eastAsia" w:hAnsi="宋体"/>
          <w:b/>
          <w:bCs/>
          <w:color w:val="auto"/>
          <w:szCs w:val="21"/>
          <w:highlight w:val="none"/>
          <w:shd w:val="clear" w:color="auto" w:fill="auto"/>
        </w:rPr>
        <w:t>分</w:t>
      </w:r>
      <w:r>
        <w:rPr>
          <w:rFonts w:hint="eastAsia" w:hAnsi="宋体"/>
          <w:color w:val="auto"/>
          <w:szCs w:val="21"/>
          <w:highlight w:val="none"/>
          <w:shd w:val="clear" w:color="auto" w:fill="auto"/>
        </w:rPr>
        <w:t>（北京时间）</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2.响应文件开启地点：</w:t>
      </w:r>
      <w:r>
        <w:rPr>
          <w:rFonts w:hint="eastAsia" w:hAnsi="宋体"/>
          <w:b w:val="0"/>
          <w:bCs w:val="0"/>
          <w:color w:val="auto"/>
          <w:szCs w:val="21"/>
          <w:highlight w:val="none"/>
          <w:shd w:val="clear" w:color="auto" w:fill="auto"/>
        </w:rPr>
        <w:t>南通市行政中心综合楼</w:t>
      </w:r>
      <w:r>
        <w:rPr>
          <w:rFonts w:hint="eastAsia" w:hAnsi="宋体"/>
          <w:b w:val="0"/>
          <w:bCs w:val="0"/>
          <w:color w:val="auto"/>
          <w:szCs w:val="21"/>
          <w:highlight w:val="none"/>
          <w:shd w:val="clear" w:color="auto" w:fill="auto"/>
          <w:lang w:val="en-US" w:eastAsia="zh-CN"/>
        </w:rPr>
        <w:t>538会议室</w:t>
      </w:r>
      <w:r>
        <w:rPr>
          <w:rFonts w:hint="eastAsia" w:hAnsi="宋体"/>
          <w:b w:val="0"/>
          <w:bCs w:val="0"/>
          <w:color w:val="auto"/>
          <w:szCs w:val="21"/>
          <w:highlight w:val="none"/>
          <w:shd w:val="clear" w:color="auto" w:fill="auto"/>
        </w:rPr>
        <w:t>（南通市崇川区世纪大道6号）</w:t>
      </w:r>
      <w:r>
        <w:rPr>
          <w:rFonts w:hint="eastAsia" w:hAnsi="宋体"/>
          <w:color w:val="auto"/>
          <w:szCs w:val="21"/>
          <w:highlight w:val="none"/>
          <w:shd w:val="clear" w:color="auto" w:fill="auto"/>
        </w:rPr>
        <w:t>，如有变动另行通知。</w:t>
      </w:r>
    </w:p>
    <w:p>
      <w:pPr>
        <w:spacing w:line="480" w:lineRule="exact"/>
        <w:ind w:firstLine="420" w:firstLineChars="200"/>
        <w:rPr>
          <w:rFonts w:hAnsi="宋体"/>
          <w:color w:val="auto"/>
          <w:szCs w:val="21"/>
          <w:highlight w:val="none"/>
          <w:shd w:val="clear" w:color="auto" w:fill="auto"/>
        </w:rPr>
      </w:pPr>
      <w:r>
        <w:rPr>
          <w:rFonts w:hint="eastAsia" w:hAnsi="宋体"/>
          <w:b/>
          <w:bCs/>
          <w:color w:val="auto"/>
          <w:szCs w:val="21"/>
          <w:highlight w:val="none"/>
          <w:shd w:val="clear" w:color="auto" w:fill="auto"/>
        </w:rPr>
        <w:t>六、</w:t>
      </w:r>
      <w:r>
        <w:rPr>
          <w:rFonts w:hint="eastAsia" w:hAnsi="宋体"/>
          <w:b/>
          <w:bCs/>
          <w:color w:val="auto"/>
          <w:szCs w:val="21"/>
          <w:highlight w:val="none"/>
          <w:shd w:val="clear" w:color="auto" w:fill="auto"/>
          <w:lang w:eastAsia="zh-CN"/>
        </w:rPr>
        <w:t>公告</w:t>
      </w:r>
      <w:r>
        <w:rPr>
          <w:rFonts w:hint="eastAsia" w:hAnsi="宋体"/>
          <w:b/>
          <w:bCs/>
          <w:color w:val="auto"/>
          <w:szCs w:val="21"/>
          <w:highlight w:val="none"/>
          <w:shd w:val="clear" w:color="auto" w:fill="auto"/>
        </w:rPr>
        <w:t>期限：</w:t>
      </w:r>
      <w:r>
        <w:rPr>
          <w:rFonts w:hint="eastAsia" w:hAnsi="宋体"/>
          <w:color w:val="auto"/>
          <w:szCs w:val="21"/>
          <w:highlight w:val="none"/>
          <w:shd w:val="clear" w:color="auto" w:fill="auto"/>
        </w:rPr>
        <w:t>自本</w:t>
      </w:r>
      <w:r>
        <w:rPr>
          <w:rFonts w:hint="eastAsia" w:hAnsi="宋体"/>
          <w:color w:val="auto"/>
          <w:szCs w:val="21"/>
          <w:highlight w:val="none"/>
          <w:shd w:val="clear" w:color="auto" w:fill="auto"/>
          <w:lang w:eastAsia="zh-CN"/>
        </w:rPr>
        <w:t>公告</w:t>
      </w:r>
      <w:r>
        <w:rPr>
          <w:rFonts w:hint="eastAsia" w:hAnsi="宋体"/>
          <w:color w:val="auto"/>
          <w:szCs w:val="21"/>
          <w:highlight w:val="none"/>
          <w:shd w:val="clear" w:color="auto" w:fill="auto"/>
        </w:rPr>
        <w:t>发布之日起3个工作日。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七、凡对本次采购提出询问，请按以下方式联系</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1.采购人信息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名称：南通博物苑</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地址：江苏省南通市崇川区濠南路19号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联系方式：0513-85062508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2.主管部门</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名称：南通市文化广电和旅游局</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地址：南通市崇川区世纪大道6号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联系方式：0513-85099576</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3.采购代理机构信息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名称：江苏正扬招标代理有限公司</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地址：南通市崇川区青年中路153号4号楼213室</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联系方式：0513-85991998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4.项目联系方式：</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 xml:space="preserve">联系人：李艳梅；     </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联系电话：0513-85991998。</w:t>
      </w:r>
    </w:p>
    <w:p>
      <w:pPr>
        <w:rPr>
          <w:rFonts w:hint="eastAsia"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br w:type="page"/>
      </w:r>
    </w:p>
    <w:p>
      <w:pPr>
        <w:spacing w:line="480" w:lineRule="exact"/>
        <w:jc w:val="center"/>
        <w:rPr>
          <w:rFonts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t>第二章  供应商须知</w:t>
      </w:r>
    </w:p>
    <w:p>
      <w:pPr>
        <w:snapToGrid w:val="0"/>
        <w:spacing w:line="480" w:lineRule="exac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一、说明</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1.本竞争性磋商文件仅适用于采购人组织的竞争性磋商采购活动。</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2.竞争性磋商活动及因本次磋商产生的合同受中国法律制约和保护。</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3.竞争性磋商文件的解释权属于采购人。</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获取磋商文件后，应仔细检查磋商文件的所有内容。如内容中有页码短缺、资格要求以及任何设置有不合理的条件对供应商实行差别待遇或者歧视待遇的，应在磋商文件发布后的4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hAnsi="宋体" w:cs="宋体"/>
          <w:b/>
          <w:color w:val="auto"/>
          <w:sz w:val="24"/>
          <w:szCs w:val="24"/>
          <w:highlight w:val="none"/>
          <w:shd w:val="clear" w:color="auto" w:fill="auto"/>
        </w:rPr>
        <w:t>非书面形式的不作为日后质疑提出的依据。</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6.供应商在磋商开始前自行踏勘现场，供应商务必自行认真踏勘现场条件，进一步获取所需信息，一旦成交不得对现场条件提出额外要求，不得要求增加费用，采购人可视情组织答疑会。</w:t>
      </w:r>
    </w:p>
    <w:p>
      <w:pPr>
        <w:snapToGrid w:val="0"/>
        <w:spacing w:line="480" w:lineRule="exact"/>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二、磋商文件的澄清、修改、答疑</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1.代理机构有权对发出的磋商文件进行必要的澄清、修改或补充。</w:t>
      </w:r>
    </w:p>
    <w:p>
      <w:pPr>
        <w:snapToGrid w:val="0"/>
        <w:spacing w:line="480" w:lineRule="exact"/>
        <w:ind w:firstLine="480" w:firstLineChars="200"/>
        <w:jc w:val="lef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2.磋商文件的澄清、修改、补充等内容均以书面明确的形式发布，并以</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sz w:val="24"/>
          <w:szCs w:val="24"/>
          <w:highlight w:val="none"/>
          <w:shd w:val="clear" w:color="auto" w:fill="auto"/>
        </w:rPr>
        <w:t>发布的信息为准。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3.代理机构对磋商文件的澄清、修改将构成磋商文件的一部分，对响应磋商的供应商具有约束力。</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4.澄清或者修改的内容可能影响到响应文件编制的，代理机构将在提交响应文件接收截止之日5日前，发布澄清或者修改</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，不足5日的，当顺延提交响应文件接收截止时间。</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6.采购人视情组织答疑会。如有产生答疑且对磋商文件内容有修改，代理机构将按照本须知有关规定，以补充通知（</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）的方式发出。</w:t>
      </w:r>
    </w:p>
    <w:p>
      <w:pPr>
        <w:snapToGrid w:val="0"/>
        <w:spacing w:line="480" w:lineRule="exact"/>
        <w:ind w:firstLine="480"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三、响应文件的编制及装订</w:t>
      </w:r>
    </w:p>
    <w:p>
      <w:pPr>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供应商按磋商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pPr>
        <w:snapToGrid w:val="0"/>
        <w:spacing w:line="480" w:lineRule="exact"/>
        <w:ind w:firstLine="480" w:firstLineChars="200"/>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四、响应文件的份数和签署</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1.响应文件由：</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资格审查文件、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技术响应文件、③</w:t>
      </w:r>
      <w:r>
        <w:rPr>
          <w:rFonts w:hint="eastAsia" w:hAnsi="宋体" w:cs="宋体"/>
          <w:color w:val="auto"/>
          <w:sz w:val="24"/>
          <w:szCs w:val="24"/>
          <w:highlight w:val="none"/>
          <w:shd w:val="clear" w:color="auto" w:fill="auto"/>
          <w:lang w:eastAsia="zh-CN"/>
        </w:rPr>
        <w:t>报价响应文件</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 = 4 \* GB3 \* MERGEFORMAT </w:instrText>
      </w:r>
      <w:r>
        <w:rPr>
          <w:rFonts w:hint="eastAsia" w:ascii="宋体" w:hAnsi="宋体" w:cs="宋体"/>
          <w:color w:val="auto"/>
          <w:sz w:val="24"/>
          <w:szCs w:val="24"/>
          <w:highlight w:val="none"/>
          <w:shd w:val="clear" w:color="auto" w:fill="auto"/>
        </w:rPr>
        <w:fldChar w:fldCharType="separate"/>
      </w:r>
      <w:r>
        <w:rPr>
          <w:rFonts w:hint="eastAsia" w:ascii="宋体" w:hAnsi="宋体" w:cs="宋体"/>
          <w:color w:val="auto"/>
          <w:sz w:val="24"/>
          <w:szCs w:val="24"/>
          <w:highlight w:val="none"/>
          <w:shd w:val="clear" w:color="auto" w:fill="auto"/>
        </w:rPr>
        <w:t>④</w: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响应文件电子版共4部分组成（以下由文件序号代称）</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b/>
          <w:color w:val="auto"/>
          <w:sz w:val="24"/>
          <w:szCs w:val="24"/>
          <w:highlight w:val="none"/>
          <w:u w:val="single"/>
          <w:shd w:val="clear" w:color="auto" w:fill="auto"/>
        </w:rPr>
      </w:pPr>
      <w:r>
        <w:rPr>
          <w:rFonts w:hint="eastAsia" w:hAnsi="宋体" w:cs="宋体"/>
          <w:color w:val="auto"/>
          <w:sz w:val="24"/>
          <w:szCs w:val="24"/>
          <w:highlight w:val="none"/>
          <w:shd w:val="clear" w:color="auto" w:fill="auto"/>
        </w:rPr>
        <w:t>2.响应文件均为一式叁份，其中“正本”壹份和“副本”贰份。</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4 \* GB3 \* MERGEFORMAT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④</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响应文件电子版需将</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1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①</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2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②</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③的正本盖章后扫描一份存于U盘中，单独密封递交。</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4.在每份响应文件上要明确标注项目名称、对应的响应文件名称、供应商的全称、日期、“正本”“副本”字样。“正本”和“副本”若有差异，概以“正本”为准。</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5.响应文件中的所有“正本”，其正文内容须按磋商文件要求由供应商法定代表人或被授权人签字（或盖章）并加盖单位公章。“副本”可复印，但须加盖单位公章。</w:t>
      </w:r>
    </w:p>
    <w:p>
      <w:pPr>
        <w:snapToGrid w:val="0"/>
        <w:spacing w:line="480" w:lineRule="exact"/>
        <w:ind w:firstLine="470" w:firstLineChars="196"/>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五、响应文件的密封及标记</w:t>
      </w:r>
    </w:p>
    <w:p>
      <w:pPr>
        <w:snapToGrid w:val="0"/>
        <w:spacing w:line="480" w:lineRule="exact"/>
        <w:ind w:firstLine="480" w:firstLineChars="200"/>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1.供应商须将本项目响应文件：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3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③</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4 \* GB3 \* MERGEFORMAT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④</w:t>
      </w:r>
      <w:r>
        <w:rPr>
          <w:rFonts w:hint="eastAsia" w:hAnsi="宋体" w:cs="宋体"/>
          <w:color w:val="auto"/>
          <w:sz w:val="24"/>
          <w:szCs w:val="24"/>
          <w:highlight w:val="none"/>
          <w:shd w:val="clear" w:color="auto" w:fill="auto"/>
        </w:rPr>
        <w:fldChar w:fldCharType="end"/>
      </w:r>
      <w:r>
        <w:rPr>
          <w:rFonts w:hint="eastAsia" w:hAnsi="宋体" w:cs="宋体"/>
          <w:b/>
          <w:color w:val="auto"/>
          <w:sz w:val="24"/>
          <w:szCs w:val="24"/>
          <w:highlight w:val="none"/>
          <w:shd w:val="clear" w:color="auto" w:fill="auto"/>
        </w:rPr>
        <w:t>单独密封</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2.密封后，应在每一密封的响应文件上明确标注磋商项目名称、响应文件各自对应的名称、供应商的全称及日期。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3.在边缝处加盖供应商公章或骑缝签字。</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b/>
          <w:color w:val="auto"/>
          <w:sz w:val="24"/>
          <w:szCs w:val="24"/>
          <w:highlight w:val="none"/>
          <w:shd w:val="clear" w:color="auto" w:fill="auto"/>
        </w:rPr>
        <w:t>【特别提醒】</w:t>
      </w:r>
      <w:r>
        <w:rPr>
          <w:rFonts w:hint="eastAsia" w:hAnsi="宋体" w:cs="宋体"/>
          <w:color w:val="auto"/>
          <w:sz w:val="24"/>
          <w:szCs w:val="24"/>
          <w:highlight w:val="none"/>
          <w:shd w:val="clear" w:color="auto" w:fill="auto"/>
        </w:rPr>
        <w:t>响应文件中的</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和</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的“正本”或“副本”中，均不得含有</w:t>
      </w:r>
      <w:r>
        <w:rPr>
          <w:rFonts w:hint="eastAsia" w:hAnsi="宋体" w:cs="宋体"/>
          <w:color w:val="auto"/>
          <w:sz w:val="24"/>
          <w:szCs w:val="24"/>
          <w:highlight w:val="none"/>
          <w:shd w:val="clear" w:color="auto" w:fill="auto"/>
          <w:lang w:eastAsia="zh-CN"/>
        </w:rPr>
        <w:t>报价响应文件</w:t>
      </w:r>
      <w:r>
        <w:rPr>
          <w:rFonts w:hint="eastAsia" w:hAnsi="宋体" w:cs="宋体"/>
          <w:color w:val="auto"/>
          <w:sz w:val="24"/>
          <w:szCs w:val="24"/>
          <w:highlight w:val="none"/>
          <w:shd w:val="clear" w:color="auto" w:fill="auto"/>
        </w:rPr>
        <w:t>中报价表（报价单）内的任何项目价格，否则作无效响应处理。</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六、磋商报价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1.本项目不接受任何有选择的报价。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2.磋商报价均以人民币为报价的币种。</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3.磋商报价表必须加盖单位公章且必须经法定代表人或被授权人签字或盖章。报价表中的大写金额与小写金额、总价金额与按单价汇总金额，</w:t>
      </w:r>
      <w:r>
        <w:rPr>
          <w:rFonts w:hint="eastAsia" w:ascii="宋体" w:hAnsi="宋体" w:cs="宋体"/>
          <w:color w:val="auto"/>
          <w:sz w:val="24"/>
          <w:szCs w:val="24"/>
          <w:highlight w:val="none"/>
          <w:shd w:val="clear" w:color="auto" w:fill="auto"/>
        </w:rPr>
        <w:t>若有差异将按下列条款执行：</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（1）磋商响应文件中开标一览表（报价表）内容与磋商响应文件中相应内容不一致的，以开标一览表（报价表）为准；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（2）大写金额和小写金额不一致的，以大写金额为准；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（3）单价金额小数点或者百分比有明显错位的，以开标一览表的总价为准，并修改单价；</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（4）总价金额与按单价汇总金额不一致的，以单价金额计算结果为准。</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（5）同时出现两种以上不一致的，按照前款规定的顺序修正。修正后的报价供应商确认后产生约束力，供应商不确认的，其报价无效。</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4.供应商应按本竞争性磋商文件内</w:t>
      </w:r>
      <w:r>
        <w:rPr>
          <w:rFonts w:hint="eastAsia" w:ascii="宋体" w:hAnsi="宋体" w:cs="宋体"/>
          <w:color w:val="auto"/>
          <w:sz w:val="24"/>
          <w:szCs w:val="24"/>
          <w:highlight w:val="none"/>
          <w:shd w:val="clear" w:color="auto" w:fill="auto"/>
          <w:lang w:val="en-US" w:eastAsia="zh-CN"/>
        </w:rPr>
        <w:t>项目需求</w:t>
      </w:r>
      <w:r>
        <w:rPr>
          <w:rFonts w:hint="eastAsia" w:ascii="宋体" w:hAnsi="宋体" w:cs="宋体"/>
          <w:color w:val="auto"/>
          <w:sz w:val="24"/>
          <w:szCs w:val="24"/>
          <w:highlight w:val="none"/>
          <w:shd w:val="clear" w:color="auto" w:fill="auto"/>
        </w:rPr>
        <w:t>的全部采购内容计算单价和总价。</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r>
        <w:rPr>
          <w:rFonts w:hint="eastAsia" w:ascii="宋体" w:hAnsi="宋体" w:cs="宋体"/>
          <w:color w:val="auto"/>
          <w:sz w:val="24"/>
          <w:szCs w:val="24"/>
          <w:highlight w:val="none"/>
        </w:rPr>
        <w:t>本项目</w:t>
      </w:r>
      <w:r>
        <w:rPr>
          <w:rFonts w:hint="eastAsia" w:ascii="宋体" w:hAnsi="宋体" w:eastAsia="宋体" w:cs="宋体"/>
          <w:color w:val="auto"/>
          <w:sz w:val="24"/>
          <w:szCs w:val="24"/>
          <w:highlight w:val="none"/>
        </w:rPr>
        <w:t>报价（以人民币计价）应包含</w:t>
      </w:r>
      <w:r>
        <w:rPr>
          <w:rFonts w:hint="eastAsia" w:ascii="宋体" w:hAnsi="宋体" w:eastAsia="宋体" w:cs="宋体"/>
          <w:color w:val="auto"/>
          <w:sz w:val="24"/>
          <w:szCs w:val="24"/>
          <w:highlight w:val="none"/>
          <w:lang w:val="en-US" w:eastAsia="zh-CN"/>
        </w:rPr>
        <w:t>设计费、</w:t>
      </w:r>
      <w:r>
        <w:rPr>
          <w:rFonts w:hint="eastAsia" w:ascii="宋体" w:hAnsi="宋体" w:eastAsia="宋体" w:cs="宋体"/>
          <w:color w:val="auto"/>
          <w:sz w:val="24"/>
          <w:szCs w:val="24"/>
          <w:highlight w:val="none"/>
        </w:rPr>
        <w:t>人工费、主材及标准附件、备品备件、辅材、开模费、包装、运输、保险、装卸、搬运费、技术措施费、机械进出场费、保管费、成品保护费、专用工具、技术资料、损耗、检测费、</w:t>
      </w:r>
      <w:r>
        <w:rPr>
          <w:rFonts w:hint="eastAsia" w:ascii="宋体" w:hAnsi="宋体" w:eastAsia="宋体" w:cs="宋体"/>
          <w:color w:val="auto"/>
          <w:sz w:val="24"/>
          <w:szCs w:val="24"/>
          <w:highlight w:val="none"/>
          <w:lang w:val="en-US" w:eastAsia="zh-CN"/>
        </w:rPr>
        <w:t>撤展、</w:t>
      </w:r>
      <w:r>
        <w:rPr>
          <w:rFonts w:hint="eastAsia" w:ascii="宋体" w:hAnsi="宋体" w:eastAsia="宋体" w:cs="宋体"/>
          <w:color w:val="auto"/>
          <w:sz w:val="24"/>
          <w:szCs w:val="24"/>
          <w:highlight w:val="none"/>
        </w:rPr>
        <w:t>管理费、利润、国家税务部门规定的各项税金；原材料的涨价及政策性调整等风险费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相关伴随服务以及质保、售后服务等一切费用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shd w:val="clear" w:color="auto" w:fill="auto"/>
          <w:lang w:val="en-US" w:eastAsia="zh-CN"/>
        </w:rPr>
        <w:t>供应商</w:t>
      </w:r>
      <w:r>
        <w:rPr>
          <w:rFonts w:hint="eastAsia" w:ascii="宋体" w:hAnsi="宋体" w:cs="宋体"/>
          <w:color w:val="auto"/>
          <w:sz w:val="24"/>
          <w:szCs w:val="24"/>
          <w:highlight w:val="none"/>
          <w:shd w:val="clear" w:color="auto" w:fill="auto"/>
        </w:rPr>
        <w:t>的报价应包括为完成本项目所发生的一切费用和税费，即响应磋商文件采购要求的所有各项应有费用</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采购人</w:t>
      </w:r>
      <w:r>
        <w:rPr>
          <w:rFonts w:hint="eastAsia" w:ascii="宋体" w:hAnsi="宋体" w:cs="宋体"/>
          <w:color w:val="auto"/>
          <w:sz w:val="24"/>
          <w:szCs w:val="24"/>
          <w:highlight w:val="none"/>
          <w:shd w:val="clear" w:color="auto" w:fill="auto"/>
        </w:rPr>
        <w:t>将不再支付报价以外的任何费用。</w:t>
      </w:r>
    </w:p>
    <w:p>
      <w:pPr>
        <w:snapToGrid w:val="0"/>
        <w:spacing w:line="520" w:lineRule="exact"/>
        <w:ind w:firstLine="494" w:firstLineChars="206"/>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6.供应商应详细阅</w:t>
      </w:r>
      <w:r>
        <w:rPr>
          <w:rFonts w:hint="eastAsia" w:hAnsi="宋体" w:cs="宋体"/>
          <w:color w:val="auto"/>
          <w:sz w:val="24"/>
          <w:szCs w:val="24"/>
          <w:highlight w:val="none"/>
          <w:shd w:val="clear" w:color="auto" w:fill="auto"/>
        </w:rPr>
        <w:t>读竞争性磋商文件的全部内容，根据</w:t>
      </w:r>
      <w:r>
        <w:rPr>
          <w:rFonts w:hint="eastAsia" w:ascii="宋体" w:hAnsi="宋体" w:cs="宋体"/>
          <w:color w:val="auto"/>
          <w:sz w:val="24"/>
          <w:szCs w:val="24"/>
          <w:highlight w:val="none"/>
          <w:shd w:val="clear" w:color="auto" w:fill="auto"/>
          <w:lang w:val="en-US" w:eastAsia="zh-CN"/>
        </w:rPr>
        <w:t>项目需求</w:t>
      </w:r>
      <w:r>
        <w:rPr>
          <w:rFonts w:hint="eastAsia" w:hAnsi="宋体" w:cs="宋体"/>
          <w:color w:val="auto"/>
          <w:sz w:val="24"/>
          <w:szCs w:val="24"/>
          <w:highlight w:val="none"/>
          <w:shd w:val="clear" w:color="auto" w:fill="auto"/>
        </w:rPr>
        <w:t>，准确制定相关工作方案等，必须对本采购项目全部进行报价，如有漏项，视同对本项目的优惠。不按竞争性磋商文件的要求提供响应文件，导致报价无效，作无效响应处理。</w:t>
      </w:r>
    </w:p>
    <w:p>
      <w:pPr>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7.竞争性磋商的最终报价为成交价。同时，供应商的最终成交价在合同实施期间不因市场变化因素而变动。</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8.最低的磋商报价是成交的重要条件，但不是成交的唯一条件。</w:t>
      </w:r>
    </w:p>
    <w:p>
      <w:pPr>
        <w:snapToGrid w:val="0"/>
        <w:spacing w:line="500" w:lineRule="exact"/>
        <w:ind w:firstLine="494" w:firstLineChars="206"/>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9.本项目供应商独立承担用人风险。供应商自行建立风险管理调控机制，对意外伤害或工伤等风险充分预估，报价时自行考虑，一旦出现上述问题，采购人不承担任何连带赔偿责任。</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七、联合体参与磋商</w:t>
      </w:r>
    </w:p>
    <w:p>
      <w:pPr>
        <w:snapToGrid w:val="0"/>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不接受任何形式的联合体参与本项目的竞争性磋商。</w:t>
      </w:r>
    </w:p>
    <w:p>
      <w:pPr>
        <w:snapToGrid w:val="0"/>
        <w:spacing w:line="480" w:lineRule="exact"/>
        <w:ind w:firstLine="460" w:firstLineChars="192"/>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八、响应文件及磋商费用</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1</w:t>
      </w:r>
      <w:r>
        <w:rPr>
          <w:rFonts w:hint="eastAsia" w:hAnsi="宋体" w:eastAsia="宋体" w:cs="宋体"/>
          <w:color w:val="auto"/>
          <w:sz w:val="24"/>
          <w:szCs w:val="24"/>
          <w:highlight w:val="none"/>
          <w:shd w:val="clear" w:color="auto" w:fill="auto"/>
        </w:rPr>
        <w:t>.本项目代理服务费由成交供应商支付。代理服务费按成交价的</w:t>
      </w:r>
      <w:r>
        <w:rPr>
          <w:rFonts w:hint="eastAsia" w:hAnsi="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%计算，保底价</w:t>
      </w:r>
      <w:r>
        <w:rPr>
          <w:rFonts w:hint="eastAsia" w:hAnsi="宋体" w:eastAsia="宋体" w:cs="宋体"/>
          <w:color w:val="auto"/>
          <w:sz w:val="24"/>
          <w:szCs w:val="24"/>
          <w:highlight w:val="none"/>
          <w:shd w:val="clear" w:color="auto" w:fill="auto"/>
          <w:lang w:val="en-US" w:eastAsia="zh-CN"/>
        </w:rPr>
        <w:t>2</w:t>
      </w:r>
      <w:r>
        <w:rPr>
          <w:rFonts w:hint="eastAsia" w:hAnsi="宋体" w:eastAsia="宋体" w:cs="宋体"/>
          <w:color w:val="auto"/>
          <w:sz w:val="24"/>
          <w:szCs w:val="24"/>
          <w:highlight w:val="none"/>
          <w:shd w:val="clear" w:color="auto" w:fill="auto"/>
        </w:rPr>
        <w:t>000</w:t>
      </w:r>
      <w:r>
        <w:rPr>
          <w:rFonts w:hint="eastAsia" w:hAnsi="宋体" w:cs="宋体"/>
          <w:color w:val="auto"/>
          <w:sz w:val="24"/>
          <w:szCs w:val="24"/>
          <w:highlight w:val="none"/>
          <w:shd w:val="clear" w:color="auto" w:fill="auto"/>
        </w:rPr>
        <w:t>元。</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2</w:t>
      </w:r>
      <w:r>
        <w:rPr>
          <w:rFonts w:hint="eastAsia" w:hAnsi="宋体" w:cs="宋体"/>
          <w:color w:val="auto"/>
          <w:sz w:val="24"/>
          <w:szCs w:val="24"/>
          <w:highlight w:val="none"/>
          <w:shd w:val="clear" w:color="auto" w:fill="auto"/>
        </w:rPr>
        <w:t>.磋商程序顺利进行后，除供应商的原件可退回外，其余所有的响应文件都将作为档案保存，不论成交与否，代理机构均不退回。</w:t>
      </w:r>
    </w:p>
    <w:p>
      <w:pPr>
        <w:snapToGrid w:val="0"/>
        <w:spacing w:line="480" w:lineRule="exact"/>
        <w:ind w:firstLine="460" w:firstLineChars="19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3</w:t>
      </w:r>
      <w:r>
        <w:rPr>
          <w:rFonts w:hint="eastAsia" w:hAnsi="宋体" w:cs="宋体"/>
          <w:color w:val="auto"/>
          <w:sz w:val="24"/>
          <w:szCs w:val="24"/>
          <w:highlight w:val="none"/>
          <w:shd w:val="clear" w:color="auto" w:fill="auto"/>
        </w:rPr>
        <w:t>.无论磋商过程和结果如何，参加项目磋商的供应商自行承担与本次项目磋商有关的全部费用。</w:t>
      </w:r>
    </w:p>
    <w:p>
      <w:pPr>
        <w:snapToGrid w:val="0"/>
        <w:spacing w:line="360" w:lineRule="auto"/>
        <w:ind w:firstLine="206" w:firstLineChars="206"/>
        <w:outlineLvl w:val="1"/>
        <w:rPr>
          <w:rFonts w:hAnsi="宋体" w:cs="宋体"/>
          <w:b/>
          <w:bCs/>
          <w:color w:val="auto"/>
          <w:sz w:val="10"/>
          <w:szCs w:val="10"/>
          <w:highlight w:val="none"/>
          <w:shd w:val="clear" w:color="auto" w:fill="auto"/>
        </w:rPr>
      </w:pPr>
    </w:p>
    <w:p>
      <w:pPr>
        <w:snapToGrid w:val="0"/>
        <w:spacing w:line="480" w:lineRule="exact"/>
        <w:ind w:firstLine="494" w:firstLineChars="206"/>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九、未尽事宜</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按有关法律法规的规定执行。</w:t>
      </w:r>
    </w:p>
    <w:p>
      <w:pPr>
        <w:rPr>
          <w:color w:val="auto"/>
          <w:highlight w:val="none"/>
          <w:shd w:val="clear" w:color="auto" w:fill="auto"/>
        </w:rPr>
      </w:pPr>
    </w:p>
    <w:p>
      <w:pPr>
        <w:pStyle w:val="3"/>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pPr>
      <w:bookmarkStart w:id="0" w:name="_Toc432763305"/>
    </w:p>
    <w:p>
      <w:pPr>
        <w:pStyle w:val="3"/>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sectPr>
          <w:footerReference r:id="rId3" w:type="default"/>
          <w:pgSz w:w="11906" w:h="16838"/>
          <w:pgMar w:top="1247" w:right="1418" w:bottom="1247" w:left="1418" w:header="851" w:footer="992" w:gutter="0"/>
          <w:cols w:space="720" w:num="1"/>
          <w:docGrid w:type="linesAndChars" w:linePitch="312" w:charSpace="0"/>
        </w:sectPr>
      </w:pPr>
    </w:p>
    <w:p>
      <w:pPr>
        <w:pStyle w:val="3"/>
        <w:keepNext w:val="0"/>
        <w:keepLines w:val="0"/>
        <w:numPr>
          <w:ilvl w:val="0"/>
          <w:numId w:val="2"/>
        </w:numPr>
        <w:adjustRightInd w:val="0"/>
        <w:snapToGrid w:val="0"/>
        <w:spacing w:before="0" w:after="0" w:line="800" w:lineRule="exact"/>
        <w:jc w:val="center"/>
        <w:textAlignment w:val="baseline"/>
        <w:rPr>
          <w:rFonts w:hint="eastAsia" w:ascii="宋体" w:hAnsi="宋体" w:eastAsia="宋体" w:cs="宋体"/>
          <w:color w:val="auto"/>
          <w:w w:val="80"/>
          <w:szCs w:val="44"/>
          <w:highlight w:val="none"/>
          <w:shd w:val="clear" w:color="auto" w:fill="auto"/>
        </w:rPr>
      </w:pPr>
      <w:r>
        <w:rPr>
          <w:rFonts w:hint="eastAsia" w:ascii="宋体" w:hAnsi="宋体" w:eastAsia="宋体" w:cs="宋体"/>
          <w:color w:val="auto"/>
          <w:w w:val="80"/>
          <w:szCs w:val="44"/>
          <w:highlight w:val="none"/>
          <w:shd w:val="clear" w:color="auto" w:fill="auto"/>
        </w:rPr>
        <w:t xml:space="preserve"> </w:t>
      </w:r>
      <w:bookmarkEnd w:id="0"/>
      <w:r>
        <w:rPr>
          <w:rFonts w:hint="eastAsia" w:ascii="宋体" w:hAnsi="宋体" w:eastAsia="宋体" w:cs="宋体"/>
          <w:color w:val="auto"/>
          <w:w w:val="80"/>
          <w:szCs w:val="44"/>
          <w:highlight w:val="none"/>
          <w:shd w:val="clear" w:color="auto" w:fill="auto"/>
          <w:lang w:val="en-US" w:eastAsia="zh-CN"/>
        </w:rPr>
        <w:t>项目需求</w:t>
      </w:r>
    </w:p>
    <w:p>
      <w:pPr>
        <w:pStyle w:val="2"/>
        <w:rPr>
          <w:color w:val="auto"/>
          <w:highlight w:val="none"/>
          <w:shd w:val="clear" w:color="auto" w:fill="auto"/>
        </w:rPr>
      </w:pP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b/>
          <w:bCs/>
          <w:color w:val="auto"/>
          <w:sz w:val="24"/>
          <w:szCs w:val="24"/>
          <w:highlight w:val="none"/>
          <w:shd w:val="clear" w:color="auto" w:fill="auto"/>
          <w:lang w:val="en-US" w:eastAsia="zh-CN"/>
        </w:rPr>
      </w:pPr>
      <w:r>
        <w:rPr>
          <w:rFonts w:hint="eastAsia" w:asciiTheme="majorEastAsia" w:hAnsiTheme="majorEastAsia" w:eastAsiaTheme="majorEastAsia"/>
          <w:b/>
          <w:bCs/>
          <w:color w:val="auto"/>
          <w:sz w:val="24"/>
          <w:szCs w:val="24"/>
          <w:highlight w:val="none"/>
          <w:shd w:val="clear" w:color="auto" w:fill="auto"/>
          <w:lang w:val="en-US" w:eastAsia="zh-CN"/>
        </w:rPr>
        <w:t>一、项目概况：</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南通博物苑作为中国第一座公共博物馆，始终秉承“设为庠序学校以教，多识鸟兽草木之名”的办苑宗旨，致力于为公众提供高质量的文化展览</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推动公共文化教育。值此建苑120周年之际，我苑在前阶段成功举办“乾隆的假日——清代宫廷节令礼俗展”基础上，社会反响热烈，公众关注度持续攀升，充分印证该主题所具有的广泛观众基础与文化吸引力。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i w:val="0"/>
          <w:iCs w:val="0"/>
          <w:color w:val="000000"/>
          <w:kern w:val="0"/>
          <w:sz w:val="24"/>
          <w:szCs w:val="24"/>
          <w:u w:val="none"/>
          <w:lang w:val="en-US" w:eastAsia="zh-CN" w:bidi="ar"/>
        </w:rPr>
        <w:t>为延续这一良好态势，进一步深化展览主题、拓展学术视野，我苑拟启动</w:t>
      </w:r>
      <w:r>
        <w:rPr>
          <w:rFonts w:hint="eastAsia" w:ascii="宋体" w:hAnsi="宋体" w:cs="宋体"/>
          <w:i w:val="0"/>
          <w:iCs w:val="0"/>
          <w:color w:val="000000"/>
          <w:kern w:val="0"/>
          <w:sz w:val="24"/>
          <w:szCs w:val="24"/>
          <w:u w:val="none"/>
          <w:lang w:val="en-US" w:eastAsia="zh-CN" w:bidi="ar"/>
        </w:rPr>
        <w:t>南通博物苑“百年如意—故宫博物院典藏如意特展”</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本次展览从故宫博物院所藏如意及其相关藏品中甄选出81件精品，按装饰题材分为“琼芝效瑞”“曼寿无疆”“永绥吉劭”“珠玑言志”“如意绵长”五个单元，全面展示明清如意</w:t>
      </w:r>
      <w:r>
        <w:rPr>
          <w:rFonts w:hint="eastAsia" w:ascii="宋体" w:hAnsi="宋体" w:eastAsia="宋体" w:cs="宋体"/>
          <w:color w:val="auto"/>
          <w:sz w:val="24"/>
          <w:szCs w:val="24"/>
          <w:highlight w:val="none"/>
          <w:lang w:val="en-US" w:eastAsia="zh-CN"/>
        </w:rPr>
        <w:t>文化的丰厚内涵。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sz w:val="24"/>
          <w:lang w:val="en-US" w:eastAsia="zh-CN"/>
        </w:rPr>
        <w:t>展期从</w:t>
      </w:r>
      <w:r>
        <w:rPr>
          <w:rFonts w:hint="eastAsia" w:ascii="宋体" w:hAnsi="宋体"/>
          <w:sz w:val="24"/>
        </w:rPr>
        <w:t>2025年12月18日至2026年3月18日</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二、主要内容</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第一单元 琼芝效瑞</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灵芝又称“瑞芝”“仙草”，自古象征长寿，被广泛用于如意的造型和纹饰中。灵芝还与仁政的含义相关，“九茎三秀”谓之祥瑞，故灵芝式如意也常雕作一枝九本、大芝小芝相互缠绕的式样。灵芝式如意是明清时期如意的基本形态之一，材质主要选取玉石、竹木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第二单元 曼寿无疆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历史上，每逢清代帝后寿诞，臣子进贺皆有如意，清“贡档进单”中称之作“万寿如意”或“万年如意”，常九握成套，一并纳采。清高宗尤尚玉石，因而各地贡进的贺寿如意中，又以玉石制品数量之丰富、形制之端庄、工艺之精美居首。此外，贺寿如意也不乏采用黄金、珐琅、陶瓷等制作或以宝石、玻璃等镶嵌者，装饰华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第三单元 永绥吉劭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清代中期是如意发展的鼎盛期，经过几代皇帝不遗余力的倡导，如意所承载的含义已经完全随着社会观念的转变而世俗化，成为“吉祥如意”的实物代表。宫廷内各种吉庆如意不仅数量大增，装饰也愈加繁复，图案表现出明显的写实风格，祈福意味鲜明。样式、工艺更加复杂的“三镶”式、“百宝嵌”如意等，更将清代流行的吉祥题材强调至无以复加的程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第四单元 珠玑言志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铭文如意以铭刻的文字为饰，形式源自古代僧侣讲经布道之用具，传僧人记文于上，持之以备遗忘。清代铭文如意常为玉质，首为三瓣卷云式，柄微曲，尾如圭角，通身图饰简典，以衬托首、柄处素刻或填金的文字。另有一类竹木材质的铭文如意，镌刻帝王自勉勤政的御制诗文、警句，盛行于清中期，清高宗时期尤为多见。此类如意头部扁平，曲柄流畅，质相平实，通体或局部铭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第五单元 如意绵长</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明清时期，如意的首部或整体作为一类常见的吉祥纹饰被广泛用于建筑、家具、雕塑、器物和服饰的局部装饰，反映出世俗化特征和端庄华丽的艺术风格。尤其在清代，各类器物上使用的如意纹演变出如意云头纹、四合如意纹、相交如意纹等多种形式，点缀在盖、口、肩、耳、足、底等部位，或作为底纹衬托主体图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三、项目需求：</w:t>
      </w:r>
    </w:p>
    <w:p>
      <w:pPr>
        <w:pageBreakBefore w:val="0"/>
        <w:kinsoku/>
        <w:wordWrap/>
        <w:overflowPunct/>
        <w:topLinePunct w:val="0"/>
        <w:autoSpaceDE/>
        <w:autoSpaceDN/>
        <w:bidi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本次采购为</w:t>
      </w:r>
      <w:r>
        <w:rPr>
          <w:rFonts w:hint="eastAsia" w:ascii="宋体" w:hAnsi="宋体" w:cs="Times New Roman"/>
          <w:color w:val="auto"/>
          <w:sz w:val="24"/>
          <w:szCs w:val="24"/>
          <w:highlight w:val="none"/>
          <w:lang w:val="en-US" w:eastAsia="zh-CN"/>
        </w:rPr>
        <w:t>南通博物苑“百年如意—故宫博物院典藏如意特展”</w:t>
      </w:r>
      <w:r>
        <w:rPr>
          <w:rFonts w:hint="eastAsia" w:ascii="宋体" w:hAnsi="宋体" w:eastAsia="宋体" w:cs="Times New Roman"/>
          <w:color w:val="auto"/>
          <w:sz w:val="24"/>
          <w:szCs w:val="24"/>
          <w:highlight w:val="none"/>
          <w:lang w:val="en-US" w:eastAsia="zh-CN"/>
        </w:rPr>
        <w:t>展览服务，主要内容包括设计策划、展区搭建和展品布展、撤展等服务。</w:t>
      </w:r>
      <w:r>
        <w:rPr>
          <w:rFonts w:hint="eastAsia" w:ascii="宋体" w:hAnsi="宋体" w:cs="宋体"/>
          <w:i w:val="0"/>
          <w:iCs w:val="0"/>
          <w:color w:val="000000"/>
          <w:kern w:val="0"/>
          <w:sz w:val="24"/>
          <w:szCs w:val="24"/>
          <w:u w:val="none"/>
          <w:lang w:val="en-US" w:eastAsia="zh-CN" w:bidi="ar"/>
        </w:rPr>
        <w:t>下方清单为基础要求，</w:t>
      </w:r>
      <w:r>
        <w:rPr>
          <w:rFonts w:hint="eastAsia" w:ascii="宋体" w:hAnsi="宋体" w:eastAsia="宋体" w:cs="宋体"/>
          <w:i w:val="0"/>
          <w:iCs w:val="0"/>
          <w:color w:val="000000"/>
          <w:kern w:val="0"/>
          <w:sz w:val="24"/>
          <w:szCs w:val="24"/>
          <w:u w:val="none"/>
          <w:lang w:val="en-US" w:eastAsia="zh-CN" w:bidi="ar"/>
        </w:rPr>
        <w:t>供应商应根据</w:t>
      </w:r>
      <w:r>
        <w:rPr>
          <w:rFonts w:hint="eastAsia" w:ascii="宋体" w:hAnsi="宋体" w:cs="宋体"/>
          <w:i w:val="0"/>
          <w:iCs w:val="0"/>
          <w:color w:val="000000"/>
          <w:kern w:val="0"/>
          <w:sz w:val="24"/>
          <w:szCs w:val="24"/>
          <w:u w:val="none"/>
          <w:lang w:val="en-US" w:eastAsia="zh-CN" w:bidi="ar"/>
        </w:rPr>
        <w:t>各自</w:t>
      </w:r>
      <w:r>
        <w:rPr>
          <w:rFonts w:hint="eastAsia" w:ascii="宋体" w:hAnsi="宋体" w:eastAsia="宋体" w:cs="宋体"/>
          <w:i w:val="0"/>
          <w:iCs w:val="0"/>
          <w:color w:val="000000"/>
          <w:kern w:val="0"/>
          <w:sz w:val="24"/>
          <w:szCs w:val="24"/>
          <w:u w:val="none"/>
          <w:lang w:val="en-US" w:eastAsia="zh-CN" w:bidi="ar"/>
        </w:rPr>
        <w:t>设计方案对基础装修、陈列布展、展陈灯光、多媒体、设计费等进行合理报价</w:t>
      </w:r>
      <w:r>
        <w:rPr>
          <w:rFonts w:hint="eastAsia" w:ascii="宋体" w:hAnsi="宋体" w:cs="宋体"/>
          <w:i w:val="0"/>
          <w:iCs w:val="0"/>
          <w:color w:val="000000"/>
          <w:kern w:val="0"/>
          <w:sz w:val="24"/>
          <w:szCs w:val="24"/>
          <w:u w:val="none"/>
          <w:lang w:val="en-US" w:eastAsia="zh-CN" w:bidi="ar"/>
        </w:rPr>
        <w:t>，工程量根据各自设计方案进行细化增项后，制作《</w:t>
      </w:r>
      <w:r>
        <w:rPr>
          <w:rFonts w:hint="eastAsia" w:ascii="宋体" w:hAnsi="宋体" w:cs="宋体"/>
          <w:b w:val="0"/>
          <w:bCs w:val="0"/>
          <w:color w:val="000000"/>
          <w:kern w:val="0"/>
          <w:sz w:val="24"/>
          <w:szCs w:val="24"/>
          <w:u w:val="none"/>
          <w:lang w:bidi="ar"/>
        </w:rPr>
        <w:t>磋商响应报价明细表</w:t>
      </w:r>
      <w:r>
        <w:rPr>
          <w:rFonts w:hint="eastAsia" w:ascii="宋体" w:hAnsi="宋体" w:cs="宋体"/>
          <w:b w:val="0"/>
          <w:bCs w:val="0"/>
          <w:color w:val="000000"/>
          <w:kern w:val="0"/>
          <w:sz w:val="24"/>
          <w:szCs w:val="24"/>
          <w:u w:val="none"/>
          <w:lang w:eastAsia="zh-CN" w:bidi="ar"/>
        </w:rPr>
        <w:t>》</w:t>
      </w:r>
      <w:r>
        <w:rPr>
          <w:rFonts w:hint="eastAsia" w:ascii="宋体" w:hAnsi="宋体" w:cs="宋体"/>
          <w:b w:val="0"/>
          <w:bCs w:val="0"/>
          <w:color w:val="000000"/>
          <w:kern w:val="0"/>
          <w:sz w:val="24"/>
          <w:szCs w:val="24"/>
          <w:u w:val="none"/>
          <w:lang w:val="en-US" w:eastAsia="zh-CN" w:bidi="ar"/>
        </w:rPr>
        <w:t>装订在</w:t>
      </w:r>
      <w:r>
        <w:rPr>
          <w:rFonts w:hint="eastAsia" w:ascii="宋体" w:hAnsi="宋体" w:cs="宋体"/>
          <w:b w:val="0"/>
          <w:bCs w:val="0"/>
          <w:color w:val="000000"/>
          <w:kern w:val="0"/>
          <w:sz w:val="24"/>
          <w:szCs w:val="24"/>
          <w:u w:val="none"/>
          <w:shd w:val="clear"/>
          <w:lang w:eastAsia="zh-CN" w:bidi="ar"/>
        </w:rPr>
        <w:t>报价响应文件</w:t>
      </w:r>
      <w:r>
        <w:rPr>
          <w:rFonts w:hint="eastAsia" w:ascii="宋体" w:hAnsi="宋体" w:cs="宋体"/>
          <w:b w:val="0"/>
          <w:bCs w:val="0"/>
          <w:color w:val="000000"/>
          <w:kern w:val="0"/>
          <w:sz w:val="24"/>
          <w:szCs w:val="24"/>
          <w:u w:val="none"/>
          <w:shd w:val="clear"/>
          <w:lang w:val="en-US" w:eastAsia="zh-CN" w:bidi="ar"/>
        </w:rPr>
        <w:t>中</w:t>
      </w:r>
      <w:r>
        <w:rPr>
          <w:rFonts w:hint="eastAsia" w:ascii="宋体" w:hAnsi="宋体" w:eastAsia="宋体" w:cs="宋体"/>
          <w:i w:val="0"/>
          <w:iCs w:val="0"/>
          <w:color w:val="000000"/>
          <w:kern w:val="0"/>
          <w:sz w:val="24"/>
          <w:szCs w:val="24"/>
          <w:u w:val="none"/>
          <w:lang w:val="en-US" w:eastAsia="zh-CN" w:bidi="ar"/>
        </w:rPr>
        <w:t>。</w:t>
      </w:r>
    </w:p>
    <w:tbl>
      <w:tblPr>
        <w:tblStyle w:val="19"/>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1963"/>
        <w:gridCol w:w="4564"/>
        <w:gridCol w:w="854"/>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展厅空间</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拆除工程</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现场拆除/拆除垃圾外运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轻钢龙骨隔墙</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UC75轻钢龙骨/单面9.5mm石膏板制作安装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隔墙内加木工板衬底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内墙腻子粉手工批灰三遍，抛光打磨处理，调剂乳胶漆三遍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成品保护</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施工中地面及展柜等成品保护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电路改造</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根据方案要求灯具及设备，临时布设强弱电线路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展台展架</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根据方案需要平柜外部做基础结构，作为造型展台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水晶贴</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定制水晶贴文字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定制金属烤漆雕刻发光字/三维立体印刻/艺术烤漆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发光灯箱</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定制软膜/硬面超薄灯箱/高清UV印刷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单元组说明版面</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定制造型单元组说明展板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图文展板</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高清壁布UV喷绘/PVC图文展板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UV画面</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宣绒布/超透膜/玻璃贴/背胶贴/高清UV印刷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写真画面</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写真PP纸背覆黑胶/反光不干胶/雕刻/转移裱贴/地贴/写真裱贴/高清打印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logo灯</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定制镜片 灯具/成品采购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积木</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柜内底板及背板/木工板包布/叠加展示积木制作及包布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辅助展具</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亚克力压条/亚克力托架/固定件/卷轴轴头/挂画配件/卡纸/书型垫层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展示说明牌</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pvc亚克力或材质说明牌，具体数量根据现场展品数量需求设置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展陈灯光</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专业展陈灯光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装饰发光灯带</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可调光LED灯带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户外空间</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定制展标</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户外防水喷绘/激光雕刻 UV打印 悬挂安装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立体字</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pvc/亚克力烤漆雕刻字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挂片</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双喷布/双透布/纱幔/高清UV印刷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外宣物料</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展厅范围以外海报制作氛围营造/条幅/挂轴/户外喷绘布/外框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公共空间</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定制吊挂装置</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定制艺术吊挂装置/艺术画面制作/现场安装调试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展陈场景/装置</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艺术造型墙/小型艺术装置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展陈设计</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平面布局/流线规划/效果图设计/立面设计/图版设计/施工图绘制等内容设计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软件制作</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互动触摸软件内容制作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影像制作</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二维模型制作、二维镜头制作及渲染/后期制作/后期剪辑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设备调试</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馆内已有设备调试/设备融合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垃圾清理及保洁</w:t>
            </w:r>
          </w:p>
        </w:tc>
        <w:tc>
          <w:tcPr>
            <w:tcW w:w="4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施工产生建筑垃圾清运/展厅内精保洁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kinsoku/>
        <w:wordWrap/>
        <w:overflowPunct/>
        <w:topLinePunct w:val="0"/>
        <w:autoSpaceDE/>
        <w:autoSpaceDN/>
        <w:bidi w:val="0"/>
        <w:adjustRightInd/>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1.服务范围</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（1）设计策划：提供包含展陈平面图、展陈效果、展陈立面、施工图等方案。</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（2）展项制作：含展陈基础制作、展墙美工设计制作、场景制作、多媒体展项制作等内容。</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（3）展品布展、撤展及配合展览实施的其他相关工作。</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2.1设计要求：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（1）结合展板、实物展示，通过叙事方式传达主题精神、核心价值观。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（2）观赏性得到加强，设计以烘托实物为原则。与文物相关的展示设计应全面考虑文物安全需求，工艺合理、可行性规范性强。</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（3）在展线和展陈内容方面，整体要求和谐、统一。</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（4）设计用材、安装要求充分强调布展的节能、环保理念，体现艺术氛围。</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（5）设计和安装要求充分考虑消防、水、电、受力结构、流线通畅等国家规范要求及其安全因素。</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（6）展览色调定位要符合展览主题、准确、恰当、把握好度。应避免因色彩过于单一、平淡而导致展示效果整体乏味，降低观众参观的兴趣；同时，也应当避免因色彩过于繁杂而让观众产生视觉疲劳。</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（7）展览应与原展厅展览协调，展览设计风格、色调等符合原展览定位。</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2.2安全要求：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（1）供应商须办理开工手续，签订责任书后才能进场安装。</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（2）供应商应加强组织管理，建立健全工作领导小组和工作计划，做到职责明确、人员固定、责任到位。</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供应商在项目范围内应做到文明施工，具体内容包括：现场材料堆放、安装机具停放有序、整齐；项目现场做到工完场清，建筑垃圾集中堆放并及时清运（每天清运当日产生的建筑垃圾）；危险区域有醒目的安全警示牌，夜间作业要设警示灯；在项目范围内，出现任何安全事故，均由供应商负责处理，同时不免除供应商造成不良后果所承担的法律责任及其他相关责任。</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2</w:t>
      </w:r>
      <w:r>
        <w:rPr>
          <w:rFonts w:ascii="宋体" w:hAnsi="宋体" w:cs="宋体"/>
          <w:bCs/>
          <w:color w:val="auto"/>
          <w:sz w:val="24"/>
          <w:szCs w:val="24"/>
          <w:highlight w:val="none"/>
        </w:rPr>
        <w:t>.3</w:t>
      </w:r>
      <w:r>
        <w:rPr>
          <w:rFonts w:hint="eastAsia" w:ascii="宋体" w:hAnsi="宋体" w:cs="宋体"/>
          <w:color w:val="auto"/>
          <w:sz w:val="24"/>
          <w:szCs w:val="24"/>
          <w:highlight w:val="none"/>
        </w:rPr>
        <w:t>制作要求：</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331"/>
        <w:gridCol w:w="5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美工展陈制作</w:t>
            </w:r>
          </w:p>
        </w:tc>
        <w:tc>
          <w:tcPr>
            <w:tcW w:w="59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专业平面设计、各类展板画面采用高精度写真等特殊美工工艺。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展陈基础装饰制作</w:t>
            </w:r>
          </w:p>
        </w:tc>
        <w:tc>
          <w:tcPr>
            <w:tcW w:w="59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展陈基础装饰为展览艺术效果提供基础保障，空间划分合理，材料经济、环保。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艺术品及场景制作</w:t>
            </w:r>
          </w:p>
        </w:tc>
        <w:tc>
          <w:tcPr>
            <w:tcW w:w="59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体现展览主题，艺术性强、审美性高。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展品展示制作</w:t>
            </w:r>
          </w:p>
        </w:tc>
        <w:tc>
          <w:tcPr>
            <w:tcW w:w="59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展品积木、托架等设计制作合理、安全、美观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23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多媒体制作</w:t>
            </w:r>
          </w:p>
        </w:tc>
        <w:tc>
          <w:tcPr>
            <w:tcW w:w="59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与空间及展示内容融合较好，信息传达性强，体现整体审美风格。</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highlight w:val="none"/>
          <w:lang w:val="en-US" w:eastAsia="zh-CN"/>
        </w:rPr>
      </w:pPr>
      <w:r>
        <w:rPr>
          <w:rFonts w:hint="eastAsia" w:ascii="宋体" w:hAnsi="宋体" w:eastAsia="宋体" w:cs="宋体"/>
          <w:b/>
          <w:bCs/>
          <w:color w:val="auto"/>
          <w:sz w:val="24"/>
          <w:szCs w:val="24"/>
          <w:highlight w:val="none"/>
          <w:lang w:val="en-US" w:eastAsia="zh-CN"/>
        </w:rPr>
        <w:t>本次展览设置在南通博物苑新馆二楼临时展厅，面积：约800㎡。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展厅平面图：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drawing>
          <wp:anchor distT="0" distB="0" distL="114300" distR="114300" simplePos="0" relativeHeight="251659264" behindDoc="0" locked="0" layoutInCell="1" allowOverlap="1">
            <wp:simplePos x="0" y="0"/>
            <wp:positionH relativeFrom="column">
              <wp:posOffset>137795</wp:posOffset>
            </wp:positionH>
            <wp:positionV relativeFrom="paragraph">
              <wp:posOffset>-366395</wp:posOffset>
            </wp:positionV>
            <wp:extent cx="5772785" cy="4265930"/>
            <wp:effectExtent l="0" t="0" r="18415" b="1270"/>
            <wp:wrapSquare wrapText="bothSides"/>
            <wp:docPr id="2" name="图片 2" descr="e4a7dffe2191a781d4896099d95a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a7dffe2191a781d4896099d95a7104"/>
                    <pic:cNvPicPr>
                      <a:picLocks noChangeAspect="1"/>
                    </pic:cNvPicPr>
                  </pic:nvPicPr>
                  <pic:blipFill>
                    <a:blip r:embed="rId5"/>
                    <a:stretch>
                      <a:fillRect/>
                    </a:stretch>
                  </pic:blipFill>
                  <pic:spPr>
                    <a:xfrm>
                      <a:off x="0" y="0"/>
                      <a:ext cx="5772785" cy="4265930"/>
                    </a:xfrm>
                    <a:prstGeom prst="rect">
                      <a:avLst/>
                    </a:prstGeom>
                  </pic:spPr>
                </pic:pic>
              </a:graphicData>
            </a:graphic>
          </wp:anchor>
        </w:drawing>
      </w:r>
      <w:r>
        <w:rPr>
          <w:rFonts w:hint="eastAsia" w:cs="Times New Roman" w:asciiTheme="majorEastAsia" w:hAnsiTheme="majorEastAsia" w:eastAsiaTheme="majorEastAsia"/>
          <w:b/>
          <w:bCs/>
          <w:color w:val="auto"/>
          <w:sz w:val="24"/>
          <w:szCs w:val="24"/>
          <w:highlight w:val="none"/>
          <w:shd w:val="clear" w:color="auto" w:fill="auto"/>
          <w:lang w:val="en-US" w:eastAsia="zh-CN"/>
        </w:rPr>
        <w:t>四、服务期限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ajorEastAsia" w:hAnsiTheme="majorEastAsia" w:eastAsiaTheme="majorEastAsia"/>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自合同签订之日起至活动结束撤展完成</w:t>
      </w:r>
      <w:r>
        <w:rPr>
          <w:rFonts w:hint="eastAsia" w:cs="Times New Roman" w:asciiTheme="majorEastAsia" w:hAnsiTheme="majorEastAsia" w:eastAsiaTheme="majorEastAsia"/>
          <w:color w:val="auto"/>
          <w:sz w:val="24"/>
          <w:szCs w:val="24"/>
          <w:highlight w:val="none"/>
          <w:shd w:val="clear" w:color="auto" w:fill="auto"/>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合同签订后15日内支付合同总额的</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0%，竣工验收合格后支付合同总额的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0%，活动结束，余款合同履行完成</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lang w:val="en-US" w:eastAsia="zh-CN"/>
        </w:rPr>
        <w:t>一次性付清。</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六、相关要求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1.本项目的施工过程必须严格按照施工质量应符合现行国家技术、施工及验收规范规程，对施工工艺的特殊要求，按图纸及国家有关规定执行。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2.质量要求：按相关工程施工质量验收规范合格标准。制作安装等服务应响应迅速，施工及时并符合采购人及展馆要求。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3.安全要求：要求在开工前和实施期间做好安全文明标化管理，要求在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 xml:space="preserve">文件中阐述有关实施方案和管理措施，并作出相应承诺，确保场内外道路清洁畅通，确保来往车辆、人员、施工安全。符合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4.技术规格：施工符合展馆规范要求，制作工艺细致。整体外观与设计效果保持一致，现场安装施工严谨精细，标识、画面等内容无错误。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（1）搭建施工：依据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文件及设计方案，负责</w:t>
      </w:r>
      <w:r>
        <w:rPr>
          <w:rFonts w:hint="eastAsia" w:ascii="宋体" w:hAnsi="宋体" w:eastAsia="宋体" w:cs="宋体"/>
          <w:color w:val="auto"/>
          <w:sz w:val="24"/>
          <w:szCs w:val="24"/>
          <w:highlight w:val="none"/>
          <w:lang w:val="en-US" w:eastAsia="zh-CN"/>
        </w:rPr>
        <w:t>场馆的</w:t>
      </w:r>
      <w:r>
        <w:rPr>
          <w:rFonts w:hint="eastAsia" w:ascii="宋体" w:hAnsi="宋体" w:eastAsia="宋体" w:cs="宋体"/>
          <w:color w:val="auto"/>
          <w:sz w:val="24"/>
          <w:szCs w:val="24"/>
          <w:highlight w:val="none"/>
          <w:lang w:eastAsia="zh-CN"/>
        </w:rPr>
        <w:t xml:space="preserve">安装、布置、活动期间本展区活动的技术、人员及设备保障。施工时能较好理解设计意图，用材适当并与环境相协调，性价比高。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（2）工程组织周密。要科学制定合理的施工组织实施方案，统筹协调布展进度，使各分项组织实施的全过程及各个环节始终处于受控状态，施工工艺满足国家、省、市现行标准、规范的相关文件要求。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（3）坚持安全施工。要强化安全生产意识，建立规范化、标准化、制度化的管理体系，确保施工现场的结构安全、消防安全、电气安全，以及人身安全等，以达到优质的展示效果。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6.场地布置验收标准：满足采购人要求，包括规划、设计、施工与采购人需求一致，准确无误。制作工艺细致，符合消防标准。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 xml:space="preserve">.服务标准、效率：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（1）服务标准：满足采购人要求，符合我国相关技术规范和质量标准。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（2）服务效率：根据采购人要求及时修改方案、及时施工、及时响应。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供应商执行</w:t>
      </w:r>
      <w:r>
        <w:rPr>
          <w:rFonts w:hint="eastAsia" w:ascii="宋体" w:hAnsi="宋体" w:eastAsia="宋体" w:cs="宋体"/>
          <w:color w:val="auto"/>
          <w:sz w:val="24"/>
          <w:szCs w:val="24"/>
          <w:highlight w:val="none"/>
          <w:lang w:val="en-US" w:eastAsia="zh-CN"/>
        </w:rPr>
        <w:t>布置</w:t>
      </w:r>
      <w:r>
        <w:rPr>
          <w:rFonts w:hint="eastAsia" w:ascii="宋体" w:hAnsi="宋体" w:eastAsia="宋体" w:cs="宋体"/>
          <w:color w:val="auto"/>
          <w:sz w:val="24"/>
          <w:szCs w:val="24"/>
          <w:highlight w:val="none"/>
          <w:lang w:eastAsia="zh-CN"/>
        </w:rPr>
        <w:t>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文件要求及</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文件承诺或采购人批准的方案的，如出现漏项或错项，每发生一次，应向采购人支付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费用总额0.5%或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供应商漏项错项对应</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费用金额3倍的违约金（以高者为准）；发生如下情况之一，视为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供应商重大违约，采购人有权单方解除本合同：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(1)工作进度缓慢将会导致活动无法按期举办的：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(2)发生安全事故且</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供应商负有责任的：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质量、效果明显不能达到采购人要求的：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供应商以采购人或本活动相关单位名义对外从事与本合同履行无关的任何行为的；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)未按照采购人批准的策划及执行方案实施具体工作的。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供应商违反相关条款，给采购人造成损失或负面影响，</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供应商应赔偿采购人的损失；如采购人认为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供应商违约情节严重，采购人有权解除本合同。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供应商在</w:t>
      </w:r>
      <w:r>
        <w:rPr>
          <w:rFonts w:hint="eastAsia" w:ascii="宋体" w:hAnsi="宋体" w:eastAsia="宋体" w:cs="宋体"/>
          <w:color w:val="auto"/>
          <w:sz w:val="24"/>
          <w:szCs w:val="24"/>
          <w:highlight w:val="none"/>
          <w:lang w:val="en-US" w:eastAsia="zh-CN"/>
        </w:rPr>
        <w:t>项目实施过程</w:t>
      </w:r>
      <w:r>
        <w:rPr>
          <w:rFonts w:hint="eastAsia" w:ascii="宋体" w:hAnsi="宋体" w:eastAsia="宋体" w:cs="宋体"/>
          <w:color w:val="auto"/>
          <w:sz w:val="24"/>
          <w:szCs w:val="24"/>
          <w:highlight w:val="none"/>
          <w:lang w:eastAsia="zh-CN"/>
        </w:rPr>
        <w:t>中无故泄露采购人提供的资料及与本合同有关的任何内容，或丑化采购人或本活动相关单位形象的，采购人有权解除本合同；此外，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供应商应按采购人要求予以纠正，如造成采购人损失的，则</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w:t>
      </w:r>
      <w:r>
        <w:rPr>
          <w:rFonts w:hint="eastAsia" w:ascii="宋体" w:hAnsi="宋体" w:eastAsia="宋体" w:cs="宋体"/>
          <w:color w:val="auto"/>
          <w:sz w:val="24"/>
          <w:szCs w:val="24"/>
          <w:highlight w:val="none"/>
          <w:lang w:val="en-US" w:eastAsia="zh-CN"/>
        </w:rPr>
        <w:t>予以</w:t>
      </w:r>
      <w:r>
        <w:rPr>
          <w:rFonts w:hint="eastAsia" w:ascii="宋体" w:hAnsi="宋体" w:eastAsia="宋体" w:cs="宋体"/>
          <w:color w:val="auto"/>
          <w:sz w:val="24"/>
          <w:szCs w:val="24"/>
          <w:highlight w:val="none"/>
          <w:lang w:eastAsia="zh-CN"/>
        </w:rPr>
        <w:t xml:space="preserve">赔偿，赔偿金额不少于本合同约定费用总额的20%。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供应商如有其它任何违约行为，未按照采购人要求期限及时改正的，每逾期一日，</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费用总额的0.5%；逾期达到10日的，采购人有权解除本合同。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供应商违约导致本合同提前终止（包括采购人行使合同解除权的情况）的，采购人无需向</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供应商支付任何费用，且</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费用总额20%的违约金，采购人仍有其他损失的，由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供应商继续赔偿。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供应商应向采购人支付的违约金、赔偿金等任何费用，采购人可直接从应付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费用中扣除，</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供应商不持异议。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除因不可抗力的因素影响外，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供应商必须按时保质保量完成全部工作，否则</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供应商应承担相应违约责任。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任何一方由于不可抗力原因不能履行合同时，应第一时间向对方通报，双方均应及时采取有效补救措施以减少损失，在取得有关机构的不可抗力证明或双方谅解确认后，允许延期履行或修订合同，并可根据具体情况部分或全部免于承担违约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iCs/>
          <w:color w:val="auto"/>
          <w:w w:val="80"/>
          <w:sz w:val="21"/>
          <w:szCs w:val="21"/>
          <w:highlight w:val="none"/>
          <w:shd w:val="clear" w:color="auto" w:fill="auto"/>
        </w:rPr>
      </w:pPr>
      <w:r>
        <w:rPr>
          <w:rFonts w:hint="eastAsia" w:ascii="宋体" w:hAnsi="宋体" w:eastAsia="宋体" w:cs="宋体"/>
          <w:color w:val="auto"/>
          <w:sz w:val="24"/>
          <w:szCs w:val="24"/>
          <w:highlight w:val="none"/>
          <w:lang w:val="en-US" w:eastAsia="zh-CN"/>
        </w:rPr>
        <w:t>2.采购人</w:t>
      </w:r>
      <w:r>
        <w:rPr>
          <w:rFonts w:hint="eastAsia" w:ascii="宋体" w:hAnsi="宋体" w:eastAsia="宋体" w:cs="宋体"/>
          <w:color w:val="auto"/>
          <w:sz w:val="24"/>
          <w:szCs w:val="24"/>
          <w:highlight w:val="none"/>
          <w:lang w:eastAsia="zh-CN"/>
        </w:rPr>
        <w:t>由于订立合同所依据的客观情况发生重大或较大变化，以及由于政府政策等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不能预见且不可抗拒的原因致使合同无法履行或使合同履行变得不必要，</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有权部分或全部解除、终止合同，并免于承担违约责任，对供应商实际合理支出作出合理补偿。</w:t>
      </w:r>
      <w:r>
        <w:rPr>
          <w:rFonts w:hint="eastAsia" w:hAnsi="宋体" w:cs="宋体"/>
          <w:b/>
          <w:iCs/>
          <w:color w:val="auto"/>
          <w:w w:val="80"/>
          <w:sz w:val="21"/>
          <w:szCs w:val="21"/>
          <w:highlight w:val="none"/>
          <w:shd w:val="clear" w:color="auto" w:fill="auto"/>
        </w:rPr>
        <w:br w:type="page"/>
      </w:r>
    </w:p>
    <w:p>
      <w:pPr>
        <w:snapToGrid w:val="0"/>
        <w:spacing w:before="332" w:after="332" w:line="360" w:lineRule="auto"/>
        <w:jc w:val="center"/>
        <w:outlineLvl w:val="1"/>
        <w:rPr>
          <w:rFonts w:hAnsi="宋体" w:cs="宋体"/>
          <w:color w:val="auto"/>
          <w:kern w:val="0"/>
          <w:sz w:val="24"/>
          <w:szCs w:val="24"/>
          <w:highlight w:val="none"/>
          <w:shd w:val="clear" w:color="auto" w:fill="auto"/>
        </w:rPr>
      </w:pPr>
      <w:r>
        <w:rPr>
          <w:rFonts w:hint="eastAsia" w:hAnsi="宋体" w:cs="宋体"/>
          <w:b/>
          <w:iCs/>
          <w:color w:val="auto"/>
          <w:w w:val="80"/>
          <w:sz w:val="44"/>
          <w:szCs w:val="44"/>
          <w:highlight w:val="none"/>
          <w:shd w:val="clear" w:color="auto" w:fill="auto"/>
        </w:rPr>
        <w:t xml:space="preserve">第四章  </w:t>
      </w:r>
      <w:bookmarkStart w:id="1" w:name="_Toc37322565"/>
      <w:bookmarkStart w:id="2" w:name="_Toc85627670"/>
      <w:bookmarkStart w:id="3" w:name="_Toc43217893"/>
      <w:bookmarkStart w:id="4" w:name="_Toc38121794"/>
      <w:bookmarkStart w:id="5" w:name="_Toc182848996"/>
      <w:r>
        <w:rPr>
          <w:rFonts w:hint="eastAsia" w:hAnsi="宋体" w:cs="宋体"/>
          <w:b/>
          <w:iCs/>
          <w:color w:val="auto"/>
          <w:w w:val="80"/>
          <w:sz w:val="44"/>
          <w:szCs w:val="44"/>
          <w:highlight w:val="none"/>
          <w:shd w:val="clear" w:color="auto" w:fill="auto"/>
        </w:rPr>
        <w:t>评审方法和程序</w:t>
      </w:r>
    </w:p>
    <w:bookmarkEnd w:id="1"/>
    <w:bookmarkEnd w:id="2"/>
    <w:bookmarkEnd w:id="3"/>
    <w:bookmarkEnd w:id="4"/>
    <w:bookmarkEnd w:id="5"/>
    <w:p>
      <w:pPr>
        <w:snapToGrid w:val="0"/>
        <w:spacing w:line="520" w:lineRule="exact"/>
        <w:ind w:firstLine="482" w:firstLineChars="200"/>
        <w:outlineLvl w:val="1"/>
        <w:rPr>
          <w:rFonts w:hAnsi="宋体" w:cs="宋体"/>
          <w:b/>
          <w:color w:val="auto"/>
          <w:sz w:val="24"/>
          <w:szCs w:val="24"/>
          <w:highlight w:val="none"/>
          <w:shd w:val="clear" w:color="auto" w:fill="auto"/>
        </w:rPr>
      </w:pPr>
      <w:bookmarkStart w:id="6" w:name="_Toc363573857"/>
      <w:bookmarkEnd w:id="6"/>
      <w:r>
        <w:rPr>
          <w:rFonts w:hint="eastAsia" w:hAnsi="宋体" w:cs="宋体"/>
          <w:b/>
          <w:color w:val="auto"/>
          <w:sz w:val="24"/>
          <w:szCs w:val="24"/>
          <w:highlight w:val="none"/>
          <w:shd w:val="clear" w:color="auto" w:fill="auto"/>
        </w:rPr>
        <w:t>一、代理机构组织磋商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1.本次竞争性磋商依据有关法规成立磋商小组。磋商小组由采购人代表和评审专家共3人以上单数组成。</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2.磋商小组的职责：</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（1）磋商小组成员应当按照客观、公正、审慎的原则，根据磋商文件规定的评审程序、评审方法和评审标准进行独立评审。</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（2）磋商小组成员应当遵守评审工作纪律，不得泄露评审情况和评审中获悉的商业秘密，对个人的评审意见承担法律责任；</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（3）磋商小组成员在评审过程中发现供应商有行贿、提供虚假材料或者串通等违法行为的，应当及时向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部门报告。</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（4）磋商小组成员在评审过程中受到非法干涉的，应当及时向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部门举报。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（5）配合采购人答复供应商提出的质疑；配合</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部门的投诉处理和监督检查工作。</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3.评审有关记录由磋商小组成员签名，存档备查。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4.供应商的法定代表人或被授权人须持身份证准时参加磋商开标会。</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二、磋商的原则及方法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1.磋商小组依据相关法规，遵循“公开、公平、公正、择优、信用”的原则进行磋商评审。</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2.磋商小组将按照竞争性磋商文件的规定，独立对每个进入打分程序的有效供应商的响应文件的</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技术部分以打分的形式进行评审和评价。</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技术分取算术平均值（计算结果均四舍五入保留两位小数）。</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4.磋商小组所有成员可集中与单一供应商分别进行磋商，并给予所有参加磋商的供应商平等的磋商机会。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6.对磋商文件作出的实质性变动是磋商文件的有效组成部分，磋商小组应当及时以书面形式同时通知所有参加磋商的供应商。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10.除非在磋商中磋商小组对采购人需求内容作了调整增加，或对采购内容作了实质性变更，否则</w:t>
      </w:r>
      <w:r>
        <w:rPr>
          <w:rFonts w:hint="eastAsia" w:hAnsi="宋体" w:cs="宋体"/>
          <w:b/>
          <w:color w:val="auto"/>
          <w:sz w:val="24"/>
          <w:szCs w:val="24"/>
          <w:highlight w:val="none"/>
          <w:shd w:val="clear" w:color="auto" w:fill="auto"/>
        </w:rPr>
        <w:t>采购人不接受供应商高于自己前一轮的磋商报价</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11.对于在磋商顺利开始后至最终报价前，根据磋商情况退出磋商的供应商，须以书面形式说明退出磋商的原因，经磋商小组同意可以退出磋商。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12.在磋商中，磋商的任何一方不得透露与磋商有关的其他响应磋商的供应商的技术资料、价格及其他信息。</w:t>
      </w:r>
    </w:p>
    <w:p>
      <w:pPr>
        <w:snapToGrid w:val="0"/>
        <w:spacing w:line="520" w:lineRule="exact"/>
        <w:ind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13.</w:t>
      </w:r>
      <w:r>
        <w:rPr>
          <w:rFonts w:hint="eastAsia" w:hAnsi="宋体"/>
          <w:color w:val="auto"/>
          <w:sz w:val="24"/>
          <w:szCs w:val="24"/>
          <w:highlight w:val="none"/>
          <w:shd w:val="clear" w:color="auto" w:fill="auto"/>
        </w:rPr>
        <w:t>单位负责人为同一人或者存在直接控股、管理关系的不同供应商，都不得在同一采购项目相同标段中同时参加磋商，一经发现，将视同围标处理。</w:t>
      </w:r>
    </w:p>
    <w:p>
      <w:pPr>
        <w:snapToGrid w:val="0"/>
        <w:spacing w:line="480" w:lineRule="exact"/>
        <w:ind w:firstLine="480" w:firstLineChars="200"/>
        <w:rPr>
          <w:rFonts w:hint="eastAsia" w:hAnsi="宋体"/>
          <w:color w:val="auto"/>
          <w:sz w:val="24"/>
          <w:szCs w:val="24"/>
          <w:highlight w:val="none"/>
        </w:rPr>
      </w:pPr>
      <w:r>
        <w:rPr>
          <w:rFonts w:hint="eastAsia" w:hAnsi="宋体" w:cs="宋体"/>
          <w:color w:val="auto"/>
          <w:sz w:val="24"/>
          <w:szCs w:val="24"/>
          <w:highlight w:val="none"/>
          <w:shd w:val="clear" w:color="auto" w:fill="auto"/>
        </w:rPr>
        <w:t>14.</w:t>
      </w:r>
      <w:r>
        <w:rPr>
          <w:rFonts w:hint="eastAsia" w:hAnsi="宋体"/>
          <w:color w:val="auto"/>
          <w:sz w:val="24"/>
          <w:szCs w:val="24"/>
          <w:highlight w:val="none"/>
        </w:rPr>
        <w:t>评审过程中出现下列情形之一的，磋商小组应当启动异常低价响应审查程序：</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（1）报价低于采购项目预算50%的，即报价＜采购项目预算*50%；</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（2）报价低于采购项目最高限价45%的，即报价＜采购项目最高限价*45%；</w:t>
      </w:r>
    </w:p>
    <w:p>
      <w:pPr>
        <w:snapToGrid w:val="0"/>
        <w:spacing w:line="480" w:lineRule="exact"/>
        <w:ind w:firstLine="480" w:firstLineChars="200"/>
        <w:rPr>
          <w:rFonts w:hAnsi="宋体"/>
          <w:color w:val="auto"/>
          <w:sz w:val="24"/>
          <w:szCs w:val="24"/>
          <w:highlight w:val="none"/>
        </w:rPr>
      </w:pPr>
      <w:r>
        <w:rPr>
          <w:rFonts w:hint="eastAsia" w:hAnsi="宋体"/>
          <w:color w:val="auto"/>
          <w:sz w:val="24"/>
          <w:szCs w:val="24"/>
          <w:highlight w:val="none"/>
        </w:rPr>
        <w:t>（3）磋商小组认定的供应商报价过低、有可能影响产品质量或者不能诚信履约的其他情形。</w:t>
      </w:r>
    </w:p>
    <w:p>
      <w:pPr>
        <w:snapToGrid w:val="0"/>
        <w:spacing w:line="480" w:lineRule="exact"/>
        <w:ind w:firstLine="480" w:firstLineChars="200"/>
        <w:rPr>
          <w:rFonts w:hint="eastAsia" w:ascii="宋体" w:hAnsi="宋体" w:eastAsia="宋体" w:cs="宋体"/>
          <w:b/>
          <w:bCs/>
          <w:color w:val="auto"/>
          <w:sz w:val="24"/>
          <w:szCs w:val="24"/>
          <w:highlight w:val="none"/>
          <w:lang w:eastAsia="zh-CN"/>
        </w:rPr>
      </w:pPr>
      <w:r>
        <w:rPr>
          <w:rFonts w:hint="eastAsia" w:hAnsi="宋体" w:cs="宋体"/>
          <w:color w:val="auto"/>
          <w:sz w:val="24"/>
          <w:szCs w:val="24"/>
          <w:highlight w:val="none"/>
        </w:rPr>
        <w:t>15.启动异常低价响应审查后，磋商小组应当要求相关供应商在合理的时间内，提供项目具体成本测算等与报价合理性相关的书面说明及相关证明材料，对响应价格做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情况应当在评审报告中进行记录</w:t>
      </w:r>
      <w:r>
        <w:rPr>
          <w:rFonts w:hint="eastAsia" w:hAnsi="宋体" w:cs="宋体"/>
          <w:color w:val="auto"/>
          <w:sz w:val="24"/>
          <w:szCs w:val="24"/>
          <w:highlight w:val="none"/>
          <w:lang w:eastAsia="zh-CN"/>
        </w:rPr>
        <w:t>。</w:t>
      </w:r>
    </w:p>
    <w:p>
      <w:pPr>
        <w:snapToGrid w:val="0"/>
        <w:spacing w:line="520" w:lineRule="exact"/>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三、评审步骤</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1.评审步骤规定：</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本次资格审查采用资格后审，各供应商资格审查通过后方能进入</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技术标的开标。先开</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技术标打分结束后再开价格标。</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第一阶段：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对每个供应商的资格进行审查。</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第二阶段：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对每个符合资格要求的供应商的</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技术标进行</w:t>
      </w:r>
      <w:r>
        <w:rPr>
          <w:rFonts w:hint="eastAsia" w:ascii="宋体" w:hAnsi="宋体" w:cs="宋体"/>
          <w:color w:val="auto"/>
          <w:sz w:val="24"/>
          <w:szCs w:val="24"/>
          <w:highlight w:val="none"/>
          <w:shd w:val="clear" w:color="auto" w:fill="auto"/>
        </w:rPr>
        <w:t>评审</w:t>
      </w:r>
      <w:r>
        <w:rPr>
          <w:rFonts w:hint="eastAsia" w:ascii="宋体" w:hAnsi="宋体" w:cs="宋体"/>
          <w:color w:val="auto"/>
          <w:sz w:val="24"/>
          <w:szCs w:val="24"/>
          <w:highlight w:val="none"/>
          <w:shd w:val="clear" w:color="auto" w:fill="auto"/>
          <w:lang w:val="zh-CN"/>
        </w:rPr>
        <w:t>。主要审查</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技术标提交的内容是否齐全，</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技术方案及项目实施是否完全满足采购文件的要求。</w:t>
      </w:r>
      <w:r>
        <w:rPr>
          <w:rFonts w:hint="eastAsia" w:ascii="宋体" w:hAnsi="宋体" w:cs="宋体"/>
          <w:color w:val="auto"/>
          <w:sz w:val="24"/>
          <w:highlight w:val="none"/>
          <w:shd w:val="clear" w:color="auto" w:fill="auto"/>
        </w:rPr>
        <w:t>磋商小组严格按照磋商文件的要求、条件、评分标准，对供应商所提供货物或服务的先进性、可靠性、售后服务承诺、质量保证承诺等实质性响应内容进行比较。</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第三阶段：以</w:t>
      </w:r>
      <w:r>
        <w:rPr>
          <w:rFonts w:hint="eastAsia" w:ascii="宋体" w:hAnsi="宋体" w:cs="宋体"/>
          <w:color w:val="auto"/>
          <w:sz w:val="24"/>
          <w:szCs w:val="24"/>
          <w:highlight w:val="none"/>
          <w:shd w:val="clear" w:color="auto" w:fill="auto"/>
        </w:rPr>
        <w:t>供应商</w:t>
      </w:r>
      <w:r>
        <w:rPr>
          <w:rFonts w:hint="eastAsia" w:ascii="宋体" w:hAnsi="宋体" w:cs="宋体"/>
          <w:color w:val="auto"/>
          <w:sz w:val="24"/>
          <w:szCs w:val="24"/>
          <w:highlight w:val="none"/>
          <w:shd w:val="clear" w:color="auto" w:fill="auto"/>
          <w:lang w:val="zh-CN"/>
        </w:rPr>
        <w:t>价格标文件内的</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报价（即首次报价）为基础，</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rPr>
        <w:t>与供应商</w:t>
      </w:r>
      <w:r>
        <w:rPr>
          <w:rFonts w:hint="eastAsia" w:ascii="宋体" w:hAnsi="宋体" w:cs="宋体"/>
          <w:color w:val="auto"/>
          <w:sz w:val="24"/>
          <w:szCs w:val="24"/>
          <w:highlight w:val="none"/>
          <w:shd w:val="clear" w:color="auto" w:fill="auto"/>
          <w:lang w:val="zh-CN"/>
        </w:rPr>
        <w:t>单一分别进行</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：内容主要是对</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响应文件中的项目方案的澄清、修正、补充、确认以及价格调整等。</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明确各供应商符合并满足</w:t>
      </w:r>
      <w:r>
        <w:rPr>
          <w:rFonts w:hint="eastAsia"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文件要求，并能完全响应</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内容后，要求其二次报价。如</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内容导致</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文件有实质性变动的，</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 xml:space="preserve">应当以书面形式通知所有供应商。  </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第四阶段：单一分别</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结束后，</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告知所有供应商的项目二次报价，并要求所有作出实质性响应的有效供应商在规定的时间内，给出最终报价，同时最终报价中可包括但不限于如最终澄清方案、有关优惠承诺等。</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第五阶段：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对供应商的最终报价进行评议和比较，在实质性响应</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技术标和价格标部分都能满足</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文件的前提下，</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将校核后的各供应商的报价从低到高排序。</w:t>
      </w:r>
    </w:p>
    <w:p>
      <w:pPr>
        <w:snapToGrid w:val="0"/>
        <w:spacing w:line="52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zh-CN"/>
        </w:rPr>
        <w:t>2.在</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过程中，供应商提交的澄清文件和最终报价文件，由供应商法定代表人或被授权人签字盖章后生效，供应商受其约束。</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四、磋商评定结果的方法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w:t>
      </w:r>
      <w:r>
        <w:rPr>
          <w:rFonts w:hint="eastAsia" w:hAnsi="宋体" w:cs="宋体"/>
          <w:b/>
          <w:color w:val="auto"/>
          <w:sz w:val="24"/>
          <w:szCs w:val="24"/>
          <w:highlight w:val="none"/>
          <w:u w:val="single"/>
          <w:shd w:val="clear" w:color="auto" w:fill="auto"/>
        </w:rPr>
        <w:t>经磋商确定最终采购需求和提交最后报价的供应商后，</w:t>
      </w:r>
      <w:r>
        <w:rPr>
          <w:rFonts w:hint="eastAsia" w:hAnsi="宋体" w:cs="宋体"/>
          <w:color w:val="auto"/>
          <w:sz w:val="24"/>
          <w:szCs w:val="24"/>
          <w:highlight w:val="none"/>
          <w:shd w:val="clear" w:color="auto" w:fill="auto"/>
        </w:rPr>
        <w:t>由磋商小组采用综合评分法</w:t>
      </w:r>
      <w:r>
        <w:rPr>
          <w:rFonts w:hint="eastAsia" w:hAnsi="宋体" w:cs="宋体"/>
          <w:b/>
          <w:color w:val="auto"/>
          <w:sz w:val="24"/>
          <w:szCs w:val="24"/>
          <w:highlight w:val="none"/>
          <w:u w:val="single"/>
          <w:shd w:val="clear" w:color="auto" w:fill="auto"/>
        </w:rPr>
        <w:t>对提交最后报价的供应商的响应文件和最后报价</w:t>
      </w:r>
      <w:r>
        <w:rPr>
          <w:rFonts w:hint="eastAsia" w:hAnsi="宋体" w:cs="宋体"/>
          <w:color w:val="auto"/>
          <w:sz w:val="24"/>
          <w:szCs w:val="24"/>
          <w:highlight w:val="none"/>
          <w:shd w:val="clear" w:color="auto" w:fill="auto"/>
        </w:rPr>
        <w:t>进行综合评分。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2.评审时，磋商小组各成员应当独立对每个有效响应的文件进行评价、打分，然后汇总每个供应商每项评分因素的得分（计算结果均四舍五入保留两位小数）。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3.本次项目磋商的</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 xml:space="preserve">技术和报价评审总分值为100分。两部分评审因素比重如下： </w:t>
      </w:r>
    </w:p>
    <w:p>
      <w:pPr>
        <w:snapToGrid w:val="0"/>
        <w:spacing w:line="520" w:lineRule="exact"/>
        <w:ind w:firstLine="480" w:firstLineChars="200"/>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技术分值占总分值的比重为</w:t>
      </w:r>
      <w:r>
        <w:rPr>
          <w:rFonts w:hint="eastAsia" w:hAnsi="宋体" w:cs="宋体"/>
          <w:b/>
          <w:color w:val="auto"/>
          <w:sz w:val="24"/>
          <w:szCs w:val="24"/>
          <w:highlight w:val="none"/>
          <w:u w:val="single"/>
          <w:shd w:val="clear" w:color="auto" w:fill="auto"/>
          <w:lang w:val="en-US" w:eastAsia="zh-CN"/>
        </w:rPr>
        <w:t>70</w:t>
      </w:r>
      <w:r>
        <w:rPr>
          <w:rFonts w:hint="eastAsia" w:hAnsi="宋体" w:cs="宋体"/>
          <w:b/>
          <w:color w:val="auto"/>
          <w:sz w:val="24"/>
          <w:szCs w:val="24"/>
          <w:highlight w:val="none"/>
          <w:u w:val="single"/>
          <w:shd w:val="clear" w:color="auto" w:fill="auto"/>
        </w:rPr>
        <w:t>%（权重）</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报价分值占总分值的比重为</w:t>
      </w:r>
      <w:r>
        <w:rPr>
          <w:rFonts w:hint="eastAsia" w:ascii="Times New Roman" w:hAnsi="宋体" w:eastAsia="宋体" w:cs="宋体"/>
          <w:b/>
          <w:color w:val="auto"/>
          <w:sz w:val="24"/>
          <w:szCs w:val="24"/>
          <w:highlight w:val="none"/>
          <w:u w:val="single"/>
          <w:shd w:val="clear" w:color="auto" w:fill="auto"/>
          <w:lang w:val="en-US" w:eastAsia="zh-CN"/>
        </w:rPr>
        <w:t>30</w:t>
      </w:r>
      <w:r>
        <w:rPr>
          <w:rFonts w:hint="eastAsia" w:ascii="Times New Roman" w:hAnsi="宋体" w:eastAsia="宋体" w:cs="宋体"/>
          <w:b/>
          <w:color w:val="auto"/>
          <w:sz w:val="24"/>
          <w:szCs w:val="24"/>
          <w:highlight w:val="none"/>
          <w:u w:val="single"/>
          <w:shd w:val="clear" w:color="auto" w:fill="auto"/>
        </w:rPr>
        <w:t>%（权重</w:t>
      </w:r>
      <w:r>
        <w:rPr>
          <w:rFonts w:hint="eastAsia" w:hAnsi="宋体" w:cs="宋体"/>
          <w:b/>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技术分按算术平均值计算，分值四舍五入保留两位小数。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color w:val="auto"/>
          <w:sz w:val="24"/>
          <w:szCs w:val="24"/>
          <w:highlight w:val="none"/>
          <w:shd w:val="clear" w:color="auto" w:fill="auto"/>
          <w:lang w:eastAsia="zh-CN"/>
        </w:rPr>
        <w:t>报价</w:t>
      </w:r>
      <w:r>
        <w:rPr>
          <w:rFonts w:hint="eastAsia" w:hAnsi="宋体" w:cs="宋体"/>
          <w:color w:val="auto"/>
          <w:sz w:val="24"/>
          <w:szCs w:val="24"/>
          <w:highlight w:val="none"/>
          <w:shd w:val="clear" w:color="auto" w:fill="auto"/>
        </w:rPr>
        <w:t>分统一采用低价优先法计算直接取得，与</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技术分相加为供应商的综合得分（四舍五入保留两位小数）。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6.综合得分最高的供应商推荐为项目预成交人并出具评审磋商报告。</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7.确定成交候选人的特殊情况处理： </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（1）若总分相同，则按</w:t>
      </w:r>
      <w:r>
        <w:rPr>
          <w:rFonts w:hint="eastAsia" w:hAnsi="宋体" w:cs="宋体"/>
          <w:color w:val="auto"/>
          <w:sz w:val="24"/>
          <w:szCs w:val="24"/>
          <w:highlight w:val="none"/>
          <w:shd w:val="clear" w:color="auto" w:fill="auto"/>
          <w:lang w:eastAsia="zh-CN"/>
        </w:rPr>
        <w:t>价格标</w:t>
      </w:r>
      <w:r>
        <w:rPr>
          <w:rFonts w:hint="eastAsia" w:hAnsi="宋体" w:cs="宋体"/>
          <w:color w:val="auto"/>
          <w:sz w:val="24"/>
          <w:szCs w:val="24"/>
          <w:highlight w:val="none"/>
          <w:shd w:val="clear" w:color="auto" w:fill="auto"/>
        </w:rPr>
        <w:t>得分高者优先成交。</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（2）若总分且</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技术分得分相同，则采取抽签的方式确定。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8.磋商评审时，评委对评审的细则若有争议，由磋商小组集体讨论确定，并对未尽情况有最终解释权。</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9.对落标的供应商不做落标原因的解释。</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五、综合评分评审标准</w:t>
      </w:r>
    </w:p>
    <w:p>
      <w:pPr>
        <w:snapToGrid w:val="0"/>
        <w:spacing w:line="520" w:lineRule="exact"/>
        <w:ind w:firstLine="480" w:firstLineChars="200"/>
        <w:outlineLvl w:val="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w:t>
      </w:r>
      <w:r>
        <w:rPr>
          <w:rFonts w:hint="eastAsia" w:hAnsi="宋体" w:cs="宋体"/>
          <w:color w:val="auto"/>
          <w:sz w:val="24"/>
          <w:szCs w:val="24"/>
          <w:highlight w:val="none"/>
          <w:shd w:val="clear" w:color="auto" w:fill="auto"/>
          <w:lang w:val="en-US" w:eastAsia="zh-CN"/>
        </w:rPr>
        <w:t>70</w:t>
      </w:r>
      <w:r>
        <w:rPr>
          <w:rFonts w:hint="eastAsia" w:hAnsi="宋体" w:cs="宋体"/>
          <w:color w:val="auto"/>
          <w:sz w:val="24"/>
          <w:szCs w:val="24"/>
          <w:highlight w:val="none"/>
          <w:shd w:val="clear" w:color="auto" w:fill="auto"/>
        </w:rPr>
        <w:t>分）</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8144"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设计方案总体评价</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对本项目的理解透彻、设计定位准确、设计理念新颖，设计效果表现清晰，空间效果、材质和色彩的真实感强、可行性强的得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对本项目的理解较清晰、设计定位较为准确、设计理念较新颖，设计效果较清晰，空间效果、材质和色彩具有一定的真实感，基本可行的得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对本项目的理解不足，设计定位不够准确、设计理念陈旧，设计效果一般，空间效果、材质和色彩的真实感不明显，可行性弱的得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未提供内容的不得分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空间布局及参观流线</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空间布局合理，参观流线顺畅的得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空间布局较为合理，参观流线较为顺畅的得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空间布局不合理，参观流线不顺畅的得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艺术品及场景设计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艺术装置场景设计摆放合理，体现展览主题，艺术性强、审美性高的得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艺术装置场景设计较合理，较能体现主题，具有一定的艺术及审美性的得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艺术装置场景设计不合理，与主题不符，艺术及审美性弱的得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展陈立面和美工制作设计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结合展架进行立面设计</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设计全面详实、标题、展面、立面设计达到图像及文字描述对位和充分表现的得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设计基本完整、标题、展面、立面设计图像和文字基本对位、有一定表现力的得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设计不够完整、标题、展面、立面设计图像和文字不够匹配、表现力弱的得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内容不全或未提供内容的不得分。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多媒体展项设计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主题内容紧密围绕主题，深刻揭示展馆主题及内涵，有效增强展览的生动性和观众的参与性；富有感染力的得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主题内容基本围绕主题；内容具有基本情节内容与表现，无明显错漏的得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主题内容与主题结合较弱；内容缺少基本情节内容与表现；内容不合理的得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上述内容缺失或未提供的不得分。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项目成员配备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人员配备合理、专业类别齐全、从业经验丰富、完全符合服务需要的得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人员配备较为合理、专业类别基本齐全、有过从业经验、基本满足服务需要的得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人员配备简单、专业类别不全、无从业经验、未能完全达到服务需要的得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1月1日以来</w:t>
            </w:r>
            <w:r>
              <w:rPr>
                <w:rFonts w:hint="eastAsia" w:ascii="宋体" w:hAnsi="宋体" w:eastAsia="宋体" w:cs="宋体"/>
                <w:color w:val="auto"/>
                <w:sz w:val="21"/>
                <w:szCs w:val="21"/>
                <w:highlight w:val="none"/>
              </w:rPr>
              <w:t>（以合同签订日期为准）类似项目（布展设计或布展施工）业绩，</w:t>
            </w:r>
            <w:r>
              <w:rPr>
                <w:rFonts w:hint="eastAsia" w:ascii="宋体" w:hAnsi="宋体" w:eastAsia="宋体" w:cs="宋体"/>
                <w:color w:val="auto"/>
                <w:sz w:val="21"/>
                <w:szCs w:val="21"/>
                <w:highlight w:val="none"/>
                <w:lang w:val="en-US" w:eastAsia="zh-CN"/>
              </w:rPr>
              <w:t>有一个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提供合同复印件并加盖公章。</w:t>
            </w:r>
          </w:p>
        </w:tc>
      </w:tr>
    </w:tbl>
    <w:p>
      <w:pPr>
        <w:rPr>
          <w:rFonts w:hint="eastAsia" w:hAnsi="宋体" w:cs="宋体"/>
          <w:color w:val="auto"/>
          <w:sz w:val="24"/>
          <w:szCs w:val="24"/>
          <w:highlight w:val="none"/>
          <w:shd w:val="clear" w:color="auto" w:fill="auto"/>
        </w:rPr>
      </w:pPr>
    </w:p>
    <w:p>
      <w:pPr>
        <w:ind w:firstLine="480" w:firstLineChars="200"/>
        <w:rPr>
          <w:rFonts w:hint="eastAsia" w:hAnsi="宋体" w:cs="宋体"/>
          <w:color w:val="auto"/>
          <w:sz w:val="24"/>
          <w:szCs w:val="24"/>
          <w:highlight w:val="none"/>
          <w:shd w:val="clear" w:color="auto" w:fill="auto"/>
        </w:rPr>
      </w:pPr>
    </w:p>
    <w:p>
      <w:pPr>
        <w:ind w:firstLine="480" w:firstLineChars="200"/>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30</w:t>
      </w:r>
      <w:r>
        <w:rPr>
          <w:rFonts w:hint="eastAsia" w:ascii="宋体" w:hAnsi="宋体" w:cs="宋体"/>
          <w:color w:val="auto"/>
          <w:sz w:val="24"/>
          <w:szCs w:val="24"/>
          <w:highlight w:val="none"/>
          <w:shd w:val="clear" w:color="auto" w:fill="auto"/>
        </w:rPr>
        <w:t>分）</w:t>
      </w:r>
    </w:p>
    <w:p>
      <w:pPr>
        <w:adjustRightInd w:val="0"/>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b/>
          <w:color w:val="auto"/>
          <w:sz w:val="24"/>
          <w:szCs w:val="24"/>
          <w:highlight w:val="none"/>
          <w:shd w:val="clear" w:color="auto" w:fill="auto"/>
        </w:rPr>
        <w:t>本次项目最高限价：</w:t>
      </w:r>
      <w:r>
        <w:rPr>
          <w:rFonts w:hint="eastAsia" w:ascii="宋体" w:hAnsi="宋体" w:cs="宋体"/>
          <w:b/>
          <w:color w:val="auto"/>
          <w:sz w:val="24"/>
          <w:szCs w:val="24"/>
          <w:highlight w:val="none"/>
          <w:u w:val="single"/>
          <w:shd w:val="clear" w:color="auto" w:fill="auto"/>
          <w:lang w:val="en-US" w:eastAsia="zh-CN"/>
        </w:rPr>
        <w:t>48万元</w:t>
      </w:r>
      <w:r>
        <w:rPr>
          <w:rFonts w:hint="eastAsia" w:ascii="宋体" w:hAnsi="宋体" w:cs="宋体"/>
          <w:b/>
          <w:color w:val="auto"/>
          <w:sz w:val="24"/>
          <w:szCs w:val="24"/>
          <w:highlight w:val="none"/>
          <w:shd w:val="clear" w:color="auto" w:fill="auto"/>
        </w:rPr>
        <w:t>，超过限价作无效响应处理</w:t>
      </w:r>
      <w:r>
        <w:rPr>
          <w:rFonts w:hint="eastAsia" w:ascii="宋体" w:hAnsi="宋体" w:cs="宋体"/>
          <w:color w:val="auto"/>
          <w:sz w:val="24"/>
          <w:szCs w:val="24"/>
          <w:highlight w:val="none"/>
          <w:shd w:val="clear" w:color="auto" w:fill="auto"/>
        </w:rPr>
        <w:t>。</w:t>
      </w:r>
    </w:p>
    <w:p>
      <w:pPr>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2.满足磋商文件要求且最后报价最低的供应商的价格为磋商基准价，其</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分为满分。其他供应商的</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分统一按照下列公式计算：</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lang w:eastAsia="zh-CN"/>
        </w:rPr>
        <w:t>报价</w:t>
      </w:r>
      <w:r>
        <w:rPr>
          <w:rFonts w:hint="eastAsia" w:hAnsi="宋体" w:cs="宋体"/>
          <w:b/>
          <w:color w:val="auto"/>
          <w:sz w:val="24"/>
          <w:szCs w:val="24"/>
          <w:highlight w:val="none"/>
          <w:shd w:val="clear" w:color="auto" w:fill="auto"/>
        </w:rPr>
        <w:t>分 =（磋商基准价/最后磋商报价）×</w:t>
      </w:r>
      <w:r>
        <w:rPr>
          <w:rFonts w:hint="eastAsia" w:hAnsi="宋体" w:cs="宋体"/>
          <w:b/>
          <w:color w:val="auto"/>
          <w:sz w:val="24"/>
          <w:szCs w:val="24"/>
          <w:highlight w:val="none"/>
          <w:shd w:val="clear" w:color="auto" w:fill="auto"/>
          <w:lang w:val="en-US" w:eastAsia="zh-CN"/>
        </w:rPr>
        <w:t>30</w:t>
      </w:r>
      <w:r>
        <w:rPr>
          <w:rFonts w:hint="eastAsia" w:hAnsi="宋体" w:cs="宋体"/>
          <w:b/>
          <w:color w:val="auto"/>
          <w:sz w:val="24"/>
          <w:szCs w:val="24"/>
          <w:highlight w:val="none"/>
          <w:shd w:val="clear" w:color="auto" w:fill="auto"/>
        </w:rPr>
        <w:t>%×100</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六、出现下列情形之一的，作无效响应处理</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1.响应文件未按规定要求密封、签署、盖章及主要资料不齐全的；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2.响应文件的资料有虚报或者谎报的；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3.响应文件中资格审查文件及</w:t>
      </w:r>
      <w:r>
        <w:rPr>
          <w:rFonts w:hint="eastAsia" w:hAnsi="宋体" w:eastAsia="宋体" w:cs="宋体"/>
          <w:color w:val="auto"/>
          <w:sz w:val="24"/>
          <w:szCs w:val="24"/>
          <w:highlight w:val="none"/>
          <w:shd w:val="clear" w:color="auto" w:fill="auto"/>
          <w:lang w:val="en-US" w:eastAsia="zh-CN"/>
        </w:rPr>
        <w:t>商务</w:t>
      </w:r>
      <w:r>
        <w:rPr>
          <w:rFonts w:hint="eastAsia" w:hAnsi="宋体" w:eastAsia="宋体" w:cs="宋体"/>
          <w:color w:val="auto"/>
          <w:sz w:val="24"/>
          <w:szCs w:val="24"/>
          <w:highlight w:val="none"/>
          <w:shd w:val="clear" w:color="auto" w:fill="auto"/>
        </w:rPr>
        <w:t>技术响应文件出现磋商报价的内容；</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4.不具备磋商文件规定的资格要求的；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5.响应文件有重大漏项或重大不合理的；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6.项目技术、方案不满足</w:t>
      </w:r>
      <w:r>
        <w:rPr>
          <w:rFonts w:hint="eastAsia" w:hAnsi="宋体" w:eastAsia="宋体" w:cs="宋体"/>
          <w:color w:val="auto"/>
          <w:sz w:val="24"/>
          <w:szCs w:val="24"/>
          <w:highlight w:val="none"/>
          <w:shd w:val="clear" w:color="auto" w:fill="auto"/>
          <w:lang w:val="en-US" w:eastAsia="zh-CN"/>
        </w:rPr>
        <w:t>项目需求</w:t>
      </w:r>
      <w:r>
        <w:rPr>
          <w:rFonts w:hint="eastAsia" w:hAnsi="宋体" w:eastAsia="宋体" w:cs="宋体"/>
          <w:color w:val="auto"/>
          <w:sz w:val="24"/>
          <w:szCs w:val="24"/>
          <w:highlight w:val="none"/>
          <w:shd w:val="clear" w:color="auto" w:fill="auto"/>
        </w:rPr>
        <w:t>中的要求，有重大偏离或保留的；</w:t>
      </w:r>
    </w:p>
    <w:p>
      <w:pPr>
        <w:snapToGrid w:val="0"/>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eastAsia="宋体" w:cs="宋体"/>
          <w:color w:val="auto"/>
          <w:sz w:val="24"/>
          <w:szCs w:val="24"/>
          <w:highlight w:val="none"/>
          <w:shd w:val="clear" w:color="auto" w:fill="auto"/>
          <w:lang w:val="en-US" w:eastAsia="zh-CN"/>
        </w:rPr>
        <w:t>7.</w:t>
      </w:r>
      <w:r>
        <w:rPr>
          <w:rFonts w:hint="eastAsia" w:hAnsi="宋体" w:eastAsia="宋体" w:cs="宋体"/>
          <w:color w:val="auto"/>
          <w:sz w:val="24"/>
          <w:szCs w:val="24"/>
          <w:highlight w:val="none"/>
          <w:shd w:val="clear" w:color="auto" w:fill="auto"/>
          <w:lang w:eastAsia="zh-CN"/>
        </w:rPr>
        <w:t>供应商的商务技术部分得分相差悬殊，</w:t>
      </w:r>
      <w:r>
        <w:rPr>
          <w:rFonts w:hint="eastAsia" w:hAnsi="宋体" w:eastAsia="宋体" w:cs="宋体"/>
          <w:color w:val="auto"/>
          <w:sz w:val="24"/>
          <w:szCs w:val="24"/>
          <w:highlight w:val="none"/>
          <w:shd w:val="clear" w:color="auto" w:fill="auto"/>
          <w:lang w:val="en-US" w:eastAsia="zh-CN"/>
        </w:rPr>
        <w:t>磋商小组</w:t>
      </w:r>
      <w:r>
        <w:rPr>
          <w:rFonts w:hint="eastAsia" w:hAnsi="宋体" w:eastAsia="宋体" w:cs="宋体"/>
          <w:color w:val="auto"/>
          <w:sz w:val="24"/>
          <w:szCs w:val="24"/>
          <w:highlight w:val="none"/>
          <w:shd w:val="clear" w:color="auto" w:fill="auto"/>
          <w:lang w:eastAsia="zh-CN"/>
        </w:rPr>
        <w:t>一致认为得分畸低者没有实质性响应的。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8</w:t>
      </w:r>
      <w:r>
        <w:rPr>
          <w:rFonts w:hint="eastAsia" w:hAnsi="宋体" w:eastAsia="宋体" w:cs="宋体"/>
          <w:color w:val="auto"/>
          <w:sz w:val="24"/>
          <w:szCs w:val="24"/>
          <w:highlight w:val="none"/>
          <w:shd w:val="clear" w:color="auto" w:fill="auto"/>
        </w:rPr>
        <w:t>.磋商响应报价超出项目预算的；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9</w:t>
      </w:r>
      <w:r>
        <w:rPr>
          <w:rFonts w:hint="eastAsia" w:hAnsi="宋体" w:eastAsia="宋体" w:cs="宋体"/>
          <w:color w:val="auto"/>
          <w:sz w:val="24"/>
          <w:szCs w:val="24"/>
          <w:highlight w:val="none"/>
          <w:shd w:val="clear" w:color="auto" w:fill="auto"/>
        </w:rPr>
        <w:t>.被认定为低于成本报价磋商竞标的；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10</w:t>
      </w:r>
      <w:r>
        <w:rPr>
          <w:rFonts w:hint="eastAsia" w:hAnsi="宋体" w:eastAsia="宋体" w:cs="宋体"/>
          <w:color w:val="auto"/>
          <w:sz w:val="24"/>
          <w:szCs w:val="24"/>
          <w:highlight w:val="none"/>
          <w:shd w:val="clear" w:color="auto" w:fill="auto"/>
        </w:rPr>
        <w:t>.供应商的磋商报价高于自己前一轮的；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11</w:t>
      </w:r>
      <w:r>
        <w:rPr>
          <w:rFonts w:hint="eastAsia" w:hAnsi="宋体" w:eastAsia="宋体" w:cs="宋体"/>
          <w:color w:val="auto"/>
          <w:sz w:val="24"/>
          <w:szCs w:val="24"/>
          <w:highlight w:val="none"/>
          <w:shd w:val="clear" w:color="auto" w:fill="auto"/>
        </w:rPr>
        <w:t>.不符合法律、法规和磋商文件中规定的其他实质性响应要求的；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.磋商小组依据法律法规可以认定为无效响应的其他情况。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七、出现下列情形之一的，作废标处理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1.供应商的报价均超出了采购预算，采购人不能支付的；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2.因情况变化，不再符合规定的竞争性磋商采购方式所适用情形的；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3.出现影响采购公正的违法、违规行为的；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4.因重大变故，采购任务取消的；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5.磋商小组依据法律法规可以认定为废标的其他情况。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八、成交通知</w:t>
      </w:r>
    </w:p>
    <w:p>
      <w:pPr>
        <w:spacing w:line="480" w:lineRule="exact"/>
        <w:ind w:firstLine="484" w:firstLineChars="202"/>
        <w:rPr>
          <w:rFonts w:hAnsi="宋体" w:cs="宋体"/>
          <w:color w:val="auto"/>
          <w:kern w:val="0"/>
          <w:sz w:val="24"/>
          <w:szCs w:val="24"/>
          <w:highlight w:val="none"/>
          <w:shd w:val="clear" w:color="auto" w:fill="auto"/>
        </w:rPr>
      </w:pPr>
      <w:r>
        <w:rPr>
          <w:rFonts w:hint="eastAsia" w:hAnsi="宋体" w:cs="宋体"/>
          <w:color w:val="auto"/>
          <w:kern w:val="0"/>
          <w:sz w:val="24"/>
          <w:szCs w:val="24"/>
          <w:highlight w:val="none"/>
          <w:shd w:val="clear" w:color="auto" w:fill="auto"/>
        </w:rPr>
        <w:t>成交结果在</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kern w:val="0"/>
          <w:sz w:val="24"/>
          <w:szCs w:val="24"/>
          <w:highlight w:val="none"/>
          <w:shd w:val="clear" w:color="auto" w:fill="auto"/>
        </w:rPr>
        <w:t>公示1个工作日。《成交通知书》一经发出，采购人改变成交结果，或者成交供应商放弃成交的，各自承担相应的法律责任。《成交通知书》是采购合同的组成部分。</w:t>
      </w:r>
    </w:p>
    <w:p>
      <w:pPr>
        <w:pStyle w:val="12"/>
        <w:tabs>
          <w:tab w:val="left" w:pos="1050"/>
          <w:tab w:val="right" w:leader="dot" w:pos="9402"/>
        </w:tabs>
        <w:spacing w:line="520" w:lineRule="exact"/>
        <w:ind w:left="0" w:leftChars="0"/>
        <w:jc w:val="center"/>
        <w:outlineLvl w:val="0"/>
        <w:rPr>
          <w:rFonts w:hAnsi="宋体" w:cs="宋体"/>
          <w:b/>
          <w:iCs/>
          <w:color w:val="auto"/>
          <w:w w:val="80"/>
          <w:sz w:val="44"/>
          <w:szCs w:val="44"/>
          <w:highlight w:val="none"/>
          <w:shd w:val="clear" w:color="auto" w:fill="auto"/>
        </w:rPr>
      </w:pPr>
      <w:r>
        <w:rPr>
          <w:rFonts w:hint="eastAsia" w:hAnsi="宋体"/>
          <w:b/>
          <w:color w:val="auto"/>
          <w:w w:val="80"/>
          <w:kern w:val="44"/>
          <w:sz w:val="44"/>
          <w:szCs w:val="44"/>
          <w:highlight w:val="none"/>
          <w:shd w:val="clear" w:color="auto" w:fill="auto"/>
        </w:rPr>
        <w:br w:type="page"/>
      </w:r>
      <w:r>
        <w:rPr>
          <w:rFonts w:hint="eastAsia" w:hAnsi="宋体" w:cs="宋体"/>
          <w:b/>
          <w:iCs/>
          <w:color w:val="auto"/>
          <w:w w:val="80"/>
          <w:sz w:val="44"/>
          <w:szCs w:val="44"/>
          <w:highlight w:val="none"/>
          <w:shd w:val="clear" w:color="auto" w:fill="auto"/>
        </w:rPr>
        <w:t>第五章   合同授予</w:t>
      </w:r>
    </w:p>
    <w:p>
      <w:pPr>
        <w:spacing w:line="520" w:lineRule="exact"/>
        <w:ind w:firstLine="484" w:firstLineChars="202"/>
        <w:rPr>
          <w:rFonts w:hAnsi="宋体" w:cs="宋体"/>
          <w:color w:val="auto"/>
          <w:kern w:val="0"/>
          <w:sz w:val="28"/>
          <w:szCs w:val="28"/>
          <w:highlight w:val="none"/>
          <w:shd w:val="clear" w:color="auto" w:fill="auto"/>
        </w:rPr>
      </w:pPr>
      <w:r>
        <w:rPr>
          <w:rFonts w:hint="eastAsia" w:hAnsi="宋体" w:cs="宋体"/>
          <w:color w:val="auto"/>
          <w:sz w:val="24"/>
          <w:szCs w:val="24"/>
          <w:highlight w:val="none"/>
          <w:shd w:val="clear" w:color="auto" w:fill="auto"/>
        </w:rPr>
        <w:t>一、</w:t>
      </w:r>
      <w:r>
        <w:rPr>
          <w:rFonts w:hint="eastAsia" w:hAnsi="宋体" w:cs="宋体"/>
          <w:color w:val="auto"/>
          <w:kern w:val="0"/>
          <w:sz w:val="24"/>
          <w:szCs w:val="24"/>
          <w:highlight w:val="none"/>
          <w:shd w:val="clear" w:color="auto" w:fill="auto"/>
        </w:rPr>
        <w:t>成交供应商在《成交通知书》发出</w:t>
      </w:r>
      <w:r>
        <w:rPr>
          <w:rFonts w:hint="eastAsia" w:hAnsi="宋体" w:cs="宋体"/>
          <w:color w:val="auto"/>
          <w:sz w:val="24"/>
          <w:szCs w:val="24"/>
          <w:highlight w:val="none"/>
          <w:shd w:val="clear" w:color="auto" w:fill="auto"/>
        </w:rPr>
        <w:t>30天内</w:t>
      </w:r>
      <w:r>
        <w:rPr>
          <w:rFonts w:hint="eastAsia" w:hAnsi="宋体" w:cs="宋体"/>
          <w:color w:val="auto"/>
          <w:kern w:val="0"/>
          <w:sz w:val="24"/>
          <w:szCs w:val="24"/>
          <w:highlight w:val="none"/>
          <w:shd w:val="clear" w:color="auto" w:fill="auto"/>
        </w:rPr>
        <w:t xml:space="preserve">须按照磋商文件确定的事项签订采购合同。合同一式六份，采购人四份、供应商两份。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二、采购人按合同约定积极配合成交供应商履约，成交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成交供应商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五、不响应付款方式的，视同响应文件无效，按无效响应文件处理。</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六、付款方式详见磋商文件第三章。</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七、以上项目款的支付不计息。</w:t>
      </w:r>
    </w:p>
    <w:p>
      <w:pPr>
        <w:snapToGrid w:val="0"/>
        <w:spacing w:line="520" w:lineRule="exact"/>
        <w:ind w:firstLine="573"/>
        <w:jc w:val="center"/>
        <w:rPr>
          <w:rFonts w:hAnsi="宋体" w:cs="宋体"/>
          <w:color w:val="auto"/>
          <w:kern w:val="0"/>
          <w:sz w:val="28"/>
          <w:szCs w:val="28"/>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color w:val="auto"/>
          <w:sz w:val="28"/>
          <w:szCs w:val="28"/>
          <w:highlight w:val="none"/>
          <w:shd w:val="clear" w:color="auto" w:fill="auto"/>
        </w:rPr>
      </w:pPr>
      <w:r>
        <w:rPr>
          <w:rFonts w:hAnsi="宋体"/>
          <w:b/>
          <w:color w:val="auto"/>
          <w:w w:val="80"/>
          <w:kern w:val="44"/>
          <w:sz w:val="44"/>
          <w:szCs w:val="44"/>
          <w:highlight w:val="none"/>
          <w:shd w:val="clear" w:color="auto" w:fill="auto"/>
        </w:rPr>
        <w:br w:type="page"/>
      </w:r>
      <w:r>
        <w:rPr>
          <w:rFonts w:hAnsi="宋体"/>
          <w:b/>
          <w:color w:val="auto"/>
          <w:w w:val="80"/>
          <w:kern w:val="44"/>
          <w:sz w:val="44"/>
          <w:szCs w:val="44"/>
          <w:highlight w:val="none"/>
          <w:shd w:val="clear" w:color="auto" w:fill="auto"/>
        </w:rPr>
        <w:t>第</w:t>
      </w:r>
      <w:r>
        <w:rPr>
          <w:rFonts w:hint="eastAsia" w:hAnsi="宋体"/>
          <w:b/>
          <w:color w:val="auto"/>
          <w:w w:val="80"/>
          <w:kern w:val="44"/>
          <w:sz w:val="44"/>
          <w:szCs w:val="44"/>
          <w:highlight w:val="none"/>
          <w:shd w:val="clear" w:color="auto" w:fill="auto"/>
        </w:rPr>
        <w:t>六</w:t>
      </w:r>
      <w:r>
        <w:rPr>
          <w:rFonts w:hAnsi="宋体"/>
          <w:b/>
          <w:color w:val="auto"/>
          <w:w w:val="80"/>
          <w:kern w:val="44"/>
          <w:sz w:val="44"/>
          <w:szCs w:val="44"/>
          <w:highlight w:val="none"/>
          <w:shd w:val="clear" w:color="auto" w:fill="auto"/>
        </w:rPr>
        <w:t xml:space="preserve">章 </w:t>
      </w:r>
      <w:r>
        <w:rPr>
          <w:rFonts w:hint="eastAsia" w:hAnsi="宋体"/>
          <w:b/>
          <w:color w:val="auto"/>
          <w:w w:val="80"/>
          <w:kern w:val="44"/>
          <w:sz w:val="44"/>
          <w:szCs w:val="44"/>
          <w:highlight w:val="none"/>
          <w:shd w:val="clear" w:color="auto" w:fill="auto"/>
        </w:rPr>
        <w:t xml:space="preserve"> 质疑提出和处理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一、质疑的提出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1.质疑人必须是直接参加本次磋商活动的当事人。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2.获取磋商文件的供应商应根据第二章“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  </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提出质疑时，必须坚持“谁主张，谁举证”“实事求是”的原则，不能臆测。属于须由法定部门调查、侦查或先行作出相关认定的事项，质疑人应当依法申请具有法定职权的部门查清、认定，并将相关结果提供给采购人或采购代理机构。采购人或采购代理机构不具有法定调查、认定权限。</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对不能提供相关佐证材料的、涉及商业秘密的、非书面形式的、非送达的、匿名的《质疑函》将不予受理。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相关佐证材料要具备客观性、关联性、合法性，无法查实的（如宣传册、媒体报道、猜测、推理等）不能作为佐证材料。</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采购人或采购代理机构不负责搜集相关佐证材料等工作。</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二、《质疑函》的受理和回复</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1.《质疑函》须由质疑人的法定代表人或参加本次磋商被授权人送达采购人和采购代理机构。</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对符合提出质疑要求的，采购人、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4.采购人、采购代理机构负责将质疑人提出的质疑相关材料提供给相关专家或评审小组审核，并将审核意见回复质疑人。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5.因质疑情况复杂，组织论证或审查时间较长的，采购人、采购代理机构以书面形式通知质疑人，可适当延长质疑回复处理时间。</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三、质疑处理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1.质疑成立的处理。采购人或采购代理机构终止采购，并建议有关部门给相关当事人予以处理。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2.质疑不成立的处理。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1）质疑人书面《申请撤回质疑函》的，不作违约处理。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2）质疑人在规定的时间内不配合进行质疑调查处理的，按自动撤回《质疑函》处理。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3）质疑人不按《质疑函》格式就提出质疑的，作违约处理。同时，视情列入不良供应商名单。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4）质疑人虽提供了相关佐证材料，但不能证明其质疑成立的，采购人或采购代理机构请质疑人补充相关佐证材料，仍不能证明其质疑成立的，作违约处理。并将其列入不良供应商名单。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5）质疑人不能提供相关佐证材料的，采购人、采购代理机构已指出，质疑人仍然坚持提出质疑的，作违约处理。同时，列入不良供应商名单。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明显有违事实的、经相关专家或评审小组认定无依据的、经其他供应商举证无依据的质疑，作违约处理，列入不良供应商名单；同时，对其中每一项不成立的质疑给予质疑人1年内禁入本区域内的采购活动的违约处理，依次类推；视情在相关媒体予以披露。</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7）质疑人承担使用虚假材料或恶意方式质疑的法律责任。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五、投诉不成立的作违约处理。供应商进行质疑后，采购人回复质疑不成立，供应商仍进行投诉的，并最终投诉不成立的，作违约处理。采购人有权对其在1至3</w:t>
      </w:r>
      <w:bookmarkStart w:id="7" w:name="_GoBack"/>
      <w:r>
        <w:rPr>
          <w:rFonts w:hint="eastAsia" w:hAnsi="宋体" w:cs="宋体"/>
          <w:color w:val="auto"/>
          <w:sz w:val="24"/>
          <w:szCs w:val="24"/>
          <w:highlight w:val="none"/>
          <w:shd w:val="clear" w:color="auto" w:fill="auto"/>
        </w:rPr>
        <w:t>年</w:t>
      </w:r>
      <w:bookmarkEnd w:id="7"/>
      <w:r>
        <w:rPr>
          <w:rFonts w:hint="eastAsia" w:hAnsi="宋体" w:cs="宋体"/>
          <w:color w:val="auto"/>
          <w:sz w:val="24"/>
          <w:szCs w:val="24"/>
          <w:highlight w:val="none"/>
          <w:shd w:val="clear" w:color="auto" w:fill="auto"/>
        </w:rPr>
        <w:t>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六、《质疑函》《质疑回复函》，质疑、举报、投诉不成立的等相关情况，视情在相关媒体予以披露。并建议相关机构对该供应商同步实施1至3年内禁入。</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七、质疑供应商对采购人或代理机构的答复不满意或者采购人或代理机构未在规定的时间内作出答复的，可以在答复期满后15个工作日内向监督管理部门投诉。</w:t>
      </w:r>
    </w:p>
    <w:p>
      <w:pPr>
        <w:spacing w:line="500" w:lineRule="exact"/>
        <w:ind w:firstLine="480" w:firstLineChars="200"/>
        <w:rPr>
          <w:rFonts w:hAnsi="宋体"/>
          <w:bCs/>
          <w:color w:val="auto"/>
          <w:sz w:val="24"/>
          <w:szCs w:val="24"/>
          <w:highlight w:val="none"/>
          <w:shd w:val="clear" w:color="auto" w:fill="auto"/>
        </w:rPr>
      </w:pPr>
    </w:p>
    <w:p>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shd w:val="clear" w:color="auto" w:fill="auto"/>
        </w:rPr>
      </w:pPr>
      <w:r>
        <w:rPr>
          <w:rFonts w:ascii="宋体" w:hAnsi="宋体" w:eastAsia="宋体"/>
          <w:color w:val="auto"/>
          <w:w w:val="80"/>
          <w:szCs w:val="44"/>
          <w:highlight w:val="none"/>
          <w:shd w:val="clear" w:color="auto" w:fill="auto"/>
        </w:rPr>
        <w:br w:type="page"/>
      </w:r>
      <w:r>
        <w:rPr>
          <w:rFonts w:hint="eastAsia" w:ascii="宋体" w:hAnsi="宋体" w:eastAsia="宋体"/>
          <w:color w:val="auto"/>
          <w:w w:val="80"/>
          <w:szCs w:val="44"/>
          <w:highlight w:val="none"/>
          <w:shd w:val="clear" w:color="auto" w:fill="auto"/>
        </w:rPr>
        <w:t>第七章  响应文件组成及格式</w:t>
      </w:r>
    </w:p>
    <w:p>
      <w:pPr>
        <w:adjustRightInd w:val="0"/>
        <w:snapToGrid w:val="0"/>
        <w:spacing w:line="480" w:lineRule="exact"/>
        <w:ind w:firstLine="487" w:firstLineChars="202"/>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响应文件由资格审查文件、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技术响应文件、</w:t>
      </w:r>
      <w:r>
        <w:rPr>
          <w:rFonts w:hint="eastAsia" w:hAnsi="宋体" w:cs="宋体"/>
          <w:b/>
          <w:bCs/>
          <w:color w:val="auto"/>
          <w:sz w:val="24"/>
          <w:szCs w:val="24"/>
          <w:highlight w:val="none"/>
          <w:shd w:val="clear" w:color="auto" w:fill="auto"/>
          <w:lang w:eastAsia="zh-CN"/>
        </w:rPr>
        <w:t>报价响应文件</w:t>
      </w:r>
      <w:r>
        <w:rPr>
          <w:rFonts w:hint="eastAsia" w:ascii="宋体" w:hAnsi="宋体" w:cs="宋体"/>
          <w:b/>
          <w:bCs/>
          <w:color w:val="auto"/>
          <w:sz w:val="24"/>
          <w:szCs w:val="24"/>
          <w:highlight w:val="none"/>
          <w:shd w:val="clear" w:color="auto" w:fill="auto"/>
        </w:rPr>
        <w:t>、响应文件电子版四部分组成</w:t>
      </w:r>
      <w:r>
        <w:rPr>
          <w:rFonts w:hint="eastAsia" w:hAnsi="宋体" w:cs="宋体"/>
          <w:b/>
          <w:bCs/>
          <w:color w:val="auto"/>
          <w:sz w:val="24"/>
          <w:szCs w:val="24"/>
          <w:highlight w:val="none"/>
          <w:shd w:val="clear" w:color="auto" w:fill="auto"/>
        </w:rPr>
        <w:t xml:space="preserve">。本次竞争性磋商采用资格后审方式，供应商须将资格审查文件作为响应文件组成部分，按磋商文件要求装订密封后一起递交。 </w:t>
      </w:r>
    </w:p>
    <w:p>
      <w:pPr>
        <w:adjustRightInd w:val="0"/>
        <w:snapToGrid w:val="0"/>
        <w:spacing w:line="480" w:lineRule="exact"/>
        <w:ind w:firstLine="487" w:firstLineChars="202"/>
        <w:jc w:val="lef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一、资格审查文件（单独密封）：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2.供应商提供有效的营业执照等具有独立承担民事责任能力的证明材料复印件。</w:t>
      </w:r>
    </w:p>
    <w:p>
      <w:pPr>
        <w:spacing w:line="480" w:lineRule="exact"/>
        <w:ind w:firstLine="480" w:firstLineChars="200"/>
        <w:rPr>
          <w:rFonts w:hint="eastAsia" w:hAnsi="宋体"/>
          <w:color w:val="auto"/>
          <w:sz w:val="24"/>
          <w:szCs w:val="24"/>
          <w:highlight w:val="none"/>
          <w:shd w:val="clear" w:color="auto" w:fill="auto"/>
        </w:rPr>
      </w:pPr>
      <w:r>
        <w:rPr>
          <w:rFonts w:hint="eastAsia" w:hAnsi="宋体"/>
          <w:color w:val="auto"/>
          <w:sz w:val="24"/>
          <w:szCs w:val="24"/>
          <w:highlight w:val="none"/>
          <w:shd w:val="clear" w:color="auto" w:fill="auto"/>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4.</w:t>
      </w:r>
      <w:r>
        <w:rPr>
          <w:rFonts w:hint="eastAsia" w:hAnsi="宋体"/>
          <w:color w:val="auto"/>
          <w:sz w:val="24"/>
          <w:szCs w:val="24"/>
          <w:highlight w:val="none"/>
          <w:shd w:val="clear" w:color="auto" w:fill="auto"/>
        </w:rPr>
        <w:t>供应商须提供参与本次项目采购活动前三年内，在经营活动中没有重大违法记录的书面《无重大违法记录声明函》（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5</w:t>
      </w:r>
      <w:r>
        <w:rPr>
          <w:rFonts w:hint="eastAsia" w:hAnsi="宋体"/>
          <w:color w:val="auto"/>
          <w:sz w:val="24"/>
          <w:szCs w:val="24"/>
          <w:highlight w:val="none"/>
          <w:shd w:val="clear" w:color="auto" w:fill="auto"/>
        </w:rPr>
        <w:t>.关于资格文件的声明函（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adjustRightInd w:val="0"/>
        <w:snapToGrid w:val="0"/>
        <w:spacing w:line="400" w:lineRule="exact"/>
        <w:ind w:firstLine="482" w:firstLineChars="200"/>
        <w:jc w:val="lef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以上材料如为复印件均需加盖供应商公章。</w:t>
      </w:r>
    </w:p>
    <w:p>
      <w:pPr>
        <w:spacing w:line="480" w:lineRule="exact"/>
        <w:ind w:firstLine="482" w:firstLineChars="200"/>
        <w:rPr>
          <w:rFonts w:hAnsi="宋体"/>
          <w:b/>
          <w:bCs/>
          <w:color w:val="auto"/>
          <w:sz w:val="24"/>
          <w:szCs w:val="24"/>
          <w:highlight w:val="none"/>
          <w:shd w:val="clear" w:color="auto" w:fill="auto"/>
        </w:rPr>
      </w:pPr>
      <w:r>
        <w:rPr>
          <w:rFonts w:hint="eastAsia" w:hAnsi="宋体"/>
          <w:b/>
          <w:bCs/>
          <w:color w:val="auto"/>
          <w:sz w:val="24"/>
          <w:szCs w:val="24"/>
          <w:highlight w:val="none"/>
          <w:shd w:val="clear" w:color="auto" w:fill="auto"/>
        </w:rPr>
        <w:t>二、</w:t>
      </w:r>
      <w:r>
        <w:rPr>
          <w:rFonts w:hint="eastAsia" w:hAnsi="宋体"/>
          <w:b/>
          <w:bCs/>
          <w:color w:val="auto"/>
          <w:sz w:val="24"/>
          <w:szCs w:val="24"/>
          <w:highlight w:val="none"/>
          <w:shd w:val="clear" w:color="auto" w:fill="auto"/>
          <w:lang w:val="en-US" w:eastAsia="zh-CN"/>
        </w:rPr>
        <w:t>商务</w:t>
      </w:r>
      <w:r>
        <w:rPr>
          <w:rFonts w:hint="eastAsia" w:hAnsi="宋体"/>
          <w:b/>
          <w:bCs/>
          <w:color w:val="auto"/>
          <w:sz w:val="24"/>
          <w:szCs w:val="24"/>
          <w:highlight w:val="none"/>
          <w:shd w:val="clear" w:color="auto" w:fill="auto"/>
        </w:rPr>
        <w:t>技术响应文件（单独密封）：</w:t>
      </w:r>
    </w:p>
    <w:p>
      <w:pPr>
        <w:adjustRightInd w:val="0"/>
        <w:snapToGrid w:val="0"/>
        <w:spacing w:line="480" w:lineRule="exact"/>
        <w:ind w:firstLine="484" w:firstLineChars="202"/>
        <w:jc w:val="left"/>
        <w:rPr>
          <w:rFonts w:hint="eastAsia" w:ascii="Times New Roman" w:hAnsi="宋体" w:eastAsia="宋体" w:cs="Times New Roman"/>
          <w:color w:val="auto"/>
          <w:sz w:val="24"/>
          <w:szCs w:val="24"/>
          <w:highlight w:val="none"/>
          <w:shd w:val="clear" w:color="auto" w:fill="auto"/>
          <w:lang w:eastAsia="zh-CN"/>
        </w:rPr>
      </w:pPr>
      <w:r>
        <w:rPr>
          <w:rFonts w:hint="eastAsia" w:ascii="Times New Roman" w:hAnsi="宋体" w:cs="Times New Roman"/>
          <w:color w:val="auto"/>
          <w:sz w:val="24"/>
          <w:szCs w:val="24"/>
          <w:highlight w:val="none"/>
          <w:shd w:val="clear" w:color="auto" w:fill="auto"/>
          <w:lang w:eastAsia="zh-CN"/>
        </w:rPr>
        <w:t>1.</w:t>
      </w:r>
      <w:r>
        <w:rPr>
          <w:rStyle w:val="28"/>
          <w:rFonts w:hint="eastAsia" w:ascii="宋体" w:hAnsi="宋体" w:eastAsia="宋体" w:cs="宋体"/>
          <w:color w:val="auto"/>
          <w:sz w:val="24"/>
          <w:szCs w:val="21"/>
          <w:highlight w:val="none"/>
          <w:lang w:val="en-US" w:eastAsia="zh-CN"/>
        </w:rPr>
        <w:t>商务</w:t>
      </w:r>
      <w:r>
        <w:rPr>
          <w:rStyle w:val="28"/>
          <w:rFonts w:hint="eastAsia" w:ascii="宋体" w:hAnsi="宋体" w:eastAsia="宋体" w:cs="宋体"/>
          <w:color w:val="auto"/>
          <w:sz w:val="24"/>
          <w:szCs w:val="21"/>
          <w:highlight w:val="none"/>
        </w:rPr>
        <w:t>技术条款响应一览表（格式参见</w:t>
      </w:r>
      <w:r>
        <w:rPr>
          <w:rFonts w:hint="eastAsia" w:hAnsi="宋体" w:cs="宋体"/>
          <w:color w:val="auto"/>
          <w:sz w:val="24"/>
          <w:szCs w:val="24"/>
          <w:highlight w:val="none"/>
          <w:shd w:val="clear" w:color="auto" w:fill="auto"/>
          <w:lang w:eastAsia="zh-CN"/>
        </w:rPr>
        <w:t>附件</w:t>
      </w:r>
      <w:r>
        <w:rPr>
          <w:rStyle w:val="28"/>
          <w:rFonts w:hint="eastAsia" w:ascii="宋体" w:hAnsi="宋体" w:eastAsia="宋体" w:cs="宋体"/>
          <w:color w:val="auto"/>
          <w:sz w:val="24"/>
          <w:szCs w:val="21"/>
          <w:highlight w:val="none"/>
        </w:rPr>
        <w:t>）</w:t>
      </w:r>
      <w:r>
        <w:rPr>
          <w:rStyle w:val="28"/>
          <w:rFonts w:hint="eastAsia" w:ascii="宋体" w:hAnsi="宋体" w:eastAsia="宋体" w:cs="宋体"/>
          <w:color w:val="auto"/>
          <w:sz w:val="24"/>
          <w:szCs w:val="21"/>
          <w:highlight w:val="none"/>
          <w:lang w:eastAsia="zh-CN"/>
        </w:rPr>
        <w:t>；</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hAnsi="宋体" w:cs="Times New Roman"/>
          <w:color w:val="auto"/>
          <w:sz w:val="24"/>
          <w:szCs w:val="24"/>
          <w:highlight w:val="none"/>
          <w:shd w:val="clear" w:color="auto" w:fill="auto"/>
          <w:lang w:val="en-US" w:eastAsia="zh-CN"/>
        </w:rPr>
        <w:t>2.</w:t>
      </w:r>
      <w:r>
        <w:rPr>
          <w:rFonts w:hint="eastAsia" w:hAnsi="宋体" w:cs="宋体"/>
          <w:bCs/>
          <w:color w:val="auto"/>
          <w:sz w:val="24"/>
          <w:szCs w:val="24"/>
          <w:highlight w:val="none"/>
          <w:shd w:val="clear" w:color="auto" w:fill="auto"/>
        </w:rPr>
        <w:t>磋商文件中所涉及的事项需提供的所有资料；</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lang w:val="en-US" w:eastAsia="zh-CN"/>
        </w:rPr>
        <w:t>3</w:t>
      </w:r>
      <w:r>
        <w:rPr>
          <w:rFonts w:hint="eastAsia" w:hAnsi="宋体" w:cs="宋体"/>
          <w:bCs/>
          <w:color w:val="auto"/>
          <w:sz w:val="24"/>
          <w:szCs w:val="24"/>
          <w:highlight w:val="none"/>
          <w:shd w:val="clear" w:color="auto" w:fill="auto"/>
        </w:rPr>
        <w:t>.磋商文件中未涉及的事项，供应商认为需要提交的其他资料。</w:t>
      </w:r>
    </w:p>
    <w:p>
      <w:pPr>
        <w:adjustRightInd w:val="0"/>
        <w:snapToGrid w:val="0"/>
        <w:spacing w:line="40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特别提醒：“资格审查文件”“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 xml:space="preserve">技术响应文件”所须提供的材料按磋商文件要求装订，密封，递交。 </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三、</w:t>
      </w:r>
      <w:r>
        <w:rPr>
          <w:rFonts w:hint="eastAsia" w:hAnsi="宋体" w:cs="宋体"/>
          <w:b/>
          <w:bCs/>
          <w:color w:val="auto"/>
          <w:sz w:val="24"/>
          <w:szCs w:val="24"/>
          <w:highlight w:val="none"/>
          <w:shd w:val="clear" w:color="auto" w:fill="auto"/>
          <w:lang w:eastAsia="zh-CN"/>
        </w:rPr>
        <w:t>报价响应文件</w:t>
      </w:r>
      <w:r>
        <w:rPr>
          <w:rFonts w:hint="eastAsia" w:hAnsi="宋体" w:cs="宋体"/>
          <w:b/>
          <w:bCs/>
          <w:color w:val="auto"/>
          <w:sz w:val="24"/>
          <w:szCs w:val="24"/>
          <w:highlight w:val="none"/>
          <w:shd w:val="clear" w:color="auto" w:fill="auto"/>
        </w:rPr>
        <w:t>（单独密封）</w:t>
      </w:r>
    </w:p>
    <w:p>
      <w:pPr>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1.竞争性磋商响应函（</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p>
    <w:p>
      <w:pPr>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2.磋商响应报价表（</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lang w:eastAsia="zh-CN"/>
        </w:rPr>
        <w:t>。</w:t>
      </w:r>
    </w:p>
    <w:p>
      <w:pPr>
        <w:shd w:val="clear"/>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3.磋商响应报价明细表（</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rPr>
        <w:t>）。</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四、响应文件电子版（单独密封）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响应文件电子版需将资格审查文件、</w:t>
      </w:r>
      <w:r>
        <w:rPr>
          <w:rFonts w:hint="eastAsia" w:ascii="宋体" w:hAnsi="宋体" w:cs="宋体"/>
          <w:color w:val="auto"/>
          <w:sz w:val="24"/>
          <w:szCs w:val="24"/>
          <w:highlight w:val="none"/>
          <w:shd w:val="clear" w:color="auto" w:fill="auto"/>
          <w:lang w:val="en-US" w:eastAsia="zh-CN"/>
        </w:rPr>
        <w:t>商务</w:t>
      </w:r>
      <w:r>
        <w:rPr>
          <w:rFonts w:hint="eastAsia" w:hAnsi="宋体"/>
          <w:color w:val="auto"/>
          <w:sz w:val="24"/>
          <w:szCs w:val="24"/>
          <w:highlight w:val="none"/>
          <w:shd w:val="clear" w:color="auto" w:fill="auto"/>
        </w:rPr>
        <w:t>技术响应文件、</w:t>
      </w:r>
      <w:r>
        <w:rPr>
          <w:rFonts w:hint="eastAsia" w:hAnsi="宋体"/>
          <w:color w:val="auto"/>
          <w:sz w:val="24"/>
          <w:szCs w:val="24"/>
          <w:highlight w:val="none"/>
          <w:shd w:val="clear" w:color="auto" w:fill="auto"/>
          <w:lang w:eastAsia="zh-CN"/>
        </w:rPr>
        <w:t>报价响应文件</w:t>
      </w:r>
      <w:r>
        <w:rPr>
          <w:rFonts w:hint="eastAsia" w:hAnsi="宋体"/>
          <w:color w:val="auto"/>
          <w:sz w:val="24"/>
          <w:szCs w:val="24"/>
          <w:highlight w:val="none"/>
          <w:shd w:val="clear" w:color="auto" w:fill="auto"/>
        </w:rPr>
        <w:t>的正本盖章后扫描一份存于U盘中，单独密封递交。</w:t>
      </w:r>
      <w:r>
        <w:rPr>
          <w:rFonts w:hint="eastAsia" w:hAnsi="宋体"/>
          <w:color w:val="auto"/>
          <w:sz w:val="24"/>
          <w:szCs w:val="24"/>
          <w:highlight w:val="none"/>
          <w:shd w:val="clear" w:color="auto" w:fill="auto"/>
        </w:rPr>
        <w:br w:type="page"/>
      </w:r>
    </w:p>
    <w:p>
      <w:pPr>
        <w:widowControl/>
        <w:jc w:val="left"/>
        <w:rPr>
          <w:rFonts w:hAnsi="宋体"/>
          <w:b/>
          <w:bCs/>
          <w:color w:val="auto"/>
          <w:sz w:val="24"/>
          <w:szCs w:val="24"/>
          <w:highlight w:val="none"/>
          <w:shd w:val="clear" w:color="auto" w:fill="auto"/>
        </w:rPr>
      </w:pPr>
      <w:r>
        <w:rPr>
          <w:rFonts w:hint="eastAsia" w:hAnsi="宋体"/>
          <w:b/>
          <w:color w:val="auto"/>
          <w:sz w:val="24"/>
          <w:szCs w:val="24"/>
          <w:highlight w:val="none"/>
          <w:shd w:val="clear" w:color="auto" w:fill="auto"/>
        </w:rPr>
        <w:t>附件:</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1.法定代表人身份证明</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（法定代表人参加磋商，须出示此证明）</w:t>
      </w: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我公司法定代表人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参加贵单位组织的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（竞争性磋商项目名称)项目的磋商活动，全权代表我公司处理该磋商活动的有关事宜。</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附：法定代表人情况：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2280" w:firstLineChars="9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注:参加磋商活动时法定代表人将身份证原件准备好，参加开标。</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br w:type="page"/>
      </w:r>
      <w:r>
        <w:rPr>
          <w:rFonts w:hint="eastAsia" w:hAnsi="宋体" w:cs="宋体"/>
          <w:b/>
          <w:bCs/>
          <w:color w:val="auto"/>
          <w:sz w:val="24"/>
          <w:szCs w:val="24"/>
          <w:highlight w:val="none"/>
          <w:shd w:val="clear" w:color="auto" w:fill="auto"/>
        </w:rPr>
        <w:t>2.授权委托书</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（委托代理人参加磋商，须出示此证明）</w:t>
      </w:r>
    </w:p>
    <w:p>
      <w:pPr>
        <w:snapToGrid w:val="0"/>
        <w:spacing w:line="520" w:lineRule="exact"/>
        <w:rPr>
          <w:rFonts w:hAnsi="宋体" w:cs="宋体"/>
          <w:bCs/>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left="1"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被授权人的姓名）代表我公司参加</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（竞争性磋商项目名称)项目的磋商活动，全权处理一切与该项目磋商有关的事务。其在办理上述事宜过程中所签署的所有文件我公司均予以承认。</w:t>
      </w:r>
    </w:p>
    <w:p>
      <w:pPr>
        <w:snapToGrid w:val="0"/>
        <w:spacing w:line="520" w:lineRule="exact"/>
        <w:ind w:left="1"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被授权人无转委托权。特此委托。</w:t>
      </w:r>
    </w:p>
    <w:p>
      <w:pPr>
        <w:snapToGrid w:val="0"/>
        <w:spacing w:line="520" w:lineRule="exact"/>
        <w:ind w:left="1" w:firstLine="480" w:firstLineChars="200"/>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附：被授权人情况：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3960" w:firstLineChars="16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jc w:val="center"/>
        <w:rPr>
          <w:rFonts w:hAnsi="宋体" w:cs="宋体"/>
          <w:b/>
          <w:bCs/>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jc w:val="center"/>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注:参加磋商活动时被授权人将身份证原件准备好，参加开标。</w:t>
      </w:r>
    </w:p>
    <w:p>
      <w:pPr>
        <w:snapToGrid w:val="0"/>
        <w:spacing w:before="492" w:beforeLines="150" w:after="164" w:afterLines="50" w:line="4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8"/>
          <w:szCs w:val="28"/>
          <w:highlight w:val="none"/>
          <w:shd w:val="clear" w:color="auto" w:fill="auto"/>
        </w:rPr>
        <w:br w:type="page"/>
      </w:r>
      <w:r>
        <w:rPr>
          <w:rFonts w:hint="eastAsia" w:hAnsi="宋体" w:cs="宋体"/>
          <w:b/>
          <w:bCs/>
          <w:color w:val="auto"/>
          <w:sz w:val="28"/>
          <w:szCs w:val="28"/>
          <w:highlight w:val="none"/>
          <w:shd w:val="clear" w:color="auto" w:fill="auto"/>
        </w:rPr>
        <w:t>3.无重大违法记录声明</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我单位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（供应商名称）</w:t>
      </w:r>
      <w:r>
        <w:rPr>
          <w:rFonts w:hint="eastAsia" w:ascii="宋体" w:hAnsi="宋体" w:cs="宋体"/>
          <w:color w:val="auto"/>
          <w:sz w:val="24"/>
          <w:szCs w:val="24"/>
          <w:highlight w:val="none"/>
          <w:shd w:val="clear" w:color="auto" w:fill="auto"/>
        </w:rPr>
        <w:t>郑重声明：</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参加本次采购活动前3年内，我公司在经营活动中没有因违法经营受到刑事处罚或者责令停产停业、吊销许可证或者执照、较大数额罚款等行政处罚。</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在本项目投标截止时间前，没有被“信用中国”（www.creditchina.gov.cn）、“中国政府采购网”（www.ccgp.gov.cn）网站列入失信被执行人、重大税收违法案件当事人名单、政府采购严重违法失信行为记录名单。</w:t>
      </w:r>
    </w:p>
    <w:p>
      <w:pPr>
        <w:spacing w:line="360" w:lineRule="auto"/>
        <w:ind w:firstLine="480"/>
        <w:rPr>
          <w:rFonts w:hAnsi="宋体" w:cs="宋体"/>
          <w:color w:val="auto"/>
          <w:sz w:val="24"/>
          <w:szCs w:val="24"/>
          <w:highlight w:val="none"/>
          <w:shd w:val="clear" w:color="auto" w:fill="auto"/>
        </w:rPr>
      </w:pPr>
    </w:p>
    <w:p>
      <w:pPr>
        <w:spacing w:line="360" w:lineRule="auto"/>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声明人：（公章）</w:t>
      </w:r>
    </w:p>
    <w:p>
      <w:pPr>
        <w:spacing w:line="360" w:lineRule="auto"/>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br w:type="page"/>
      </w:r>
    </w:p>
    <w:p>
      <w:pPr>
        <w:snapToGrid w:val="0"/>
        <w:spacing w:line="520" w:lineRule="exact"/>
        <w:jc w:val="center"/>
        <w:outlineLvl w:val="2"/>
        <w:rPr>
          <w:rFonts w:ascii="宋体" w:hAnsi="宋体" w:cs="宋体"/>
          <w:b/>
          <w:bCs/>
          <w:color w:val="auto"/>
          <w:sz w:val="28"/>
          <w:szCs w:val="28"/>
          <w:highlight w:val="none"/>
          <w:shd w:val="clear" w:color="auto" w:fill="auto"/>
        </w:rPr>
      </w:pPr>
      <w:r>
        <w:rPr>
          <w:rFonts w:hint="eastAsia" w:ascii="宋体" w:hAnsi="宋体" w:cs="宋体"/>
          <w:b/>
          <w:bCs/>
          <w:color w:val="auto"/>
          <w:sz w:val="28"/>
          <w:szCs w:val="28"/>
          <w:highlight w:val="none"/>
          <w:shd w:val="clear" w:color="auto" w:fill="auto"/>
        </w:rPr>
        <w:t>4.关于资格文件的声明函</w:t>
      </w:r>
    </w:p>
    <w:p>
      <w:pPr>
        <w:pStyle w:val="7"/>
        <w:overflowPunct w:val="0"/>
        <w:spacing w:line="520" w:lineRule="exact"/>
        <w:jc w:val="center"/>
        <w:rPr>
          <w:rFonts w:ascii="宋体" w:hAnsi="宋体" w:eastAsia="宋体" w:cs="宋体"/>
          <w:color w:val="auto"/>
          <w:sz w:val="28"/>
          <w:szCs w:val="28"/>
          <w:highlight w:val="none"/>
          <w:shd w:val="clear" w:color="auto" w:fill="auto"/>
        </w:rPr>
      </w:pP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pStyle w:val="7"/>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本公司愿就由贵单位组织实施的</w:t>
      </w:r>
      <w:r>
        <w:rPr>
          <w:rFonts w:hint="eastAsia" w:ascii="宋体" w:hAnsi="宋体" w:eastAsia="宋体" w:cs="宋体"/>
          <w:color w:val="auto"/>
          <w:szCs w:val="24"/>
          <w:highlight w:val="none"/>
          <w:u w:val="single"/>
          <w:shd w:val="clear" w:color="auto" w:fill="auto"/>
        </w:rPr>
        <w:t xml:space="preserve">              </w:t>
      </w:r>
      <w:r>
        <w:rPr>
          <w:rFonts w:hint="eastAsia" w:ascii="宋体" w:hAnsi="宋体" w:eastAsia="宋体" w:cs="宋体"/>
          <w:color w:val="auto"/>
          <w:szCs w:val="24"/>
          <w:highlight w:val="none"/>
          <w:shd w:val="clear" w:color="auto" w:fill="auto"/>
        </w:rPr>
        <w:t>（项目名称)竞争性磋商活动进行响应。本公司所提交的响应文件中所有关于磋商资格的文件、证明和陈述均是真实的、准确的。</w:t>
      </w:r>
    </w:p>
    <w:p>
      <w:pPr>
        <w:pStyle w:val="7"/>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pStyle w:val="7"/>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若与真实情况不符，本公司愿意承担由此而产生的一切后果。</w:t>
      </w:r>
    </w:p>
    <w:p>
      <w:pPr>
        <w:pStyle w:val="7"/>
        <w:overflowPunct w:val="0"/>
        <w:spacing w:line="520" w:lineRule="exact"/>
        <w:rPr>
          <w:rFonts w:ascii="宋体" w:hAnsi="宋体" w:eastAsia="宋体" w:cs="宋体"/>
          <w:color w:val="auto"/>
          <w:szCs w:val="24"/>
          <w:highlight w:val="none"/>
          <w:shd w:val="clear" w:color="auto" w:fill="auto"/>
        </w:rPr>
      </w:pPr>
    </w:p>
    <w:p>
      <w:pPr>
        <w:pStyle w:val="7"/>
        <w:overflowPunct w:val="0"/>
        <w:spacing w:line="520" w:lineRule="exact"/>
        <w:rPr>
          <w:rFonts w:ascii="宋体" w:hAnsi="宋体" w:eastAsia="宋体" w:cs="宋体"/>
          <w:color w:val="auto"/>
          <w:szCs w:val="24"/>
          <w:highlight w:val="none"/>
          <w:shd w:val="clear" w:color="auto" w:fill="auto"/>
        </w:rPr>
      </w:pPr>
    </w:p>
    <w:p>
      <w:pPr>
        <w:pStyle w:val="7"/>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w:t>
      </w:r>
    </w:p>
    <w:p>
      <w:pPr>
        <w:pStyle w:val="7"/>
        <w:overflowPunct w:val="0"/>
        <w:spacing w:line="520" w:lineRule="exact"/>
        <w:ind w:left="1700" w:firstLine="425"/>
        <w:rPr>
          <w:rFonts w:ascii="宋体" w:hAnsi="宋体" w:eastAsia="宋体" w:cs="宋体"/>
          <w:color w:val="auto"/>
          <w:szCs w:val="24"/>
          <w:highlight w:val="none"/>
          <w:shd w:val="clear" w:color="auto" w:fill="auto"/>
        </w:rPr>
      </w:pPr>
    </w:p>
    <w:p>
      <w:pPr>
        <w:pStyle w:val="7"/>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（供应商）公章： </w:t>
      </w:r>
    </w:p>
    <w:p>
      <w:pPr>
        <w:pStyle w:val="7"/>
        <w:overflowPunct w:val="0"/>
        <w:spacing w:line="520" w:lineRule="exact"/>
        <w:ind w:firstLine="864" w:firstLineChars="3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法定代表人（签字或盖章）：</w:t>
      </w:r>
    </w:p>
    <w:p>
      <w:pPr>
        <w:pStyle w:val="7"/>
        <w:overflowPunct w:val="0"/>
        <w:spacing w:line="520" w:lineRule="exact"/>
        <w:ind w:left="1700" w:firstLine="425"/>
        <w:rPr>
          <w:rFonts w:ascii="宋体" w:hAnsi="宋体" w:eastAsia="宋体" w:cs="宋体"/>
          <w:color w:val="auto"/>
          <w:szCs w:val="24"/>
          <w:highlight w:val="none"/>
          <w:shd w:val="clear" w:color="auto" w:fill="auto"/>
        </w:rPr>
      </w:pPr>
    </w:p>
    <w:p>
      <w:pPr>
        <w:pStyle w:val="7"/>
        <w:overflowPunct w:val="0"/>
        <w:spacing w:line="520" w:lineRule="exact"/>
        <w:rPr>
          <w:rFonts w:ascii="宋体" w:hAnsi="宋体" w:eastAsia="宋体" w:cs="宋体"/>
          <w:color w:val="auto"/>
          <w:szCs w:val="24"/>
          <w:highlight w:val="none"/>
          <w:shd w:val="clear" w:color="auto" w:fill="auto"/>
        </w:rPr>
      </w:pPr>
    </w:p>
    <w:p>
      <w:pPr>
        <w:pStyle w:val="7"/>
        <w:overflowPunct w:val="0"/>
        <w:spacing w:line="520" w:lineRule="exact"/>
        <w:ind w:right="5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年</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月 </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日</w:t>
      </w:r>
    </w:p>
    <w:p>
      <w:pPr>
        <w:pStyle w:val="18"/>
        <w:ind w:firstLine="420"/>
        <w:rPr>
          <w:color w:val="auto"/>
          <w:highlight w:val="none"/>
          <w:shd w:val="clear" w:color="auto" w:fill="auto"/>
        </w:rPr>
      </w:pPr>
    </w:p>
    <w:p>
      <w:pPr>
        <w:overflowPunct w:val="0"/>
        <w:adjustRightInd w:val="0"/>
        <w:spacing w:line="700" w:lineRule="exact"/>
        <w:ind w:firstLine="420"/>
        <w:jc w:val="left"/>
        <w:textAlignment w:val="baseline"/>
        <w:rPr>
          <w:b/>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rPr>
          <w:rFonts w:cs="宋体"/>
          <w:b/>
          <w:bCs/>
          <w:color w:val="auto"/>
          <w:sz w:val="28"/>
          <w:highlight w:val="none"/>
          <w:shd w:val="clear" w:color="auto" w:fill="auto"/>
        </w:rPr>
      </w:pPr>
    </w:p>
    <w:p>
      <w:pPr>
        <w:snapToGrid w:val="0"/>
        <w:spacing w:after="120" w:line="440" w:lineRule="exact"/>
        <w:jc w:val="center"/>
        <w:rPr>
          <w:rFonts w:hint="eastAsia" w:ascii="宋体" w:hAnsi="宋体" w:eastAsia="宋体" w:cs="宋体"/>
          <w:b/>
          <w:bCs/>
          <w:color w:val="auto"/>
          <w:sz w:val="28"/>
          <w:szCs w:val="28"/>
          <w:highlight w:val="none"/>
          <w:shd w:val="clear" w:color="auto" w:fill="auto"/>
          <w:lang w:val="zh-CN" w:eastAsia="zh-CN"/>
        </w:rPr>
      </w:pPr>
      <w:r>
        <w:rPr>
          <w:rFonts w:hint="eastAsia" w:ascii="宋体" w:hAnsi="宋体" w:eastAsia="宋体" w:cs="宋体"/>
          <w:b/>
          <w:bCs/>
          <w:color w:val="auto"/>
          <w:sz w:val="28"/>
          <w:szCs w:val="28"/>
          <w:highlight w:val="none"/>
          <w:shd w:val="clear" w:color="auto" w:fill="auto"/>
          <w:lang w:val="en-US" w:eastAsia="zh-CN"/>
        </w:rPr>
        <w:t>5.商务技术条款响应一览表</w:t>
      </w:r>
    </w:p>
    <w:p>
      <w:pPr>
        <w:snapToGrid w:val="0"/>
        <w:spacing w:after="120" w:line="440" w:lineRule="exac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项目名称：</w:t>
      </w:r>
    </w:p>
    <w:tbl>
      <w:tblPr>
        <w:tblStyle w:val="19"/>
        <w:tblW w:w="9035"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358"/>
        <w:gridCol w:w="3987"/>
        <w:gridCol w:w="1954"/>
        <w:gridCol w:w="1736"/>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6" w:space="0"/>
              <w:left w:val="single" w:color="000000" w:sz="6"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序号</w:t>
            </w:r>
          </w:p>
        </w:tc>
        <w:tc>
          <w:tcPr>
            <w:tcW w:w="3987" w:type="dxa"/>
            <w:tcBorders>
              <w:top w:val="single" w:color="000000" w:sz="6" w:space="0"/>
              <w:left w:val="single" w:color="000000" w:sz="4"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招标文件的项目需求</w:t>
            </w:r>
          </w:p>
        </w:tc>
        <w:tc>
          <w:tcPr>
            <w:tcW w:w="1954" w:type="dxa"/>
            <w:tcBorders>
              <w:top w:val="single" w:color="000000" w:sz="6" w:space="0"/>
              <w:left w:val="single" w:color="000000" w:sz="4"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投标文件偏离情况</w:t>
            </w:r>
          </w:p>
        </w:tc>
        <w:tc>
          <w:tcPr>
            <w:tcW w:w="1736" w:type="dxa"/>
            <w:tcBorders>
              <w:top w:val="single" w:color="000000" w:sz="6" w:space="0"/>
              <w:left w:val="single" w:color="000000" w:sz="4" w:space="0"/>
              <w:bottom w:val="single" w:color="000000" w:sz="4" w:space="0"/>
              <w:right w:val="single" w:color="000000" w:sz="6"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6"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bl>
    <w:p>
      <w:pPr>
        <w:tabs>
          <w:tab w:val="left" w:pos="318"/>
        </w:tabs>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注：</w:t>
      </w:r>
    </w:p>
    <w:p>
      <w:pPr>
        <w:numPr>
          <w:ilvl w:val="0"/>
          <w:numId w:val="3"/>
        </w:numPr>
        <w:tabs>
          <w:tab w:val="left" w:pos="318"/>
        </w:tabs>
        <w:snapToGrid w:val="0"/>
        <w:spacing w:line="360" w:lineRule="auto"/>
        <w:ind w:left="525" w:hanging="525"/>
        <w:jc w:val="left"/>
        <w:rPr>
          <w:rStyle w:val="28"/>
          <w:rFonts w:hint="eastAsia" w:ascii="宋体" w:hAnsi="宋体" w:eastAsia="宋体" w:cs="宋体"/>
          <w:bCs/>
          <w:color w:val="auto"/>
          <w:sz w:val="24"/>
          <w:szCs w:val="24"/>
          <w:highlight w:val="none"/>
          <w:lang w:val="zh-CN"/>
        </w:rPr>
      </w:pP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应对招标文件中的</w:t>
      </w:r>
      <w:r>
        <w:rPr>
          <w:rStyle w:val="28"/>
          <w:rFonts w:hint="eastAsia" w:ascii="宋体" w:hAnsi="宋体" w:eastAsia="宋体" w:cs="宋体"/>
          <w:b/>
          <w:bCs/>
          <w:color w:val="auto"/>
          <w:sz w:val="24"/>
          <w:szCs w:val="24"/>
          <w:highlight w:val="none"/>
        </w:rPr>
        <w:t>“第三章项目需求”</w:t>
      </w:r>
      <w:r>
        <w:rPr>
          <w:rStyle w:val="28"/>
          <w:rFonts w:hint="eastAsia" w:ascii="宋体" w:hAnsi="宋体" w:eastAsia="宋体" w:cs="宋体"/>
          <w:color w:val="auto"/>
          <w:sz w:val="24"/>
          <w:szCs w:val="24"/>
          <w:highlight w:val="none"/>
        </w:rPr>
        <w:t>进行偏离说明，填写</w:t>
      </w:r>
      <w:r>
        <w:rPr>
          <w:rStyle w:val="28"/>
          <w:rFonts w:hint="eastAsia" w:ascii="宋体" w:hAnsi="宋体" w:eastAsia="宋体" w:cs="宋体"/>
          <w:b/>
          <w:bCs/>
          <w:color w:val="auto"/>
          <w:sz w:val="24"/>
          <w:szCs w:val="24"/>
          <w:highlight w:val="none"/>
        </w:rPr>
        <w:t>技术条款响应一览表</w:t>
      </w:r>
      <w:r>
        <w:rPr>
          <w:rStyle w:val="28"/>
          <w:rFonts w:hint="eastAsia" w:ascii="宋体" w:hAnsi="宋体" w:eastAsia="宋体" w:cs="宋体"/>
          <w:b/>
          <w:color w:val="auto"/>
          <w:sz w:val="24"/>
          <w:szCs w:val="24"/>
          <w:highlight w:val="none"/>
        </w:rPr>
        <w:t>。</w:t>
      </w:r>
      <w:r>
        <w:rPr>
          <w:rStyle w:val="28"/>
          <w:rFonts w:hint="eastAsia" w:ascii="宋体" w:hAnsi="宋体" w:eastAsia="宋体" w:cs="宋体"/>
          <w:bCs/>
          <w:color w:val="auto"/>
          <w:sz w:val="24"/>
          <w:szCs w:val="24"/>
          <w:highlight w:val="none"/>
          <w:lang w:val="zh-CN"/>
        </w:rPr>
        <w:t>不完全响应的，必须在偏离表中列示；列示不全的，视同故意隐瞒。</w:t>
      </w:r>
    </w:p>
    <w:p>
      <w:pPr>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（2）偏离包括正、负偏离，正偏离指</w:t>
      </w: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的响应高于招标文件要求，负偏离指投标供应商的响应低于招标文件要求。如无偏离，请在表中填写</w:t>
      </w:r>
      <w:r>
        <w:rPr>
          <w:rStyle w:val="28"/>
          <w:rFonts w:hint="eastAsia" w:ascii="宋体" w:hAnsi="宋体" w:eastAsia="宋体" w:cs="宋体"/>
          <w:b/>
          <w:color w:val="auto"/>
          <w:sz w:val="24"/>
          <w:szCs w:val="24"/>
          <w:highlight w:val="none"/>
        </w:rPr>
        <w:t>“无偏离”或“全部满足要求”</w:t>
      </w:r>
      <w:r>
        <w:rPr>
          <w:rStyle w:val="28"/>
          <w:rFonts w:hint="eastAsia" w:ascii="宋体" w:hAnsi="宋体" w:eastAsia="宋体" w:cs="宋体"/>
          <w:color w:val="auto"/>
          <w:sz w:val="24"/>
          <w:szCs w:val="24"/>
          <w:highlight w:val="none"/>
        </w:rPr>
        <w:t>，即表明</w:t>
      </w: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接受招标文件中的所有条款。</w:t>
      </w:r>
    </w:p>
    <w:p>
      <w:pPr>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（3）此表所填内容为投标供应商根据项目需求偏离的所有内容，其他未填内容，均表明投标供应商满足招标文件的要求。</w:t>
      </w:r>
    </w:p>
    <w:p>
      <w:pPr>
        <w:snapToGrid w:val="0"/>
        <w:spacing w:line="360" w:lineRule="auto"/>
        <w:ind w:left="525" w:hanging="525"/>
        <w:rPr>
          <w:rStyle w:val="28"/>
          <w:rFonts w:hint="eastAsia" w:ascii="宋体" w:hAnsi="宋体" w:eastAsia="宋体" w:cs="宋体"/>
          <w:b/>
          <w:bCs/>
          <w:color w:val="auto"/>
          <w:sz w:val="24"/>
          <w:szCs w:val="24"/>
          <w:highlight w:val="none"/>
        </w:rPr>
      </w:pPr>
      <w:r>
        <w:rPr>
          <w:rStyle w:val="28"/>
          <w:rFonts w:hint="eastAsia" w:ascii="宋体" w:hAnsi="宋体" w:eastAsia="宋体" w:cs="宋体"/>
          <w:color w:val="auto"/>
          <w:sz w:val="24"/>
          <w:szCs w:val="24"/>
          <w:highlight w:val="none"/>
          <w:lang w:eastAsia="zh-CN"/>
        </w:rPr>
        <w:t>（</w:t>
      </w:r>
      <w:r>
        <w:rPr>
          <w:rStyle w:val="28"/>
          <w:rFonts w:hint="eastAsia" w:ascii="宋体" w:hAnsi="宋体" w:eastAsia="宋体" w:cs="宋体"/>
          <w:color w:val="auto"/>
          <w:sz w:val="24"/>
          <w:szCs w:val="24"/>
          <w:highlight w:val="none"/>
        </w:rPr>
        <w:t>4</w:t>
      </w:r>
      <w:r>
        <w:rPr>
          <w:rStyle w:val="28"/>
          <w:rFonts w:hint="eastAsia" w:ascii="宋体" w:hAnsi="宋体" w:eastAsia="宋体" w:cs="宋体"/>
          <w:color w:val="auto"/>
          <w:sz w:val="24"/>
          <w:szCs w:val="24"/>
          <w:highlight w:val="none"/>
          <w:lang w:eastAsia="zh-CN"/>
        </w:rPr>
        <w:t>）</w:t>
      </w:r>
      <w:r>
        <w:rPr>
          <w:rStyle w:val="28"/>
          <w:rFonts w:hint="eastAsia" w:ascii="宋体" w:hAnsi="宋体" w:eastAsia="宋体" w:cs="宋体"/>
          <w:b/>
          <w:bCs/>
          <w:color w:val="auto"/>
          <w:sz w:val="24"/>
          <w:szCs w:val="24"/>
          <w:highlight w:val="none"/>
        </w:rPr>
        <w:t>请提供相关证明材料佐证参数。</w:t>
      </w:r>
    </w:p>
    <w:p>
      <w:pPr>
        <w:snapToGrid w:val="0"/>
        <w:spacing w:line="360" w:lineRule="auto"/>
        <w:jc w:val="right"/>
        <w:rPr>
          <w:rStyle w:val="28"/>
          <w:rFonts w:hint="eastAsia" w:ascii="宋体" w:hAnsi="宋体" w:eastAsia="宋体" w:cs="宋体"/>
          <w:color w:val="auto"/>
          <w:sz w:val="24"/>
          <w:szCs w:val="24"/>
          <w:highlight w:val="none"/>
        </w:rPr>
      </w:pPr>
    </w:p>
    <w:p>
      <w:pPr>
        <w:snapToGrid w:val="0"/>
        <w:spacing w:line="360" w:lineRule="auto"/>
        <w:ind w:left="525" w:hanging="525"/>
        <w:jc w:val="righ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投标供应商（盖章）：</w:t>
      </w:r>
    </w:p>
    <w:p>
      <w:pPr>
        <w:snapToGrid w:val="0"/>
        <w:spacing w:line="360" w:lineRule="auto"/>
        <w:ind w:left="525" w:hanging="525"/>
        <w:jc w:val="righ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法定代表人或其委托代理人：（签字或盖章）</w:t>
      </w:r>
    </w:p>
    <w:p>
      <w:pPr>
        <w:spacing w:line="360" w:lineRule="auto"/>
        <w:jc w:val="center"/>
        <w:rPr>
          <w:rFonts w:hint="eastAsia" w:ascii="宋体" w:hAnsi="宋体" w:cs="宋体"/>
          <w:b/>
          <w:bCs/>
          <w:color w:val="auto"/>
          <w:sz w:val="24"/>
          <w:szCs w:val="24"/>
          <w:highlight w:val="none"/>
          <w:shd w:val="clear" w:color="auto" w:fill="auto"/>
          <w:lang w:val="en-US" w:eastAsia="zh-CN"/>
        </w:rPr>
      </w:pPr>
      <w:r>
        <w:rPr>
          <w:rStyle w:val="28"/>
          <w:rFonts w:hint="eastAsia" w:ascii="宋体" w:hAnsi="宋体" w:eastAsia="宋体" w:cs="宋体"/>
          <w:color w:val="auto"/>
          <w:sz w:val="24"/>
          <w:szCs w:val="24"/>
          <w:highlight w:val="none"/>
        </w:rPr>
        <w:t>日期：  年  月  日</w:t>
      </w:r>
    </w:p>
    <w:p>
      <w:pPr>
        <w:rPr>
          <w:rFonts w:hint="eastAsia" w:ascii="宋体" w:hAnsi="宋体" w:cs="宋体"/>
          <w:b/>
          <w:bCs/>
          <w:color w:val="auto"/>
          <w:sz w:val="28"/>
          <w:szCs w:val="28"/>
          <w:highlight w:val="none"/>
          <w:shd w:val="clear" w:color="auto" w:fill="auto"/>
          <w:lang w:val="en-US" w:eastAsia="zh-CN"/>
        </w:rPr>
      </w:pPr>
      <w:r>
        <w:rPr>
          <w:rFonts w:hint="eastAsia" w:ascii="宋体" w:hAnsi="宋体" w:cs="宋体"/>
          <w:b/>
          <w:bCs/>
          <w:color w:val="auto"/>
          <w:sz w:val="28"/>
          <w:szCs w:val="28"/>
          <w:highlight w:val="none"/>
          <w:shd w:val="clear" w:color="auto" w:fill="auto"/>
          <w:lang w:val="en-US" w:eastAsia="zh-CN"/>
        </w:rPr>
        <w:br w:type="page"/>
      </w:r>
    </w:p>
    <w:p>
      <w:pPr>
        <w:jc w:val="center"/>
        <w:rPr>
          <w:rFonts w:cs="宋体"/>
          <w:b/>
          <w:bCs/>
          <w:color w:val="auto"/>
          <w:sz w:val="28"/>
          <w:highlight w:val="none"/>
          <w:shd w:val="clear" w:color="auto" w:fill="auto"/>
        </w:rPr>
      </w:pPr>
      <w:r>
        <w:rPr>
          <w:rFonts w:hint="eastAsia" w:cs="宋体"/>
          <w:b/>
          <w:bCs/>
          <w:color w:val="auto"/>
          <w:sz w:val="28"/>
          <w:highlight w:val="none"/>
          <w:shd w:val="clear" w:color="auto" w:fill="auto"/>
          <w:lang w:val="en-US" w:eastAsia="zh-CN"/>
        </w:rPr>
        <w:t>6.</w:t>
      </w:r>
      <w:r>
        <w:rPr>
          <w:rFonts w:hint="eastAsia" w:cs="宋体"/>
          <w:b/>
          <w:bCs/>
          <w:color w:val="auto"/>
          <w:sz w:val="28"/>
          <w:highlight w:val="none"/>
          <w:shd w:val="clear" w:color="auto" w:fill="auto"/>
        </w:rPr>
        <w:t>竞争性磋商响应函</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依据贵单位委托代理机构组织的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（磋商项目名称)项目竞争性磋商的邀请，我方授权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（职务）为全权代表参加该项目的磋商工作，全权处理本次竞争性磋商的有关事宜。同时，我公司声明如下：</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1.同意并接受竞争性磋商文件的各项要求，遵守竞争性磋商文件中的各项规定，按竞争性磋商文件的要求提供报价。</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3.我公司已毫无保留地向贵方提供一切所需的证明材料。</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outlineLvl w:val="3"/>
        <w:rPr>
          <w:rFonts w:hAnsi="宋体" w:cs="宋体"/>
          <w:b/>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b/>
          <w:color w:val="auto"/>
          <w:sz w:val="24"/>
          <w:szCs w:val="24"/>
          <w:highlight w:val="none"/>
          <w:shd w:val="clear" w:color="auto" w:fill="auto"/>
        </w:rPr>
        <w:t>我公司尊重磋商小组所作的评定结果，同时清楚理解到报价最低并非意味着必定获得成交资格。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6.一旦成交，我方承诺无正当理由拒绝签订合同，同意被贵方取消成交资格。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w:t>
      </w:r>
      <w:r>
        <w:rPr>
          <w:rFonts w:hint="eastAsia" w:hAnsi="宋体" w:cs="宋体"/>
          <w:b/>
          <w:color w:val="auto"/>
          <w:sz w:val="24"/>
          <w:szCs w:val="24"/>
          <w:highlight w:val="none"/>
          <w:shd w:val="clear" w:color="auto" w:fill="auto"/>
        </w:rPr>
        <w:t>一旦成交，我方将根据竞争性磋商文件的规定，严格履行合同规定的责任和义务，并保证在竞争性磋商文件中规定的时间期限内完成合同项目。</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竞争性磋商响应单位：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（加盖公章）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法定代表人或被授权人：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（签字或盖章）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snapToGrid w:val="0"/>
        <w:spacing w:line="520" w:lineRule="exac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w:t>
      </w:r>
    </w:p>
    <w:p>
      <w:pPr>
        <w:spacing w:line="500" w:lineRule="exact"/>
        <w:ind w:left="487"/>
        <w:jc w:val="center"/>
        <w:outlineLvl w:val="3"/>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br w:type="page"/>
      </w:r>
      <w:r>
        <w:rPr>
          <w:rFonts w:hint="eastAsia" w:hAnsi="宋体" w:cs="宋体"/>
          <w:b/>
          <w:bCs/>
          <w:color w:val="auto"/>
          <w:sz w:val="28"/>
          <w:szCs w:val="28"/>
          <w:highlight w:val="none"/>
          <w:shd w:val="clear" w:color="auto" w:fill="auto"/>
          <w:lang w:val="en-US" w:eastAsia="zh-CN"/>
        </w:rPr>
        <w:t>6</w:t>
      </w:r>
      <w:r>
        <w:rPr>
          <w:rFonts w:hint="eastAsia" w:hAnsi="宋体" w:cs="宋体"/>
          <w:b/>
          <w:bCs/>
          <w:color w:val="auto"/>
          <w:sz w:val="28"/>
          <w:szCs w:val="28"/>
          <w:highlight w:val="none"/>
          <w:shd w:val="clear" w:color="auto" w:fill="auto"/>
        </w:rPr>
        <w:t>.磋商响应报价表（首次）</w:t>
      </w:r>
    </w:p>
    <w:tbl>
      <w:tblPr>
        <w:tblStyle w:val="19"/>
        <w:tblpPr w:leftFromText="180" w:rightFromText="180" w:vertAnchor="text" w:horzAnchor="page" w:tblpX="1598" w:tblpY="460"/>
        <w:tblOverlap w:val="never"/>
        <w:tblW w:w="875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218"/>
        <w:gridCol w:w="453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0" w:hRule="exact"/>
        </w:trPr>
        <w:tc>
          <w:tcPr>
            <w:tcW w:w="4218" w:type="dxa"/>
            <w:tcBorders>
              <w:bottom w:val="single" w:color="auto" w:sz="4" w:space="0"/>
              <w:right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b/>
                <w:color w:val="auto"/>
                <w:kern w:val="0"/>
                <w:sz w:val="24"/>
                <w:szCs w:val="24"/>
                <w:highlight w:val="none"/>
                <w:shd w:val="clear" w:color="auto" w:fill="auto"/>
              </w:rPr>
              <w:t>项目名称</w:t>
            </w:r>
          </w:p>
        </w:tc>
        <w:tc>
          <w:tcPr>
            <w:tcW w:w="4538" w:type="dxa"/>
            <w:tcBorders>
              <w:left w:val="nil"/>
              <w:bottom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hAnsi="宋体" w:cs="宋体"/>
                <w:b/>
                <w:color w:val="auto"/>
                <w:sz w:val="24"/>
                <w:szCs w:val="24"/>
                <w:highlight w:val="none"/>
                <w:shd w:val="clear" w:color="auto" w:fill="auto"/>
              </w:rPr>
              <w:t>磋商响应</w:t>
            </w:r>
            <w:r>
              <w:rPr>
                <w:rFonts w:hint="eastAsia"/>
                <w:b/>
                <w:color w:val="auto"/>
                <w:kern w:val="0"/>
                <w:sz w:val="24"/>
                <w:szCs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0" w:hRule="exact"/>
        </w:trPr>
        <w:tc>
          <w:tcPr>
            <w:tcW w:w="4218" w:type="dxa"/>
            <w:tcBorders>
              <w:top w:val="nil"/>
              <w:right w:val="single" w:color="auto" w:sz="4" w:space="0"/>
            </w:tcBorders>
            <w:vAlign w:val="center"/>
          </w:tcPr>
          <w:p>
            <w:pPr>
              <w:widowControl/>
              <w:jc w:val="center"/>
              <w:rPr>
                <w:rFonts w:hAnsi="宋体" w:cs="宋体"/>
                <w:color w:val="auto"/>
                <w:kern w:val="0"/>
                <w:sz w:val="20"/>
                <w:highlight w:val="none"/>
                <w:shd w:val="clear" w:color="auto" w:fill="auto"/>
              </w:rPr>
            </w:pPr>
          </w:p>
        </w:tc>
        <w:tc>
          <w:tcPr>
            <w:tcW w:w="4538" w:type="dxa"/>
            <w:tcBorders>
              <w:top w:val="nil"/>
              <w:left w:val="nil"/>
            </w:tcBorders>
            <w:vAlign w:val="center"/>
          </w:tcPr>
          <w:p>
            <w:pPr>
              <w:widowControl/>
              <w:jc w:val="center"/>
              <w:rPr>
                <w:rFonts w:hint="eastAsia" w:hAnsi="宋体" w:cs="宋体"/>
                <w:color w:val="auto"/>
                <w:kern w:val="0"/>
                <w:sz w:val="24"/>
                <w:szCs w:val="24"/>
                <w:highlight w:val="none"/>
                <w:shd w:val="clear" w:color="auto" w:fill="auto"/>
                <w:lang w:val="en-US" w:eastAsia="zh-CN"/>
              </w:rPr>
            </w:pPr>
            <w:r>
              <w:rPr>
                <w:rFonts w:hint="eastAsia" w:hAnsi="宋体" w:cs="宋体"/>
                <w:color w:val="auto"/>
                <w:kern w:val="0"/>
                <w:sz w:val="24"/>
                <w:szCs w:val="24"/>
                <w:highlight w:val="none"/>
                <w:u w:val="single"/>
                <w:shd w:val="clear" w:color="auto" w:fill="auto"/>
                <w:lang w:val="en-US" w:eastAsia="zh-CN"/>
              </w:rPr>
              <w:t xml:space="preserve">       </w:t>
            </w:r>
            <w:r>
              <w:rPr>
                <w:rFonts w:hint="eastAsia" w:hAnsi="宋体" w:cs="宋体"/>
                <w:color w:val="auto"/>
                <w:kern w:val="0"/>
                <w:sz w:val="24"/>
                <w:szCs w:val="24"/>
                <w:highlight w:val="none"/>
                <w:shd w:val="clear" w:color="auto" w:fill="auto"/>
                <w:lang w:val="en-US" w:eastAsia="zh-CN"/>
              </w:rPr>
              <w:t>元</w:t>
            </w:r>
          </w:p>
          <w:p>
            <w:pPr>
              <w:pStyle w:val="18"/>
              <w:ind w:firstLine="1200" w:firstLineChars="500"/>
              <w:jc w:val="both"/>
              <w:rPr>
                <w:rFonts w:hint="default"/>
                <w:color w:val="auto"/>
                <w:highlight w:val="none"/>
                <w:lang w:val="en-US" w:eastAsia="zh-CN"/>
              </w:rPr>
            </w:pPr>
            <w:r>
              <w:rPr>
                <w:rFonts w:hint="eastAsia" w:hAnsi="宋体" w:cs="宋体"/>
                <w:color w:val="auto"/>
                <w:kern w:val="0"/>
                <w:sz w:val="24"/>
                <w:szCs w:val="24"/>
                <w:highlight w:val="none"/>
                <w:shd w:val="clear" w:color="auto" w:fill="auto"/>
                <w:lang w:val="en-US" w:eastAsia="zh-CN"/>
              </w:rPr>
              <w:t>大写</w:t>
            </w:r>
            <w:r>
              <w:rPr>
                <w:rFonts w:hint="eastAsia" w:hAnsi="宋体" w:cs="宋体"/>
                <w:color w:val="auto"/>
                <w:kern w:val="0"/>
                <w:sz w:val="24"/>
                <w:szCs w:val="24"/>
                <w:highlight w:val="none"/>
                <w:u w:val="single"/>
                <w:shd w:val="clear" w:color="auto" w:fill="auto"/>
                <w:lang w:val="en-US" w:eastAsia="zh-CN"/>
              </w:rPr>
              <w:t xml:space="preserve">       </w:t>
            </w:r>
          </w:p>
        </w:tc>
      </w:tr>
    </w:tbl>
    <w:p>
      <w:pPr>
        <w:shd w:val="clear"/>
        <w:kinsoku w:val="0"/>
        <w:topLinePunct/>
        <w:snapToGrid w:val="0"/>
        <w:spacing w:line="520" w:lineRule="exac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日期：</w:t>
      </w:r>
    </w:p>
    <w:p>
      <w:pPr>
        <w:shd w:val="clear"/>
        <w:kinsoku w:val="0"/>
        <w:topLinePunct/>
        <w:snapToGrid w:val="0"/>
        <w:spacing w:line="520" w:lineRule="exact"/>
        <w:rPr>
          <w:rFonts w:hint="eastAsia" w:ascii="方正仿宋_GBK"/>
          <w:b/>
          <w:color w:val="auto"/>
          <w:sz w:val="21"/>
          <w:szCs w:val="21"/>
          <w:highlight w:val="none"/>
        </w:rPr>
      </w:pPr>
    </w:p>
    <w:p>
      <w:pPr>
        <w:shd w:val="clear"/>
        <w:kinsoku w:val="0"/>
        <w:topLinePunct/>
        <w:snapToGrid w:val="0"/>
        <w:spacing w:line="520" w:lineRule="exact"/>
        <w:rPr>
          <w:rFonts w:ascii="方正仿宋_GBK"/>
          <w:b/>
          <w:color w:val="auto"/>
          <w:sz w:val="21"/>
          <w:szCs w:val="21"/>
          <w:highlight w:val="none"/>
        </w:rPr>
      </w:pPr>
      <w:r>
        <w:rPr>
          <w:rFonts w:hint="eastAsia" w:ascii="方正仿宋_GBK"/>
          <w:b/>
          <w:color w:val="auto"/>
          <w:sz w:val="21"/>
          <w:szCs w:val="21"/>
          <w:highlight w:val="none"/>
        </w:rPr>
        <w:t>注：</w:t>
      </w:r>
    </w:p>
    <w:p>
      <w:pPr>
        <w:numPr>
          <w:ilvl w:val="0"/>
          <w:numId w:val="0"/>
        </w:numPr>
        <w:shd w:val="clear"/>
        <w:kinsoku w:val="0"/>
        <w:topLinePunct/>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ascii="方正仿宋_GBK"/>
          <w:color w:val="auto"/>
          <w:sz w:val="21"/>
          <w:szCs w:val="21"/>
          <w:highlight w:val="none"/>
        </w:rPr>
        <w:t>本表</w:t>
      </w:r>
      <w:r>
        <w:rPr>
          <w:rFonts w:hint="eastAsia" w:ascii="方正仿宋_GBK"/>
          <w:color w:val="auto"/>
          <w:sz w:val="21"/>
          <w:szCs w:val="21"/>
          <w:highlight w:val="none"/>
        </w:rPr>
        <w:t>为格式表</w:t>
      </w:r>
      <w:r>
        <w:rPr>
          <w:rFonts w:ascii="方正仿宋_GBK"/>
          <w:color w:val="auto"/>
          <w:sz w:val="21"/>
          <w:szCs w:val="21"/>
          <w:highlight w:val="none"/>
        </w:rPr>
        <w:t>，</w:t>
      </w:r>
      <w:r>
        <w:rPr>
          <w:rFonts w:hint="eastAsia" w:ascii="方正仿宋_GBK"/>
          <w:color w:val="auto"/>
          <w:sz w:val="21"/>
          <w:szCs w:val="21"/>
          <w:highlight w:val="none"/>
        </w:rPr>
        <w:t>不得自行改动，必须提供</w:t>
      </w:r>
      <w:r>
        <w:rPr>
          <w:rFonts w:ascii="方正仿宋_GBK"/>
          <w:color w:val="auto"/>
          <w:sz w:val="21"/>
          <w:szCs w:val="21"/>
          <w:highlight w:val="none"/>
        </w:rPr>
        <w:t>。</w:t>
      </w:r>
    </w:p>
    <w:p>
      <w:pPr>
        <w:numPr>
          <w:ilvl w:val="0"/>
          <w:numId w:val="0"/>
        </w:numPr>
        <w:shd w:val="clear"/>
        <w:kinsoku w:val="0"/>
        <w:topLinePunct/>
        <w:snapToGrid w:val="0"/>
        <w:spacing w:line="360" w:lineRule="auto"/>
        <w:ind w:firstLine="210" w:firstLineChars="100"/>
        <w:rPr>
          <w:rFonts w:ascii="方正仿宋_GBK"/>
          <w:color w:val="auto"/>
          <w:sz w:val="21"/>
          <w:szCs w:val="21"/>
          <w:highlight w:val="none"/>
          <w:shd w:val="clear" w:color="auto" w:fill="auto"/>
        </w:rPr>
      </w:pPr>
      <w:r>
        <w:rPr>
          <w:rFonts w:hint="eastAsia" w:ascii="宋体" w:hAnsi="宋体" w:eastAsia="宋体" w:cs="宋体"/>
          <w:color w:val="auto"/>
          <w:kern w:val="2"/>
          <w:sz w:val="21"/>
          <w:szCs w:val="21"/>
          <w:highlight w:val="none"/>
          <w:lang w:val="en-US" w:eastAsia="zh-CN" w:bidi="ar-SA"/>
        </w:rPr>
        <w:t>（2）本项目报价（以人民币计价）应包含设计费、人工费、主材及标准附件、备品备件、辅材、开模费、包装、运输、保险、装卸、搬运费、技术措施费、机械进出场费、保管费、成品保护费、专用工具、技术资料、损耗、检测费、撤展、管理费、利润、国家税务部门规定的各项税金；原材料的涨价及政策性调整等风险费；相关伴随服务以及质保、售后服务等一切费用。供应商的报价应包括为完成本项目所发生的一切费用和税费，即响应磋商文件采购要求的所有各项应有费用，采购人将不再支付报价以外的任何费用。</w:t>
      </w:r>
      <w:r>
        <w:rPr>
          <w:rFonts w:hint="eastAsia" w:hAnsi="宋体" w:cs="宋体"/>
          <w:color w:val="auto"/>
          <w:sz w:val="21"/>
          <w:szCs w:val="21"/>
          <w:highlight w:val="none"/>
          <w:shd w:val="clear" w:color="auto" w:fill="auto"/>
          <w:lang w:val="en-US" w:eastAsia="zh-CN"/>
        </w:rPr>
        <w:t xml:space="preserve">                                    </w:t>
      </w:r>
    </w:p>
    <w:p>
      <w:pPr>
        <w:kinsoku w:val="0"/>
        <w:topLinePunct/>
        <w:snapToGrid w:val="0"/>
        <w:spacing w:line="360" w:lineRule="auto"/>
        <w:rPr>
          <w:rFonts w:hAnsi="宋体" w:cs="宋体"/>
          <w:color w:val="auto"/>
          <w:sz w:val="24"/>
          <w:szCs w:val="24"/>
          <w:highlight w:val="none"/>
          <w:shd w:val="clear" w:color="auto" w:fill="auto"/>
        </w:rPr>
      </w:pPr>
    </w:p>
    <w:p>
      <w:pPr>
        <w:kinsoku w:val="0"/>
        <w:topLinePunct/>
        <w:snapToGrid w:val="0"/>
        <w:spacing w:line="360" w:lineRule="auto"/>
        <w:rPr>
          <w:rFonts w:ascii="方正仿宋_GBK"/>
          <w:color w:val="auto"/>
          <w:sz w:val="24"/>
          <w:szCs w:val="24"/>
          <w:highlight w:val="none"/>
          <w:shd w:val="clear" w:color="auto" w:fill="auto"/>
        </w:rPr>
      </w:pPr>
    </w:p>
    <w:p>
      <w:pPr>
        <w:kinsoku w:val="0"/>
        <w:topLinePunct/>
        <w:snapToGrid w:val="0"/>
        <w:spacing w:line="360" w:lineRule="auto"/>
        <w:rPr>
          <w:rFonts w:hint="eastAsia" w:ascii="方正仿宋_GBK"/>
          <w:b/>
          <w:color w:val="auto"/>
          <w:sz w:val="24"/>
          <w:szCs w:val="24"/>
          <w:highlight w:val="none"/>
          <w:shd w:val="clear" w:color="auto" w:fill="auto"/>
        </w:rPr>
        <w:sectPr>
          <w:pgSz w:w="11906" w:h="16838"/>
          <w:pgMar w:top="1361" w:right="1361" w:bottom="1361" w:left="1361" w:header="851" w:footer="992" w:gutter="0"/>
          <w:cols w:space="720" w:num="1"/>
          <w:docGrid w:type="lines" w:linePitch="328" w:charSpace="0"/>
        </w:sectPr>
      </w:pPr>
      <w:r>
        <w:rPr>
          <w:rFonts w:hint="eastAsia" w:ascii="方正仿宋_GBK"/>
          <w:b/>
          <w:color w:val="auto"/>
          <w:sz w:val="24"/>
          <w:szCs w:val="24"/>
          <w:highlight w:val="none"/>
          <w:shd w:val="clear" w:color="auto" w:fill="auto"/>
        </w:rPr>
        <w:t>注：最终报价将现场填写，响应文件密封提交时只需填写磋商报价总计（首次）。</w:t>
      </w:r>
    </w:p>
    <w:p>
      <w:pPr>
        <w:shd w:val="clear"/>
        <w:spacing w:line="500" w:lineRule="exact"/>
        <w:ind w:left="487"/>
        <w:jc w:val="center"/>
        <w:outlineLvl w:val="3"/>
        <w:rPr>
          <w:rFonts w:hint="eastAsia" w:hAnsi="宋体" w:eastAsia="宋体" w:cs="宋体"/>
          <w:b/>
          <w:bCs/>
          <w:color w:val="auto"/>
          <w:sz w:val="28"/>
          <w:szCs w:val="28"/>
          <w:highlight w:val="none"/>
          <w:lang w:eastAsia="zh-CN"/>
        </w:rPr>
      </w:pPr>
      <w:r>
        <w:rPr>
          <w:rFonts w:hint="eastAsia" w:hAnsi="宋体" w:cs="宋体"/>
          <w:b/>
          <w:bCs/>
          <w:color w:val="auto"/>
          <w:sz w:val="28"/>
          <w:szCs w:val="28"/>
          <w:highlight w:val="none"/>
          <w:lang w:val="en-US" w:eastAsia="zh-CN"/>
        </w:rPr>
        <w:t>7</w:t>
      </w:r>
      <w:r>
        <w:rPr>
          <w:rFonts w:hint="eastAsia" w:hAnsi="宋体" w:cs="宋体"/>
          <w:b/>
          <w:bCs/>
          <w:color w:val="auto"/>
          <w:sz w:val="28"/>
          <w:szCs w:val="28"/>
          <w:highlight w:val="none"/>
        </w:rPr>
        <w:t>.磋商响应报价明细表</w:t>
      </w:r>
      <w:r>
        <w:rPr>
          <w:rFonts w:hint="eastAsia" w:hAnsi="宋体" w:cs="宋体"/>
          <w:b/>
          <w:bCs/>
          <w:color w:val="auto"/>
          <w:sz w:val="28"/>
          <w:szCs w:val="28"/>
          <w:highlight w:val="none"/>
          <w:lang w:eastAsia="zh-CN"/>
        </w:rPr>
        <w:t>（</w:t>
      </w:r>
      <w:r>
        <w:rPr>
          <w:rFonts w:hint="eastAsia" w:hAnsi="宋体" w:cs="宋体"/>
          <w:b/>
          <w:bCs/>
          <w:color w:val="auto"/>
          <w:sz w:val="28"/>
          <w:szCs w:val="28"/>
          <w:highlight w:val="none"/>
          <w:lang w:val="en-US" w:eastAsia="zh-CN"/>
        </w:rPr>
        <w:t>格式自拟</w:t>
      </w:r>
      <w:r>
        <w:rPr>
          <w:rFonts w:hint="eastAsia" w:hAnsi="宋体" w:cs="宋体"/>
          <w:b/>
          <w:bCs/>
          <w:color w:val="auto"/>
          <w:sz w:val="28"/>
          <w:szCs w:val="28"/>
          <w:highlight w:val="none"/>
          <w:lang w:eastAsia="zh-CN"/>
        </w:rPr>
        <w:t>）</w:t>
      </w:r>
    </w:p>
    <w:p>
      <w:pPr>
        <w:shd w:val="clear"/>
        <w:kinsoku w:val="0"/>
        <w:topLinePunct/>
        <w:snapToGrid w:val="0"/>
        <w:spacing w:line="520" w:lineRule="exact"/>
        <w:rPr>
          <w:rFonts w:ascii="方正仿宋_GBK"/>
          <w:b/>
          <w:color w:val="auto"/>
          <w:sz w:val="24"/>
          <w:szCs w:val="24"/>
          <w:highlight w:val="none"/>
        </w:rPr>
      </w:pPr>
      <w:r>
        <w:rPr>
          <w:rFonts w:hint="eastAsia" w:ascii="方正仿宋_GBK"/>
          <w:b/>
          <w:color w:val="auto"/>
          <w:sz w:val="24"/>
          <w:szCs w:val="24"/>
          <w:highlight w:val="none"/>
        </w:rPr>
        <w:t>项目</w:t>
      </w:r>
      <w:r>
        <w:rPr>
          <w:rFonts w:ascii="方正仿宋_GBK"/>
          <w:b/>
          <w:color w:val="auto"/>
          <w:sz w:val="24"/>
          <w:szCs w:val="24"/>
          <w:highlight w:val="none"/>
        </w:rPr>
        <w:t>名称：</w:t>
      </w:r>
    </w:p>
    <w:p>
      <w:pPr>
        <w:shd w:val="clear"/>
        <w:kinsoku w:val="0"/>
        <w:topLinePunct/>
        <w:snapToGrid w:val="0"/>
        <w:spacing w:line="520" w:lineRule="exact"/>
        <w:jc w:val="righ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jc w:val="righ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jc w:val="right"/>
        <w:rPr>
          <w:color w:val="auto"/>
          <w:highlight w:val="none"/>
        </w:rPr>
      </w:pPr>
      <w:r>
        <w:rPr>
          <w:rFonts w:hint="eastAsia" w:ascii="方正仿宋_GBK"/>
          <w:color w:val="auto"/>
          <w:sz w:val="24"/>
          <w:szCs w:val="24"/>
          <w:highlight w:val="none"/>
        </w:rPr>
        <w:t>日期：</w:t>
      </w:r>
    </w:p>
    <w:p>
      <w:pPr>
        <w:rPr>
          <w:color w:val="auto"/>
          <w:highlight w:val="none"/>
          <w:shd w:val="clear" w:color="auto" w:fill="auto"/>
        </w:rPr>
      </w:pPr>
    </w:p>
    <w:p>
      <w:pPr>
        <w:rPr>
          <w:color w:val="auto"/>
          <w:highlight w:val="none"/>
          <w:shd w:val="clear" w:color="auto" w:fill="auto"/>
        </w:rPr>
      </w:pPr>
    </w:p>
    <w:sectPr>
      <w:pgSz w:w="11906" w:h="16838"/>
      <w:pgMar w:top="1361" w:right="1361" w:bottom="1361" w:left="1361"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2"/>
      <w:lvlText w:val=""/>
      <w:lvlJc w:val="left"/>
      <w:pPr>
        <w:tabs>
          <w:tab w:val="left" w:pos="780"/>
        </w:tabs>
        <w:ind w:left="780" w:hanging="360"/>
      </w:pPr>
      <w:rPr>
        <w:rFonts w:ascii="Wingdings" w:hAnsi="Wingdings"/>
      </w:rPr>
    </w:lvl>
  </w:abstractNum>
  <w:abstractNum w:abstractNumId="1">
    <w:nsid w:val="00000002"/>
    <w:multiLevelType w:val="singleLevel"/>
    <w:tmpl w:val="00000002"/>
    <w:lvl w:ilvl="0" w:tentative="0">
      <w:start w:val="1"/>
      <w:numFmt w:val="decimal"/>
      <w:suff w:val="nothing"/>
      <w:lvlText w:val="（%1）"/>
      <w:lvlJc w:val="left"/>
      <w:pPr>
        <w:textAlignment w:val="baseline"/>
      </w:pPr>
    </w:lvl>
  </w:abstractNum>
  <w:abstractNum w:abstractNumId="2">
    <w:nsid w:val="461A5EC3"/>
    <w:multiLevelType w:val="singleLevel"/>
    <w:tmpl w:val="461A5EC3"/>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DgzZWU2Njk2YWFmOTg0NzQzMDU2NTE2ODQyYzAifQ=="/>
  </w:docVars>
  <w:rsids>
    <w:rsidRoot w:val="5B834815"/>
    <w:rsid w:val="000C591E"/>
    <w:rsid w:val="007720D8"/>
    <w:rsid w:val="00E8407D"/>
    <w:rsid w:val="00F32C76"/>
    <w:rsid w:val="01610122"/>
    <w:rsid w:val="01E005CD"/>
    <w:rsid w:val="01E03DA0"/>
    <w:rsid w:val="020C62E0"/>
    <w:rsid w:val="020D13AB"/>
    <w:rsid w:val="02C44E0D"/>
    <w:rsid w:val="049D0B33"/>
    <w:rsid w:val="04D4611C"/>
    <w:rsid w:val="05040C5C"/>
    <w:rsid w:val="061B25AA"/>
    <w:rsid w:val="06293905"/>
    <w:rsid w:val="06457E1B"/>
    <w:rsid w:val="06E061F8"/>
    <w:rsid w:val="08875D99"/>
    <w:rsid w:val="08E23539"/>
    <w:rsid w:val="09080023"/>
    <w:rsid w:val="0B00275A"/>
    <w:rsid w:val="0B043FF8"/>
    <w:rsid w:val="0B674587"/>
    <w:rsid w:val="0C122745"/>
    <w:rsid w:val="0C6D1992"/>
    <w:rsid w:val="0C8E5CB7"/>
    <w:rsid w:val="0C975D4D"/>
    <w:rsid w:val="0CC10B61"/>
    <w:rsid w:val="0D07487F"/>
    <w:rsid w:val="0DA25D4B"/>
    <w:rsid w:val="0E3566D2"/>
    <w:rsid w:val="0E9E05A7"/>
    <w:rsid w:val="0ED33CD7"/>
    <w:rsid w:val="0F111837"/>
    <w:rsid w:val="0F7A6F7F"/>
    <w:rsid w:val="0F976562"/>
    <w:rsid w:val="0FDC6611"/>
    <w:rsid w:val="109C4CD3"/>
    <w:rsid w:val="11054BE6"/>
    <w:rsid w:val="113076C2"/>
    <w:rsid w:val="11FB4E01"/>
    <w:rsid w:val="123063CE"/>
    <w:rsid w:val="12C16C73"/>
    <w:rsid w:val="130268C3"/>
    <w:rsid w:val="130A2A71"/>
    <w:rsid w:val="134C0C32"/>
    <w:rsid w:val="13ED4FAF"/>
    <w:rsid w:val="13F57B76"/>
    <w:rsid w:val="14FB646C"/>
    <w:rsid w:val="151C74EA"/>
    <w:rsid w:val="154F4FF0"/>
    <w:rsid w:val="15D62A35"/>
    <w:rsid w:val="16405702"/>
    <w:rsid w:val="1663647D"/>
    <w:rsid w:val="1720040C"/>
    <w:rsid w:val="172269B7"/>
    <w:rsid w:val="17636221"/>
    <w:rsid w:val="17FF0351"/>
    <w:rsid w:val="181426AF"/>
    <w:rsid w:val="18264164"/>
    <w:rsid w:val="19526D18"/>
    <w:rsid w:val="1A234EDD"/>
    <w:rsid w:val="1A697AC7"/>
    <w:rsid w:val="1B5508A0"/>
    <w:rsid w:val="1B944F25"/>
    <w:rsid w:val="1C2C303B"/>
    <w:rsid w:val="1C2D602B"/>
    <w:rsid w:val="1CA218C3"/>
    <w:rsid w:val="1D2D6BB9"/>
    <w:rsid w:val="1D8A189D"/>
    <w:rsid w:val="1EA23B46"/>
    <w:rsid w:val="1ED8758E"/>
    <w:rsid w:val="1EE33029"/>
    <w:rsid w:val="1F1539D3"/>
    <w:rsid w:val="1FD84531"/>
    <w:rsid w:val="1FF16DE9"/>
    <w:rsid w:val="204B441F"/>
    <w:rsid w:val="213845A4"/>
    <w:rsid w:val="214427AF"/>
    <w:rsid w:val="216D3E2C"/>
    <w:rsid w:val="21F7682D"/>
    <w:rsid w:val="22967CEF"/>
    <w:rsid w:val="23765646"/>
    <w:rsid w:val="24650157"/>
    <w:rsid w:val="24C85B57"/>
    <w:rsid w:val="24D551FF"/>
    <w:rsid w:val="262B46D7"/>
    <w:rsid w:val="26CF03AD"/>
    <w:rsid w:val="272A6F80"/>
    <w:rsid w:val="281958DB"/>
    <w:rsid w:val="290A3941"/>
    <w:rsid w:val="2A132F45"/>
    <w:rsid w:val="2A4F3BE0"/>
    <w:rsid w:val="2ACD32E2"/>
    <w:rsid w:val="2AD73080"/>
    <w:rsid w:val="2B157704"/>
    <w:rsid w:val="2CE65546"/>
    <w:rsid w:val="2D5B7F98"/>
    <w:rsid w:val="2DBE15BD"/>
    <w:rsid w:val="2E1365BA"/>
    <w:rsid w:val="2E295D1A"/>
    <w:rsid w:val="2E8B4F66"/>
    <w:rsid w:val="2EC52D15"/>
    <w:rsid w:val="2F185F7D"/>
    <w:rsid w:val="2F2F348A"/>
    <w:rsid w:val="2F4131BE"/>
    <w:rsid w:val="2FCB312E"/>
    <w:rsid w:val="30B04157"/>
    <w:rsid w:val="30BD6874"/>
    <w:rsid w:val="30FD5EE8"/>
    <w:rsid w:val="318F2126"/>
    <w:rsid w:val="33F9642F"/>
    <w:rsid w:val="344352E2"/>
    <w:rsid w:val="34957CEA"/>
    <w:rsid w:val="359E1A84"/>
    <w:rsid w:val="36A77DAA"/>
    <w:rsid w:val="37DE5CE7"/>
    <w:rsid w:val="37E82428"/>
    <w:rsid w:val="37F37085"/>
    <w:rsid w:val="39656606"/>
    <w:rsid w:val="39B546EA"/>
    <w:rsid w:val="3A217E73"/>
    <w:rsid w:val="3BB24E04"/>
    <w:rsid w:val="3C90253B"/>
    <w:rsid w:val="3D0E426F"/>
    <w:rsid w:val="3D211F38"/>
    <w:rsid w:val="3D6D1C91"/>
    <w:rsid w:val="3E004607"/>
    <w:rsid w:val="3E1F13E7"/>
    <w:rsid w:val="3E6A4D4D"/>
    <w:rsid w:val="3E7C4091"/>
    <w:rsid w:val="403A57EB"/>
    <w:rsid w:val="404E573A"/>
    <w:rsid w:val="40681178"/>
    <w:rsid w:val="40842F0A"/>
    <w:rsid w:val="415F3F89"/>
    <w:rsid w:val="41D80D76"/>
    <w:rsid w:val="41FB1B85"/>
    <w:rsid w:val="420C6E6A"/>
    <w:rsid w:val="42D737C5"/>
    <w:rsid w:val="42F425C9"/>
    <w:rsid w:val="43005FB1"/>
    <w:rsid w:val="445B167F"/>
    <w:rsid w:val="451C3A5F"/>
    <w:rsid w:val="452B2AE3"/>
    <w:rsid w:val="45BE2F8C"/>
    <w:rsid w:val="45E7338C"/>
    <w:rsid w:val="462705C0"/>
    <w:rsid w:val="46C35221"/>
    <w:rsid w:val="46CF5DD3"/>
    <w:rsid w:val="47F34762"/>
    <w:rsid w:val="48A20385"/>
    <w:rsid w:val="48C37541"/>
    <w:rsid w:val="48E22EC4"/>
    <w:rsid w:val="4A1D5D99"/>
    <w:rsid w:val="4ACB00B3"/>
    <w:rsid w:val="4B270CDD"/>
    <w:rsid w:val="4B8944F8"/>
    <w:rsid w:val="4C0D6A06"/>
    <w:rsid w:val="4C5916EF"/>
    <w:rsid w:val="4D080038"/>
    <w:rsid w:val="4D6B3A2E"/>
    <w:rsid w:val="4DF547DB"/>
    <w:rsid w:val="4DFD5290"/>
    <w:rsid w:val="4E45017D"/>
    <w:rsid w:val="4F265CEA"/>
    <w:rsid w:val="4F2A1121"/>
    <w:rsid w:val="4F37695C"/>
    <w:rsid w:val="4FF84CC2"/>
    <w:rsid w:val="50412B46"/>
    <w:rsid w:val="5146380C"/>
    <w:rsid w:val="51856AE2"/>
    <w:rsid w:val="518E5997"/>
    <w:rsid w:val="51C615D4"/>
    <w:rsid w:val="53161DC8"/>
    <w:rsid w:val="53511372"/>
    <w:rsid w:val="53F72CCF"/>
    <w:rsid w:val="540135DE"/>
    <w:rsid w:val="54F8055C"/>
    <w:rsid w:val="54FC20BB"/>
    <w:rsid w:val="556C4241"/>
    <w:rsid w:val="55A30387"/>
    <w:rsid w:val="56C1236A"/>
    <w:rsid w:val="57B450BA"/>
    <w:rsid w:val="57BB4A48"/>
    <w:rsid w:val="598362E0"/>
    <w:rsid w:val="5A417F7F"/>
    <w:rsid w:val="5A6821B9"/>
    <w:rsid w:val="5AA24261"/>
    <w:rsid w:val="5AFC6BFA"/>
    <w:rsid w:val="5B834815"/>
    <w:rsid w:val="5C437358"/>
    <w:rsid w:val="5C8E2CEF"/>
    <w:rsid w:val="5D5A4708"/>
    <w:rsid w:val="5EC75C15"/>
    <w:rsid w:val="5EE96902"/>
    <w:rsid w:val="5FD11B2D"/>
    <w:rsid w:val="602F2BF1"/>
    <w:rsid w:val="60480506"/>
    <w:rsid w:val="60D96770"/>
    <w:rsid w:val="61082EFA"/>
    <w:rsid w:val="610F0176"/>
    <w:rsid w:val="615A3AE7"/>
    <w:rsid w:val="61C15A4D"/>
    <w:rsid w:val="61E039FB"/>
    <w:rsid w:val="61F57F4F"/>
    <w:rsid w:val="641C76D4"/>
    <w:rsid w:val="649B2EE4"/>
    <w:rsid w:val="64E42046"/>
    <w:rsid w:val="65F71905"/>
    <w:rsid w:val="660266E7"/>
    <w:rsid w:val="661D3AC8"/>
    <w:rsid w:val="670634BB"/>
    <w:rsid w:val="673F7A07"/>
    <w:rsid w:val="681607A1"/>
    <w:rsid w:val="68B20400"/>
    <w:rsid w:val="6904786F"/>
    <w:rsid w:val="691A6407"/>
    <w:rsid w:val="692E30E7"/>
    <w:rsid w:val="693523D2"/>
    <w:rsid w:val="69650665"/>
    <w:rsid w:val="69CF11C8"/>
    <w:rsid w:val="69D33BD0"/>
    <w:rsid w:val="69DB153D"/>
    <w:rsid w:val="6A2922A9"/>
    <w:rsid w:val="6A4C76A7"/>
    <w:rsid w:val="6B6969C2"/>
    <w:rsid w:val="6BB67058"/>
    <w:rsid w:val="6C2C2E29"/>
    <w:rsid w:val="6CE546F0"/>
    <w:rsid w:val="6D7F761A"/>
    <w:rsid w:val="6DCC7B1B"/>
    <w:rsid w:val="6E1A330D"/>
    <w:rsid w:val="6E434D29"/>
    <w:rsid w:val="6E6D5B2F"/>
    <w:rsid w:val="6E996B81"/>
    <w:rsid w:val="6F0A2635"/>
    <w:rsid w:val="6F630159"/>
    <w:rsid w:val="6F7A500F"/>
    <w:rsid w:val="6FB6638D"/>
    <w:rsid w:val="720848A9"/>
    <w:rsid w:val="7284105E"/>
    <w:rsid w:val="7357054A"/>
    <w:rsid w:val="73BB48FA"/>
    <w:rsid w:val="73CC2623"/>
    <w:rsid w:val="74BE72A9"/>
    <w:rsid w:val="74E0620B"/>
    <w:rsid w:val="75D106FF"/>
    <w:rsid w:val="76AD4533"/>
    <w:rsid w:val="76CF5726"/>
    <w:rsid w:val="76DB0407"/>
    <w:rsid w:val="76FF1ACF"/>
    <w:rsid w:val="77FC2DAB"/>
    <w:rsid w:val="783669AD"/>
    <w:rsid w:val="79EA0346"/>
    <w:rsid w:val="7A0A5714"/>
    <w:rsid w:val="7A717BD9"/>
    <w:rsid w:val="7B0275D0"/>
    <w:rsid w:val="7B60135E"/>
    <w:rsid w:val="7BEE2280"/>
    <w:rsid w:val="7C377FD4"/>
    <w:rsid w:val="7C854A8A"/>
    <w:rsid w:val="7D417B49"/>
    <w:rsid w:val="7DA56205"/>
    <w:rsid w:val="7EBC6925"/>
    <w:rsid w:val="7EDB2E77"/>
    <w:rsid w:val="7EF56303"/>
    <w:rsid w:val="7F112624"/>
    <w:rsid w:val="7F4546DC"/>
    <w:rsid w:val="7F8A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5">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paragraph" w:styleId="6">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宋体"/>
      <w:color w:val="000000"/>
      <w:sz w:val="24"/>
      <w:szCs w:val="24"/>
      <w:u w:val="single"/>
      <w:lang w:val="en-US" w:eastAsia="zh-CN" w:bidi="ar-SA"/>
    </w:rPr>
  </w:style>
  <w:style w:type="paragraph" w:styleId="7">
    <w:name w:val="Normal Indent"/>
    <w:basedOn w:val="1"/>
    <w:qFormat/>
    <w:uiPriority w:val="0"/>
    <w:pPr>
      <w:adjustRightInd w:val="0"/>
      <w:ind w:firstLine="420"/>
      <w:jc w:val="left"/>
      <w:textAlignment w:val="baseline"/>
    </w:pPr>
    <w:rPr>
      <w:rFonts w:eastAsia="楷体_GB2312"/>
      <w:kern w:val="0"/>
      <w:sz w:val="24"/>
    </w:rPr>
  </w:style>
  <w:style w:type="paragraph" w:styleId="8">
    <w:name w:val="annotation text"/>
    <w:basedOn w:val="1"/>
    <w:qFormat/>
    <w:uiPriority w:val="0"/>
    <w:pPr>
      <w:jc w:val="left"/>
    </w:pPr>
  </w:style>
  <w:style w:type="paragraph" w:styleId="9">
    <w:name w:val="Body Text"/>
    <w:basedOn w:val="1"/>
    <w:next w:val="2"/>
    <w:qFormat/>
    <w:uiPriority w:val="0"/>
    <w:pPr>
      <w:spacing w:after="120"/>
    </w:pPr>
  </w:style>
  <w:style w:type="paragraph" w:styleId="10">
    <w:name w:val="Body Text Indent"/>
    <w:basedOn w:val="1"/>
    <w:next w:val="11"/>
    <w:unhideWhenUsed/>
    <w:qFormat/>
    <w:uiPriority w:val="99"/>
    <w:pPr>
      <w:spacing w:after="120"/>
      <w:ind w:left="420" w:leftChars="200"/>
    </w:pPr>
    <w:rPr>
      <w:szCs w:val="24"/>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Body Text Indent 2"/>
    <w:basedOn w:val="1"/>
    <w:qFormat/>
    <w:uiPriority w:val="0"/>
    <w:pPr>
      <w:spacing w:line="420" w:lineRule="exact"/>
      <w:ind w:firstLine="525"/>
    </w:pPr>
    <w:rPr>
      <w:rFonts w:ascii="宋体"/>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jc w:val="left"/>
      <w:textAlignment w:val="baseline"/>
    </w:pPr>
    <w:rPr>
      <w:rFonts w:eastAsia="楷体_GB2312"/>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next w:val="1"/>
    <w:unhideWhenUsed/>
    <w:qFormat/>
    <w:uiPriority w:val="99"/>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ListBullet2"/>
    <w:basedOn w:val="1"/>
    <w:qFormat/>
    <w:uiPriority w:val="99"/>
    <w:pPr>
      <w:numPr>
        <w:ilvl w:val="0"/>
        <w:numId w:val="1"/>
      </w:numPr>
    </w:pPr>
  </w:style>
  <w:style w:type="paragraph" w:customStyle="1" w:styleId="23">
    <w:name w:val="正文1"/>
    <w:basedOn w:val="1"/>
    <w:qFormat/>
    <w:uiPriority w:val="0"/>
    <w:pPr>
      <w:ind w:firstLine="361"/>
    </w:pPr>
    <w:rPr>
      <w:rFonts w:ascii="宋体" w:hAnsi="宋体"/>
      <w:szCs w:val="24"/>
    </w:rPr>
  </w:style>
  <w:style w:type="paragraph" w:customStyle="1" w:styleId="2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5">
    <w:name w:val="样式 小四 加粗"/>
    <w:basedOn w:val="21"/>
    <w:qFormat/>
    <w:uiPriority w:val="0"/>
    <w:rPr>
      <w:rFonts w:eastAsia="黑体"/>
      <w:b/>
      <w:bCs/>
      <w:sz w:val="24"/>
    </w:rPr>
  </w:style>
  <w:style w:type="character" w:customStyle="1" w:styleId="26">
    <w:name w:val="页眉 字符"/>
    <w:basedOn w:val="21"/>
    <w:link w:val="15"/>
    <w:qFormat/>
    <w:uiPriority w:val="0"/>
    <w:rPr>
      <w:kern w:val="2"/>
      <w:sz w:val="18"/>
      <w:szCs w:val="18"/>
    </w:rPr>
  </w:style>
  <w:style w:type="paragraph" w:customStyle="1" w:styleId="27">
    <w:name w:val="信息标题1"/>
    <w:basedOn w:val="1"/>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ind w:left="1080" w:hanging="1080"/>
    </w:pPr>
    <w:rPr>
      <w:rFonts w:ascii="Cambria" w:hAnsi="Cambria"/>
      <w:sz w:val="24"/>
      <w:szCs w:val="24"/>
    </w:rPr>
  </w:style>
  <w:style w:type="character" w:customStyle="1" w:styleId="28">
    <w:name w:val="NormalCharacter"/>
    <w:qFormat/>
    <w:uiPriority w:val="0"/>
  </w:style>
  <w:style w:type="paragraph" w:customStyle="1" w:styleId="29">
    <w:name w:val="正文缩进2格"/>
    <w:basedOn w:val="1"/>
    <w:qFormat/>
    <w:uiPriority w:val="0"/>
    <w:pPr>
      <w:spacing w:line="600" w:lineRule="exact"/>
      <w:ind w:firstLine="639"/>
    </w:pPr>
    <w:rPr>
      <w:rFonts w:ascii="仿宋_GB2312" w:hAnsi="宋体" w:eastAsia="仿宋_GB2312"/>
      <w:sz w:val="31"/>
      <w:szCs w:val="28"/>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character" w:customStyle="1" w:styleId="31">
    <w:name w:val="font21"/>
    <w:basedOn w:val="21"/>
    <w:qFormat/>
    <w:uiPriority w:val="0"/>
    <w:rPr>
      <w:rFonts w:hint="eastAsia" w:ascii="宋体" w:hAnsi="宋体" w:eastAsia="宋体" w:cs="宋体"/>
      <w:color w:val="000000"/>
      <w:sz w:val="22"/>
      <w:szCs w:val="22"/>
      <w:u w:val="none"/>
      <w:vertAlign w:val="superscript"/>
    </w:rPr>
  </w:style>
  <w:style w:type="character" w:customStyle="1" w:styleId="32">
    <w:name w:val="font01"/>
    <w:basedOn w:val="21"/>
    <w:qFormat/>
    <w:uiPriority w:val="0"/>
    <w:rPr>
      <w:rFonts w:hint="eastAsia" w:ascii="宋体" w:hAnsi="宋体" w:eastAsia="宋体" w:cs="宋体"/>
      <w:color w:val="000000"/>
      <w:sz w:val="22"/>
      <w:szCs w:val="22"/>
      <w:u w:val="none"/>
    </w:rPr>
  </w:style>
  <w:style w:type="character" w:customStyle="1" w:styleId="33">
    <w:name w:val="font31"/>
    <w:basedOn w:val="21"/>
    <w:qFormat/>
    <w:uiPriority w:val="0"/>
    <w:rPr>
      <w:rFonts w:hint="eastAsia" w:ascii="宋体" w:hAnsi="宋体" w:eastAsia="宋体" w:cs="宋体"/>
      <w:color w:val="000000"/>
      <w:sz w:val="22"/>
      <w:szCs w:val="22"/>
      <w:u w:val="none"/>
      <w:vertAlign w:val="superscript"/>
    </w:rPr>
  </w:style>
  <w:style w:type="character" w:customStyle="1" w:styleId="34">
    <w:name w:val="font41"/>
    <w:basedOn w:val="2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6216</Words>
  <Characters>6434</Characters>
  <Lines>119</Lines>
  <Paragraphs>33</Paragraphs>
  <TotalTime>7</TotalTime>
  <ScaleCrop>false</ScaleCrop>
  <LinksUpToDate>false</LinksUpToDate>
  <CharactersWithSpaces>6476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2024-03-20T06:47:00Z</dcterms:created>
  <dc:creator>Dell</dc:creator>
  <cp:lastModifiedBy>L</cp:lastModifiedBy>
  <cp:lastPrinted>2024-03-21T02:02:00Z</cp:lastPrinted>
  <dcterms:modified xsi:type="dcterms:W3CDTF">2025-11-17T09:06:23Z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F6C3C3D46F7C431EB5A72E0DBD339E96_13</vt:lpwstr>
  </property>
  <property fmtid="{D5CDD505-2E9C-101B-9397-08002B2CF9AE}" pid="4" name="KSOTemplateDocerSaveRecord">
    <vt:lpwstr>eyJoZGlkIjoiNzc3NGZiODMwZWIxNGQ1ZGM3NzU3NzM0MzJmZjJlOWYiLCJ1c2VySWQiOiIxMjY5NzgzNzg4In0=</vt:lpwstr>
  </property>
</Properties>
</file>