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F54DD2">
      <w:pPr>
        <w:pStyle w:val="75"/>
        <w:rPr>
          <w:w w:val="80"/>
        </w:rPr>
      </w:pPr>
    </w:p>
    <w:p w14:paraId="4DFD5B7E">
      <w:pPr>
        <w:tabs>
          <w:tab w:val="left" w:pos="6300"/>
        </w:tabs>
        <w:snapToGrid w:val="0"/>
        <w:spacing w:line="300" w:lineRule="auto"/>
        <w:jc w:val="center"/>
        <w:rPr>
          <w:rFonts w:ascii="宋体" w:hAnsi="宋体" w:cs="宋体"/>
          <w:b/>
          <w:sz w:val="44"/>
          <w:szCs w:val="44"/>
        </w:rPr>
      </w:pPr>
    </w:p>
    <w:p w14:paraId="0F7FD113">
      <w:pPr>
        <w:tabs>
          <w:tab w:val="left" w:pos="6300"/>
        </w:tabs>
        <w:snapToGrid w:val="0"/>
        <w:spacing w:line="300" w:lineRule="auto"/>
        <w:jc w:val="center"/>
        <w:rPr>
          <w:rFonts w:ascii="宋体" w:hAnsi="宋体" w:cs="宋体"/>
          <w:b/>
          <w:sz w:val="44"/>
          <w:szCs w:val="44"/>
        </w:rPr>
      </w:pPr>
    </w:p>
    <w:p w14:paraId="6A06CEF2">
      <w:pPr>
        <w:tabs>
          <w:tab w:val="left" w:pos="6300"/>
        </w:tabs>
        <w:snapToGrid w:val="0"/>
        <w:spacing w:line="300" w:lineRule="auto"/>
        <w:jc w:val="center"/>
        <w:rPr>
          <w:rFonts w:ascii="宋体" w:hAnsi="宋体" w:cs="宋体"/>
          <w:b/>
          <w:sz w:val="44"/>
          <w:szCs w:val="44"/>
        </w:rPr>
      </w:pPr>
      <w:r>
        <w:rPr>
          <w:rFonts w:hint="eastAsia" w:ascii="宋体" w:hAnsi="宋体" w:cs="宋体"/>
          <w:b/>
          <w:sz w:val="44"/>
          <w:szCs w:val="44"/>
        </w:rPr>
        <w:t>南通市文广旅系统消防安全技术与</w:t>
      </w:r>
    </w:p>
    <w:p w14:paraId="24ECEAB4">
      <w:pPr>
        <w:tabs>
          <w:tab w:val="left" w:pos="6300"/>
        </w:tabs>
        <w:snapToGrid w:val="0"/>
        <w:spacing w:line="300" w:lineRule="auto"/>
        <w:jc w:val="center"/>
        <w:rPr>
          <w:rFonts w:ascii="宋体" w:hAnsi="宋体" w:cs="宋体"/>
          <w:b/>
          <w:sz w:val="44"/>
          <w:szCs w:val="44"/>
        </w:rPr>
      </w:pPr>
      <w:r>
        <w:rPr>
          <w:rFonts w:hint="eastAsia" w:ascii="宋体" w:hAnsi="宋体" w:cs="宋体"/>
          <w:b/>
          <w:sz w:val="44"/>
          <w:szCs w:val="44"/>
        </w:rPr>
        <w:t>事务第三方服务项目</w:t>
      </w:r>
    </w:p>
    <w:p w14:paraId="2842E9BF">
      <w:pPr>
        <w:tabs>
          <w:tab w:val="left" w:pos="6300"/>
        </w:tabs>
        <w:snapToGrid w:val="0"/>
        <w:spacing w:line="300" w:lineRule="auto"/>
        <w:jc w:val="center"/>
        <w:rPr>
          <w:rFonts w:ascii="宋体" w:hAnsi="宋体" w:cs="宋体"/>
          <w:b/>
          <w:w w:val="80"/>
          <w:sz w:val="96"/>
          <w:szCs w:val="96"/>
        </w:rPr>
      </w:pPr>
    </w:p>
    <w:p w14:paraId="3D42B770">
      <w:pPr>
        <w:tabs>
          <w:tab w:val="left" w:pos="6300"/>
        </w:tabs>
        <w:snapToGrid w:val="0"/>
        <w:spacing w:line="300" w:lineRule="auto"/>
        <w:jc w:val="center"/>
        <w:rPr>
          <w:rFonts w:ascii="宋体" w:hAnsi="宋体" w:cs="宋体"/>
          <w:b/>
          <w:w w:val="80"/>
          <w:sz w:val="36"/>
          <w:szCs w:val="36"/>
          <w:highlight w:val="none"/>
        </w:rPr>
      </w:pPr>
    </w:p>
    <w:p w14:paraId="0A3CE4BF">
      <w:pPr>
        <w:tabs>
          <w:tab w:val="left" w:pos="6300"/>
        </w:tabs>
        <w:snapToGrid w:val="0"/>
        <w:spacing w:line="300" w:lineRule="auto"/>
        <w:jc w:val="center"/>
        <w:rPr>
          <w:rFonts w:ascii="宋体" w:hAnsi="宋体" w:cs="宋体"/>
          <w:b/>
          <w:w w:val="80"/>
          <w:sz w:val="36"/>
          <w:szCs w:val="36"/>
          <w:highlight w:val="none"/>
        </w:rPr>
      </w:pPr>
    </w:p>
    <w:p w14:paraId="12CA4F87">
      <w:pPr>
        <w:tabs>
          <w:tab w:val="left" w:pos="6300"/>
        </w:tabs>
        <w:snapToGrid w:val="0"/>
        <w:spacing w:line="300" w:lineRule="auto"/>
        <w:jc w:val="center"/>
        <w:rPr>
          <w:rFonts w:ascii="宋体" w:hAnsi="宋体" w:cs="宋体"/>
          <w:b/>
          <w:sz w:val="44"/>
          <w:szCs w:val="44"/>
          <w:highlight w:val="none"/>
        </w:rPr>
      </w:pPr>
      <w:r>
        <w:rPr>
          <w:rFonts w:hint="eastAsia" w:ascii="宋体" w:hAnsi="宋体" w:cs="宋体"/>
          <w:b/>
          <w:sz w:val="44"/>
          <w:szCs w:val="44"/>
          <w:highlight w:val="none"/>
        </w:rPr>
        <w:t>竞争性磋商文件</w:t>
      </w:r>
    </w:p>
    <w:p w14:paraId="59F0E099">
      <w:pPr>
        <w:jc w:val="center"/>
        <w:rPr>
          <w:rFonts w:ascii="宋体" w:hAnsi="宋体" w:cs="宋体"/>
          <w:b/>
          <w:color w:val="FF0000"/>
          <w:sz w:val="30"/>
          <w:szCs w:val="30"/>
          <w:highlight w:val="none"/>
        </w:rPr>
      </w:pPr>
      <w:r>
        <w:rPr>
          <w:rFonts w:hint="eastAsia" w:ascii="宋体" w:hAnsi="宋体" w:cs="宋体"/>
          <w:b/>
          <w:sz w:val="30"/>
          <w:szCs w:val="30"/>
          <w:highlight w:val="none"/>
        </w:rPr>
        <w:t>项目编码：NTWC2024055</w:t>
      </w:r>
    </w:p>
    <w:p w14:paraId="40B7B4D0">
      <w:pPr>
        <w:snapToGrid w:val="0"/>
        <w:spacing w:line="360" w:lineRule="auto"/>
        <w:rPr>
          <w:rFonts w:ascii="宋体" w:hAnsi="宋体" w:cs="宋体"/>
          <w:b/>
          <w:sz w:val="24"/>
          <w:szCs w:val="24"/>
          <w:highlight w:val="none"/>
        </w:rPr>
      </w:pPr>
    </w:p>
    <w:p w14:paraId="56DB869A">
      <w:pPr>
        <w:snapToGrid w:val="0"/>
        <w:spacing w:line="360" w:lineRule="auto"/>
        <w:jc w:val="center"/>
        <w:rPr>
          <w:rFonts w:ascii="宋体" w:hAnsi="宋体" w:cs="宋体"/>
          <w:b/>
          <w:sz w:val="36"/>
          <w:highlight w:val="none"/>
        </w:rPr>
      </w:pPr>
    </w:p>
    <w:p w14:paraId="6AF0EB85">
      <w:pPr>
        <w:snapToGrid w:val="0"/>
        <w:spacing w:line="360" w:lineRule="auto"/>
        <w:rPr>
          <w:rFonts w:ascii="宋体" w:hAnsi="宋体" w:cs="宋体"/>
          <w:b/>
          <w:sz w:val="36"/>
          <w:highlight w:val="none"/>
        </w:rPr>
      </w:pPr>
    </w:p>
    <w:p w14:paraId="4DDAD77B">
      <w:pPr>
        <w:snapToGrid w:val="0"/>
        <w:spacing w:line="360" w:lineRule="auto"/>
        <w:rPr>
          <w:rFonts w:ascii="宋体" w:hAnsi="宋体" w:cs="宋体"/>
          <w:b/>
          <w:sz w:val="36"/>
          <w:highlight w:val="none"/>
        </w:rPr>
      </w:pPr>
    </w:p>
    <w:p w14:paraId="6E74F5A4">
      <w:pPr>
        <w:snapToGrid w:val="0"/>
        <w:spacing w:line="360" w:lineRule="auto"/>
        <w:rPr>
          <w:rFonts w:ascii="宋体" w:hAnsi="宋体" w:cs="宋体"/>
          <w:b/>
          <w:sz w:val="36"/>
          <w:highlight w:val="none"/>
        </w:rPr>
      </w:pPr>
    </w:p>
    <w:p w14:paraId="4FEB49BF">
      <w:pPr>
        <w:snapToGrid w:val="0"/>
        <w:spacing w:line="360" w:lineRule="auto"/>
        <w:rPr>
          <w:rFonts w:ascii="宋体" w:hAnsi="宋体" w:cs="宋体"/>
          <w:b/>
          <w:sz w:val="36"/>
          <w:highlight w:val="none"/>
        </w:rPr>
      </w:pPr>
    </w:p>
    <w:p w14:paraId="78352794">
      <w:pPr>
        <w:snapToGrid w:val="0"/>
        <w:spacing w:line="360" w:lineRule="auto"/>
        <w:rPr>
          <w:rFonts w:ascii="宋体" w:hAnsi="宋体" w:cs="宋体"/>
          <w:b/>
          <w:sz w:val="36"/>
          <w:highlight w:val="none"/>
        </w:rPr>
      </w:pPr>
    </w:p>
    <w:p w14:paraId="20686E6B">
      <w:pPr>
        <w:adjustRightInd w:val="0"/>
        <w:snapToGrid w:val="0"/>
        <w:spacing w:line="480" w:lineRule="auto"/>
        <w:rPr>
          <w:rFonts w:ascii="宋体" w:hAnsi="宋体" w:cs="宋体"/>
          <w:b/>
          <w:sz w:val="30"/>
          <w:szCs w:val="30"/>
          <w:highlight w:val="none"/>
        </w:rPr>
      </w:pPr>
      <w:bookmarkStart w:id="0" w:name="_Toc11499583"/>
      <w:bookmarkStart w:id="1" w:name="_Toc94544743"/>
      <w:bookmarkStart w:id="2" w:name="_Toc94544827"/>
      <w:bookmarkStart w:id="3" w:name="_Toc521201596"/>
      <w:bookmarkStart w:id="4" w:name="_Toc94585339"/>
      <w:bookmarkStart w:id="5" w:name="_Toc11500279"/>
      <w:bookmarkStart w:id="6" w:name="_Toc8895738"/>
      <w:bookmarkStart w:id="7" w:name="_Toc12670502"/>
      <w:bookmarkStart w:id="8" w:name="_Toc11554638"/>
      <w:bookmarkStart w:id="9" w:name="_Toc521203417"/>
      <w:r>
        <w:rPr>
          <w:rFonts w:hint="eastAsia" w:ascii="宋体" w:hAnsi="宋体" w:cs="宋体"/>
          <w:b/>
          <w:sz w:val="30"/>
          <w:szCs w:val="30"/>
          <w:highlight w:val="none"/>
        </w:rPr>
        <w:t xml:space="preserve">             采购单位：南通市文化广电和旅游局</w:t>
      </w:r>
    </w:p>
    <w:p w14:paraId="69D7AF37">
      <w:pPr>
        <w:adjustRightInd w:val="0"/>
        <w:snapToGrid w:val="0"/>
        <w:spacing w:line="480" w:lineRule="auto"/>
        <w:rPr>
          <w:rFonts w:ascii="宋体" w:hAnsi="宋体" w:cs="宋体"/>
          <w:b/>
          <w:sz w:val="30"/>
          <w:szCs w:val="30"/>
          <w:highlight w:val="none"/>
        </w:rPr>
      </w:pPr>
      <w:r>
        <w:rPr>
          <w:rFonts w:hint="eastAsia" w:ascii="宋体" w:hAnsi="宋体" w:cs="宋体"/>
          <w:b/>
          <w:sz w:val="30"/>
          <w:szCs w:val="30"/>
          <w:highlight w:val="none"/>
        </w:rPr>
        <w:t xml:space="preserve">             代理机构：南通通城建设工程项目管理有限公司</w:t>
      </w:r>
    </w:p>
    <w:p w14:paraId="437E9003">
      <w:pPr>
        <w:adjustRightInd w:val="0"/>
        <w:snapToGrid w:val="0"/>
        <w:spacing w:line="480" w:lineRule="auto"/>
        <w:jc w:val="center"/>
        <w:rPr>
          <w:rFonts w:ascii="宋体" w:hAnsi="宋体" w:cs="宋体"/>
          <w:b/>
          <w:sz w:val="30"/>
          <w:szCs w:val="30"/>
          <w:highlight w:val="none"/>
        </w:rPr>
      </w:pPr>
      <w:r>
        <w:rPr>
          <w:rFonts w:hint="eastAsia" w:ascii="宋体" w:hAnsi="宋体" w:cs="宋体"/>
          <w:b/>
          <w:sz w:val="30"/>
          <w:szCs w:val="30"/>
          <w:highlight w:val="none"/>
        </w:rPr>
        <w:t>二〇二四年十月</w:t>
      </w:r>
      <w:r>
        <w:rPr>
          <w:rFonts w:hint="eastAsia" w:ascii="宋体" w:hAnsi="宋体" w:cs="宋体"/>
          <w:b/>
          <w:sz w:val="30"/>
          <w:szCs w:val="30"/>
          <w:highlight w:val="none"/>
          <w:lang w:val="en-US" w:eastAsia="zh-CN"/>
        </w:rPr>
        <w:t>十六</w:t>
      </w:r>
      <w:r>
        <w:rPr>
          <w:rFonts w:hint="eastAsia" w:ascii="宋体" w:hAnsi="宋体" w:cs="宋体"/>
          <w:b/>
          <w:sz w:val="30"/>
          <w:szCs w:val="30"/>
          <w:highlight w:val="none"/>
        </w:rPr>
        <w:t>日</w:t>
      </w:r>
    </w:p>
    <w:p w14:paraId="0947DFE5">
      <w:pPr>
        <w:overflowPunct w:val="0"/>
        <w:rPr>
          <w:rFonts w:ascii="宋体" w:hAnsi="宋体" w:cs="宋体"/>
          <w:b/>
          <w:sz w:val="32"/>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113" w:bottom="1134" w:left="1255" w:header="851" w:footer="992" w:gutter="0"/>
          <w:pgNumType w:fmt="numberInDash" w:start="1"/>
          <w:cols w:space="720" w:num="1"/>
          <w:titlePg/>
          <w:docGrid w:linePitch="380" w:charSpace="-5735"/>
        </w:sectPr>
      </w:pPr>
    </w:p>
    <w:p w14:paraId="779903BE">
      <w:pPr>
        <w:jc w:val="center"/>
        <w:rPr>
          <w:rFonts w:ascii="宋体" w:hAnsi="宋体" w:cs="宋体"/>
          <w:b/>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14:paraId="4A639FEA">
      <w:pPr>
        <w:jc w:val="center"/>
        <w:rPr>
          <w:rFonts w:ascii="宋体" w:hAnsi="宋体" w:cs="宋体"/>
          <w:b/>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14:paraId="573323D9">
      <w:pPr>
        <w:pStyle w:val="22"/>
        <w:tabs>
          <w:tab w:val="left" w:pos="1050"/>
          <w:tab w:val="right" w:leader="dot" w:pos="9402"/>
        </w:tabs>
        <w:spacing w:line="960" w:lineRule="exact"/>
        <w:ind w:left="0"/>
        <w:jc w:val="center"/>
        <w:outlineLvl w:val="0"/>
        <w:rPr>
          <w:rFonts w:ascii="宋体" w:hAnsi="宋体" w:cs="宋体"/>
          <w:b/>
          <w:i w:val="0"/>
          <w:w w:val="80"/>
          <w:sz w:val="52"/>
          <w:szCs w:val="52"/>
          <w:highlight w:val="none"/>
        </w:rPr>
      </w:pPr>
      <w:r>
        <w:rPr>
          <w:rFonts w:hint="eastAsia" w:ascii="宋体" w:hAnsi="宋体" w:cs="宋体"/>
          <w:b/>
          <w:i w:val="0"/>
          <w:w w:val="80"/>
          <w:sz w:val="52"/>
          <w:szCs w:val="52"/>
          <w:highlight w:val="none"/>
        </w:rPr>
        <w:t>目   录</w:t>
      </w:r>
    </w:p>
    <w:p w14:paraId="60997D48">
      <w:pPr>
        <w:spacing w:line="800" w:lineRule="exact"/>
        <w:jc w:val="center"/>
        <w:rPr>
          <w:rFonts w:ascii="宋体" w:hAnsi="宋体" w:cs="宋体"/>
          <w:b/>
          <w:sz w:val="52"/>
          <w:szCs w:val="52"/>
          <w:highlight w:val="none"/>
        </w:rPr>
      </w:pPr>
    </w:p>
    <w:p w14:paraId="1559F064">
      <w:pPr>
        <w:pStyle w:val="22"/>
        <w:tabs>
          <w:tab w:val="left" w:pos="1050"/>
          <w:tab w:val="right" w:leader="dot" w:pos="9402"/>
        </w:tabs>
        <w:spacing w:line="520" w:lineRule="exact"/>
        <w:ind w:left="0"/>
        <w:rPr>
          <w:rFonts w:ascii="宋体" w:hAnsi="宋体" w:cs="宋体"/>
          <w:i w:val="0"/>
          <w:w w:val="80"/>
          <w:sz w:val="36"/>
          <w:szCs w:val="36"/>
          <w:highlight w:val="none"/>
        </w:rPr>
      </w:pPr>
      <w:r>
        <w:rPr>
          <w:rFonts w:hint="eastAsia" w:ascii="宋体" w:hAnsi="宋体" w:cs="宋体"/>
          <w:i w:val="0"/>
          <w:w w:val="80"/>
          <w:sz w:val="36"/>
          <w:szCs w:val="36"/>
          <w:highlight w:val="none"/>
        </w:rPr>
        <w:t>第一章       竞争性磋商公告</w:t>
      </w:r>
    </w:p>
    <w:p w14:paraId="4299D0E5">
      <w:pPr>
        <w:rPr>
          <w:rFonts w:ascii="宋体" w:hAnsi="宋体" w:cs="宋体"/>
          <w:sz w:val="36"/>
          <w:szCs w:val="36"/>
          <w:highlight w:val="none"/>
        </w:rPr>
      </w:pPr>
    </w:p>
    <w:p w14:paraId="6C1A5B85">
      <w:pPr>
        <w:pStyle w:val="22"/>
        <w:tabs>
          <w:tab w:val="left" w:pos="1050"/>
          <w:tab w:val="right" w:leader="dot" w:pos="9402"/>
        </w:tabs>
        <w:spacing w:line="520" w:lineRule="exact"/>
        <w:ind w:left="0"/>
        <w:rPr>
          <w:rFonts w:ascii="宋体" w:hAnsi="宋体" w:cs="宋体"/>
          <w:i w:val="0"/>
          <w:w w:val="80"/>
          <w:sz w:val="36"/>
          <w:szCs w:val="36"/>
          <w:highlight w:val="none"/>
        </w:rPr>
      </w:pPr>
      <w:r>
        <w:rPr>
          <w:rFonts w:hint="eastAsia" w:ascii="宋体" w:hAnsi="宋体" w:cs="宋体"/>
          <w:i w:val="0"/>
          <w:w w:val="80"/>
          <w:sz w:val="36"/>
          <w:szCs w:val="36"/>
          <w:highlight w:val="none"/>
        </w:rPr>
        <w:t>第二章       磋商供应商须知</w:t>
      </w:r>
    </w:p>
    <w:p w14:paraId="3092B160">
      <w:pPr>
        <w:rPr>
          <w:rFonts w:ascii="宋体" w:hAnsi="宋体" w:cs="宋体"/>
          <w:sz w:val="36"/>
          <w:szCs w:val="36"/>
          <w:highlight w:val="none"/>
        </w:rPr>
      </w:pPr>
    </w:p>
    <w:p w14:paraId="0649AD77">
      <w:pPr>
        <w:pStyle w:val="22"/>
        <w:tabs>
          <w:tab w:val="left" w:pos="1050"/>
          <w:tab w:val="right" w:leader="dot" w:pos="9402"/>
        </w:tabs>
        <w:spacing w:line="520" w:lineRule="exact"/>
        <w:ind w:left="1"/>
        <w:rPr>
          <w:rFonts w:ascii="宋体" w:hAnsi="宋体" w:cs="宋体"/>
          <w:i w:val="0"/>
          <w:w w:val="80"/>
          <w:sz w:val="36"/>
          <w:szCs w:val="36"/>
          <w:highlight w:val="none"/>
        </w:rPr>
      </w:pPr>
      <w:r>
        <w:rPr>
          <w:rFonts w:hint="eastAsia" w:ascii="宋体" w:hAnsi="宋体" w:cs="宋体"/>
          <w:i w:val="0"/>
          <w:w w:val="80"/>
          <w:sz w:val="36"/>
          <w:szCs w:val="36"/>
          <w:highlight w:val="none"/>
        </w:rPr>
        <w:t>第三章       项目需求</w:t>
      </w:r>
    </w:p>
    <w:p w14:paraId="29F0ADC2">
      <w:pPr>
        <w:rPr>
          <w:rFonts w:ascii="宋体" w:hAnsi="宋体" w:cs="宋体"/>
          <w:sz w:val="36"/>
          <w:szCs w:val="36"/>
          <w:highlight w:val="none"/>
        </w:rPr>
      </w:pPr>
    </w:p>
    <w:p w14:paraId="11588D9B">
      <w:pPr>
        <w:pStyle w:val="22"/>
        <w:tabs>
          <w:tab w:val="left" w:pos="1050"/>
          <w:tab w:val="right" w:leader="dot" w:pos="9402"/>
        </w:tabs>
        <w:spacing w:line="520" w:lineRule="exact"/>
        <w:ind w:left="0"/>
        <w:rPr>
          <w:rFonts w:ascii="宋体" w:hAnsi="宋体" w:cs="宋体"/>
          <w:i w:val="0"/>
          <w:w w:val="80"/>
          <w:sz w:val="36"/>
          <w:szCs w:val="36"/>
          <w:highlight w:val="none"/>
        </w:rPr>
      </w:pPr>
      <w:r>
        <w:rPr>
          <w:rFonts w:hint="eastAsia" w:ascii="宋体" w:hAnsi="宋体" w:cs="宋体"/>
          <w:i w:val="0"/>
          <w:w w:val="80"/>
          <w:sz w:val="36"/>
          <w:szCs w:val="36"/>
          <w:highlight w:val="none"/>
        </w:rPr>
        <w:t>第四章       评审方法和程序</w:t>
      </w:r>
    </w:p>
    <w:p w14:paraId="607F092D">
      <w:pPr>
        <w:rPr>
          <w:rFonts w:ascii="宋体" w:hAnsi="宋体" w:cs="宋体"/>
          <w:i/>
          <w:w w:val="80"/>
          <w:sz w:val="36"/>
          <w:szCs w:val="36"/>
          <w:highlight w:val="none"/>
        </w:rPr>
      </w:pPr>
    </w:p>
    <w:p w14:paraId="6C1E7C15">
      <w:pPr>
        <w:pStyle w:val="22"/>
        <w:numPr>
          <w:ilvl w:val="0"/>
          <w:numId w:val="2"/>
        </w:numPr>
        <w:tabs>
          <w:tab w:val="left" w:pos="1050"/>
          <w:tab w:val="right" w:leader="dot" w:pos="9402"/>
        </w:tabs>
        <w:spacing w:line="520" w:lineRule="exact"/>
        <w:ind w:left="0"/>
        <w:rPr>
          <w:rFonts w:ascii="宋体" w:hAnsi="宋体" w:cs="宋体"/>
          <w:i w:val="0"/>
          <w:iCs/>
          <w:w w:val="80"/>
          <w:sz w:val="36"/>
          <w:szCs w:val="36"/>
          <w:highlight w:val="none"/>
        </w:rPr>
      </w:pPr>
      <w:r>
        <w:rPr>
          <w:rFonts w:hint="eastAsia" w:ascii="宋体" w:hAnsi="宋体" w:cs="宋体"/>
          <w:i w:val="0"/>
          <w:iCs/>
          <w:w w:val="80"/>
          <w:sz w:val="36"/>
          <w:szCs w:val="36"/>
          <w:highlight w:val="none"/>
        </w:rPr>
        <w:t xml:space="preserve">      合同授予</w:t>
      </w:r>
    </w:p>
    <w:p w14:paraId="37FC6AB0">
      <w:pPr>
        <w:rPr>
          <w:rFonts w:ascii="宋体" w:hAnsi="宋体" w:cs="宋体"/>
          <w:sz w:val="36"/>
          <w:szCs w:val="36"/>
          <w:highlight w:val="none"/>
        </w:rPr>
      </w:pPr>
    </w:p>
    <w:p w14:paraId="555FFC8F">
      <w:pPr>
        <w:pStyle w:val="22"/>
        <w:tabs>
          <w:tab w:val="left" w:pos="1050"/>
          <w:tab w:val="right" w:leader="dot" w:pos="9402"/>
        </w:tabs>
        <w:spacing w:line="520" w:lineRule="exact"/>
        <w:ind w:left="0"/>
        <w:rPr>
          <w:rFonts w:ascii="宋体" w:hAnsi="宋体" w:cs="宋体"/>
          <w:i w:val="0"/>
          <w:w w:val="80"/>
          <w:sz w:val="36"/>
          <w:szCs w:val="36"/>
          <w:highlight w:val="none"/>
        </w:rPr>
      </w:pPr>
      <w:r>
        <w:rPr>
          <w:rFonts w:hint="eastAsia" w:ascii="宋体" w:hAnsi="宋体" w:cs="宋体"/>
          <w:i w:val="0"/>
          <w:w w:val="80"/>
          <w:sz w:val="36"/>
          <w:szCs w:val="36"/>
          <w:highlight w:val="none"/>
        </w:rPr>
        <w:t>第六章       响应文件组成及格式</w:t>
      </w:r>
    </w:p>
    <w:p w14:paraId="06EF93EC">
      <w:pPr>
        <w:rPr>
          <w:rFonts w:ascii="宋体" w:hAnsi="宋体" w:cs="宋体"/>
          <w:sz w:val="36"/>
          <w:szCs w:val="36"/>
          <w:highlight w:val="none"/>
        </w:rPr>
      </w:pPr>
    </w:p>
    <w:p w14:paraId="2CF46E96">
      <w:pPr>
        <w:rPr>
          <w:rFonts w:ascii="宋体" w:hAnsi="宋体" w:cs="宋体"/>
          <w:sz w:val="36"/>
          <w:szCs w:val="36"/>
          <w:highlight w:val="none"/>
        </w:rPr>
      </w:pPr>
    </w:p>
    <w:p w14:paraId="58A37B86">
      <w:pPr>
        <w:snapToGrid w:val="0"/>
        <w:spacing w:line="360" w:lineRule="auto"/>
        <w:rPr>
          <w:rFonts w:ascii="宋体" w:hAnsi="宋体" w:cs="宋体"/>
          <w:b/>
          <w:szCs w:val="21"/>
          <w:highlight w:val="none"/>
        </w:rPr>
      </w:pPr>
      <w:r>
        <w:rPr>
          <w:rFonts w:hint="eastAsia" w:ascii="宋体" w:hAnsi="宋体" w:cs="宋体"/>
          <w:b/>
          <w:szCs w:val="21"/>
          <w:highlight w:val="none"/>
        </w:rPr>
        <w:br w:type="page"/>
      </w:r>
    </w:p>
    <w:p w14:paraId="4E627D4D">
      <w:pPr>
        <w:snapToGrid w:val="0"/>
        <w:spacing w:line="360" w:lineRule="auto"/>
        <w:rPr>
          <w:rFonts w:ascii="宋体" w:hAnsi="宋体" w:cs="宋体"/>
          <w:b/>
          <w:szCs w:val="21"/>
          <w:highlight w:val="none"/>
        </w:rPr>
      </w:pPr>
      <w:r>
        <w:rPr>
          <w:rFonts w:hint="eastAsia" w:ascii="宋体" w:hAnsi="宋体" w:cs="宋体"/>
          <w:b/>
          <w:szCs w:val="21"/>
          <w:highlight w:val="none"/>
        </w:rPr>
        <w:t>尊敬的磋商供应商：</w:t>
      </w:r>
    </w:p>
    <w:p w14:paraId="3303B65C">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欢迎参加本采购项目的竞争性磋商。为了保证本次磋商项目顺利进行，请在制作响应文件之前，仔细阅读本竞争性磋商文件的各项条款，并按要求制作和递交响应文件。谢谢合作！</w:t>
      </w:r>
    </w:p>
    <w:p w14:paraId="7B1E4070">
      <w:pPr>
        <w:snapToGrid w:val="0"/>
        <w:spacing w:line="360" w:lineRule="auto"/>
        <w:ind w:firstLine="422" w:firstLineChars="200"/>
        <w:rPr>
          <w:rFonts w:ascii="宋体" w:hAnsi="宋体" w:cs="宋体"/>
          <w:b/>
          <w:szCs w:val="21"/>
          <w:highlight w:val="none"/>
        </w:rPr>
      </w:pPr>
    </w:p>
    <w:p w14:paraId="24358984">
      <w:pPr>
        <w:pStyle w:val="22"/>
        <w:tabs>
          <w:tab w:val="left" w:pos="1050"/>
          <w:tab w:val="right" w:leader="dot" w:pos="9402"/>
        </w:tabs>
        <w:spacing w:line="360" w:lineRule="auto"/>
        <w:ind w:left="0"/>
        <w:jc w:val="center"/>
        <w:outlineLvl w:val="0"/>
        <w:rPr>
          <w:rFonts w:ascii="宋体" w:hAnsi="宋体" w:cs="宋体"/>
          <w:b/>
          <w:i w:val="0"/>
          <w:sz w:val="44"/>
          <w:szCs w:val="44"/>
          <w:highlight w:val="none"/>
        </w:rPr>
      </w:pPr>
      <w:bookmarkStart w:id="10" w:name="_Toc363573853"/>
      <w:r>
        <w:rPr>
          <w:rFonts w:hint="eastAsia" w:ascii="宋体" w:hAnsi="宋体" w:cs="宋体"/>
          <w:b/>
          <w:i w:val="0"/>
          <w:w w:val="80"/>
          <w:sz w:val="44"/>
          <w:szCs w:val="44"/>
          <w:highlight w:val="none"/>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i w:val="0"/>
          <w:w w:val="80"/>
          <w:sz w:val="44"/>
          <w:szCs w:val="44"/>
          <w:highlight w:val="none"/>
        </w:rPr>
        <w:t>告</w:t>
      </w:r>
      <w:bookmarkEnd w:id="10"/>
    </w:p>
    <w:p w14:paraId="05BED59D">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南通通城建设工程项目管理有限公司（以下称代理机构）受南通市文化广电和旅游局（以下称采购单位）的委托，就其南通市文广旅系统消防安全技术与事务第三方服务项目组织竞争性磋商采购，诚邀符合条件的潜在供应商参加该项目的竞争性磋商。</w:t>
      </w:r>
    </w:p>
    <w:p w14:paraId="5A0D1A62">
      <w:pPr>
        <w:widowControl/>
        <w:snapToGri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14:paraId="00C62BB8">
      <w:pPr>
        <w:widowControl/>
        <w:snapToGrid w:val="0"/>
        <w:spacing w:line="360" w:lineRule="auto"/>
        <w:ind w:firstLine="470" w:firstLineChars="196"/>
        <w:jc w:val="left"/>
        <w:rPr>
          <w:rFonts w:ascii="宋体" w:hAnsi="宋体" w:cs="宋体"/>
          <w:b/>
          <w:color w:val="auto"/>
          <w:sz w:val="24"/>
          <w:szCs w:val="24"/>
          <w:highlight w:val="none"/>
        </w:rPr>
      </w:pPr>
      <w:r>
        <w:rPr>
          <w:rFonts w:hint="eastAsia" w:ascii="宋体" w:hAnsi="宋体" w:cs="宋体"/>
          <w:color w:val="auto"/>
          <w:sz w:val="24"/>
          <w:szCs w:val="24"/>
          <w:highlight w:val="none"/>
        </w:rPr>
        <w:t>项目编码：NTWC2024055</w:t>
      </w:r>
    </w:p>
    <w:p w14:paraId="69726A53">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项目名称：南通市文广旅系统消防安全技术与事务第三方服务项目</w:t>
      </w:r>
    </w:p>
    <w:p w14:paraId="39AECC49">
      <w:pPr>
        <w:widowControl/>
        <w:snapToGrid w:val="0"/>
        <w:spacing w:line="360" w:lineRule="auto"/>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采购方式：竞争性磋商</w:t>
      </w:r>
    </w:p>
    <w:p w14:paraId="6B97A3F0">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预算金额：12万元</w:t>
      </w:r>
      <w:r>
        <w:rPr>
          <w:rFonts w:hint="eastAsia" w:ascii="宋体" w:hAnsi="宋体" w:cs="Arial"/>
          <w:color w:val="auto"/>
          <w:kern w:val="0"/>
          <w:sz w:val="24"/>
          <w:szCs w:val="24"/>
          <w:highlight w:val="none"/>
        </w:rPr>
        <w:t>。</w:t>
      </w:r>
    </w:p>
    <w:p w14:paraId="5073DE8C">
      <w:pPr>
        <w:widowControl/>
        <w:snapToGri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最高限价：12万元，响应报价超过最高限价的作无效标处理。</w:t>
      </w:r>
    </w:p>
    <w:p w14:paraId="7B2AFEE4">
      <w:pPr>
        <w:widowControl/>
        <w:snapToGrid w:val="0"/>
        <w:spacing w:line="360" w:lineRule="auto"/>
        <w:ind w:firstLine="470" w:firstLineChars="196"/>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合同期限：签订</w:t>
      </w:r>
      <w:r>
        <w:rPr>
          <w:rFonts w:hint="eastAsia" w:ascii="宋体" w:hAnsi="宋体" w:cs="Arial"/>
          <w:color w:val="auto"/>
          <w:kern w:val="0"/>
          <w:sz w:val="24"/>
          <w:szCs w:val="24"/>
          <w:highlight w:val="none"/>
        </w:rPr>
        <w:t>合同</w:t>
      </w:r>
      <w:r>
        <w:rPr>
          <w:rFonts w:hint="eastAsia" w:ascii="宋体" w:hAnsi="宋体" w:cs="Arial"/>
          <w:color w:val="auto"/>
          <w:kern w:val="0"/>
          <w:sz w:val="24"/>
          <w:szCs w:val="24"/>
          <w:highlight w:val="none"/>
          <w:lang w:val="en-US" w:eastAsia="zh-CN"/>
        </w:rPr>
        <w:t>后</w:t>
      </w:r>
      <w:r>
        <w:rPr>
          <w:rFonts w:hint="eastAsia" w:ascii="宋体" w:hAnsi="宋体" w:cs="Arial"/>
          <w:color w:val="auto"/>
          <w:kern w:val="0"/>
          <w:sz w:val="24"/>
          <w:szCs w:val="24"/>
          <w:highlight w:val="none"/>
        </w:rPr>
        <w:t>1年</w:t>
      </w:r>
      <w:r>
        <w:rPr>
          <w:rFonts w:hint="eastAsia" w:ascii="宋体" w:hAnsi="宋体" w:cs="Arial"/>
          <w:color w:val="auto"/>
          <w:kern w:val="0"/>
          <w:sz w:val="24"/>
          <w:szCs w:val="24"/>
          <w:highlight w:val="none"/>
          <w:lang w:eastAsia="zh-CN"/>
        </w:rPr>
        <w:t>。</w:t>
      </w:r>
    </w:p>
    <w:p w14:paraId="4560F33E">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采购需求：详见磋商文件第三章</w:t>
      </w:r>
    </w:p>
    <w:p w14:paraId="4D4091B1">
      <w:pPr>
        <w:widowControl/>
        <w:snapToGrid w:val="0"/>
        <w:spacing w:line="360" w:lineRule="auto"/>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本项目不接受联合体投标</w:t>
      </w:r>
      <w:bookmarkStart w:id="63" w:name="_GoBack"/>
      <w:bookmarkEnd w:id="63"/>
    </w:p>
    <w:p w14:paraId="21C59128">
      <w:pPr>
        <w:widowControl/>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二、申请人的资格要求：</w:t>
      </w:r>
    </w:p>
    <w:p w14:paraId="22EE3FB5">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6EE7FCA1">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2、法定代表人为同一个人的两个及两个以上法人，母公司、全资子公司及其控股公司，都不得在同一采购项目相同标段中同时参加投标，一经发现，将视同围标处理。</w:t>
      </w:r>
    </w:p>
    <w:p w14:paraId="3E27C078">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3、供应商</w:t>
      </w:r>
      <w:r>
        <w:rPr>
          <w:rFonts w:hint="eastAsia" w:ascii="宋体" w:hAnsi="宋体"/>
          <w:color w:val="auto"/>
          <w:sz w:val="24"/>
          <w:szCs w:val="24"/>
          <w:highlight w:val="none"/>
        </w:rPr>
        <w:t>提供有效的营业执照及税务登记证复印件（或者是三证合一的营业执照复印件）。</w:t>
      </w:r>
    </w:p>
    <w:p w14:paraId="649C1455">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供应商符合国家规定的消防技术服务机构的从业条件，供应商在社会消防技术服务信息系统（</w:t>
      </w:r>
      <w:r>
        <w:rPr>
          <w:rFonts w:ascii="宋体" w:hAnsi="宋体"/>
          <w:color w:val="auto"/>
          <w:sz w:val="24"/>
          <w:szCs w:val="24"/>
          <w:highlight w:val="none"/>
        </w:rPr>
        <w:t>https://shhxf.119.gov.cn/templet/index_7.jsp</w:t>
      </w:r>
      <w:r>
        <w:rPr>
          <w:rFonts w:hint="eastAsia" w:ascii="宋体" w:hAnsi="宋体"/>
          <w:color w:val="auto"/>
          <w:sz w:val="24"/>
          <w:szCs w:val="24"/>
          <w:highlight w:val="none"/>
        </w:rPr>
        <w:t>）中本单位基本信息已满足要求（单位类型为消防设施维护保养检测或消防安全评估）的截图证明，并确保可以登录查询。</w:t>
      </w:r>
    </w:p>
    <w:p w14:paraId="36E7E51D">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5、拟派项目</w:t>
      </w:r>
      <w:r>
        <w:rPr>
          <w:rFonts w:hint="eastAsia" w:ascii="宋体" w:hAnsi="宋体"/>
          <w:bCs/>
          <w:color w:val="auto"/>
          <w:sz w:val="24"/>
          <w:szCs w:val="24"/>
          <w:highlight w:val="none"/>
        </w:rPr>
        <w:t>负责人须为国家注册一级消防工程师并且为供应商的正式人员，提供双方签订的</w:t>
      </w:r>
      <w:r>
        <w:rPr>
          <w:rFonts w:hint="eastAsia" w:ascii="宋体" w:hAnsi="宋体"/>
          <w:bCs/>
          <w:color w:val="auto"/>
          <w:sz w:val="24"/>
          <w:szCs w:val="24"/>
          <w:highlight w:val="none"/>
          <w:lang w:val="en-US" w:eastAsia="zh-CN"/>
        </w:rPr>
        <w:t>有效</w:t>
      </w:r>
      <w:r>
        <w:rPr>
          <w:rFonts w:hint="eastAsia" w:ascii="宋体" w:hAnsi="宋体"/>
          <w:bCs/>
          <w:color w:val="auto"/>
          <w:sz w:val="24"/>
          <w:szCs w:val="24"/>
          <w:highlight w:val="none"/>
        </w:rPr>
        <w:t>劳动合同。</w:t>
      </w:r>
    </w:p>
    <w:p w14:paraId="34DC45FA">
      <w:pPr>
        <w:widowControl/>
        <w:snapToGrid w:val="0"/>
        <w:spacing w:line="360" w:lineRule="auto"/>
        <w:ind w:firstLine="472" w:firstLineChars="196"/>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 xml:space="preserve">具体资格要求详见招标文件第六章中的“资格审查文件”。 </w:t>
      </w:r>
    </w:p>
    <w:p w14:paraId="6D3BFA3F">
      <w:pPr>
        <w:widowControl/>
        <w:snapToGri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请供应商认真对照资格要求，如不符合要求，无意或故意参与投标的，所产生的一切后果由供应商承担。对提供虚假材料的响应供应商作无效标处理。</w:t>
      </w:r>
    </w:p>
    <w:p w14:paraId="66A28EEC">
      <w:pPr>
        <w:widowControl/>
        <w:snapToGri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三、获取采购文件</w:t>
      </w:r>
    </w:p>
    <w:p w14:paraId="76F95C59">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时间：2024年10月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日至2024年10月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p>
    <w:p w14:paraId="6253714B">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方式：公告附件下载</w:t>
      </w:r>
    </w:p>
    <w:p w14:paraId="5421EB94">
      <w:pPr>
        <w:widowControl/>
        <w:snapToGri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四、响应文件提交</w:t>
      </w:r>
    </w:p>
    <w:p w14:paraId="7F20F199">
      <w:pPr>
        <w:widowControl/>
        <w:snapToGrid w:val="0"/>
        <w:spacing w:line="360" w:lineRule="auto"/>
        <w:ind w:firstLine="472" w:firstLineChars="196"/>
        <w:jc w:val="left"/>
        <w:rPr>
          <w:rFonts w:ascii="宋体" w:hAnsi="宋体" w:cs="宋体"/>
          <w:color w:val="auto"/>
          <w:sz w:val="24"/>
          <w:szCs w:val="24"/>
          <w:highlight w:val="none"/>
        </w:rPr>
      </w:pPr>
      <w:r>
        <w:rPr>
          <w:rFonts w:hint="eastAsia" w:ascii="宋体" w:hAnsi="宋体" w:cs="宋体"/>
          <w:b/>
          <w:color w:val="auto"/>
          <w:sz w:val="24"/>
          <w:szCs w:val="24"/>
          <w:highlight w:val="none"/>
        </w:rPr>
        <w:t>截止时间：2024年10月</w:t>
      </w:r>
      <w:r>
        <w:rPr>
          <w:rFonts w:hint="eastAsia" w:ascii="宋体" w:hAnsi="宋体" w:cs="宋体"/>
          <w:b/>
          <w:color w:val="auto"/>
          <w:sz w:val="24"/>
          <w:szCs w:val="24"/>
          <w:highlight w:val="none"/>
          <w:lang w:val="en-US" w:eastAsia="zh-CN"/>
        </w:rPr>
        <w:t>29</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0</w:t>
      </w:r>
      <w:r>
        <w:rPr>
          <w:rFonts w:hint="eastAsia" w:ascii="宋体" w:hAnsi="宋体" w:cs="宋体"/>
          <w:b/>
          <w:color w:val="auto"/>
          <w:sz w:val="24"/>
          <w:szCs w:val="24"/>
          <w:highlight w:val="none"/>
        </w:rPr>
        <w:t>0分</w:t>
      </w:r>
      <w:r>
        <w:rPr>
          <w:rFonts w:hint="eastAsia" w:ascii="宋体" w:hAnsi="宋体" w:cs="宋体"/>
          <w:bCs/>
          <w:color w:val="auto"/>
          <w:sz w:val="24"/>
          <w:szCs w:val="24"/>
          <w:highlight w:val="none"/>
        </w:rPr>
        <w:t>。</w:t>
      </w:r>
    </w:p>
    <w:p w14:paraId="400411CE">
      <w:pPr>
        <w:widowControl/>
        <w:snapToGrid w:val="0"/>
        <w:spacing w:line="360" w:lineRule="auto"/>
        <w:ind w:firstLine="470" w:firstLineChars="196"/>
        <w:jc w:val="left"/>
        <w:rPr>
          <w:rFonts w:ascii="宋体" w:hAnsi="宋体" w:cs="宋体"/>
          <w:b/>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b/>
          <w:color w:val="auto"/>
          <w:sz w:val="24"/>
          <w:szCs w:val="24"/>
          <w:highlight w:val="none"/>
          <w:u w:val="single"/>
        </w:rPr>
        <w:t>南通市行政中心综合楼</w:t>
      </w:r>
      <w:r>
        <w:rPr>
          <w:rFonts w:hint="eastAsia" w:ascii="宋体" w:hAnsi="宋体" w:cs="宋体"/>
          <w:b/>
          <w:color w:val="auto"/>
          <w:sz w:val="24"/>
          <w:szCs w:val="24"/>
          <w:highlight w:val="none"/>
          <w:u w:val="single"/>
          <w:lang w:val="en-US" w:eastAsia="zh-CN"/>
        </w:rPr>
        <w:t>5</w:t>
      </w:r>
      <w:r>
        <w:rPr>
          <w:rFonts w:hint="eastAsia" w:ascii="宋体" w:hAnsi="宋体" w:cs="宋体"/>
          <w:b/>
          <w:color w:val="auto"/>
          <w:sz w:val="24"/>
          <w:szCs w:val="24"/>
          <w:highlight w:val="none"/>
          <w:u w:val="single"/>
        </w:rPr>
        <w:t>38会议室(南通市崇川区世纪大道6号)</w:t>
      </w:r>
      <w:r>
        <w:rPr>
          <w:rFonts w:hint="eastAsia" w:ascii="宋体" w:hAnsi="宋体" w:cs="宋体"/>
          <w:b/>
          <w:color w:val="auto"/>
          <w:sz w:val="24"/>
          <w:szCs w:val="24"/>
          <w:highlight w:val="none"/>
        </w:rPr>
        <w:t>。</w:t>
      </w:r>
    </w:p>
    <w:p w14:paraId="4EAD3A23">
      <w:pPr>
        <w:widowControl/>
        <w:snapToGri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五、开启</w:t>
      </w:r>
    </w:p>
    <w:p w14:paraId="0F99B4A5">
      <w:pPr>
        <w:widowControl/>
        <w:snapToGrid w:val="0"/>
        <w:spacing w:line="360" w:lineRule="auto"/>
        <w:ind w:firstLine="472" w:firstLineChars="196"/>
        <w:jc w:val="left"/>
        <w:rPr>
          <w:rFonts w:ascii="宋体" w:hAnsi="宋体" w:cs="宋体"/>
          <w:color w:val="auto"/>
          <w:sz w:val="24"/>
          <w:szCs w:val="24"/>
          <w:highlight w:val="none"/>
        </w:rPr>
      </w:pPr>
      <w:r>
        <w:rPr>
          <w:rFonts w:hint="eastAsia" w:ascii="宋体" w:hAnsi="宋体" w:cs="宋体"/>
          <w:b/>
          <w:color w:val="auto"/>
          <w:sz w:val="24"/>
          <w:szCs w:val="24"/>
          <w:highlight w:val="none"/>
        </w:rPr>
        <w:t>时间：2024年10月</w:t>
      </w:r>
      <w:r>
        <w:rPr>
          <w:rFonts w:hint="eastAsia" w:ascii="宋体" w:hAnsi="宋体" w:cs="宋体"/>
          <w:b/>
          <w:color w:val="auto"/>
          <w:sz w:val="24"/>
          <w:szCs w:val="24"/>
          <w:highlight w:val="none"/>
          <w:lang w:val="en-US" w:eastAsia="zh-CN"/>
        </w:rPr>
        <w:t>29</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0</w:t>
      </w:r>
      <w:r>
        <w:rPr>
          <w:rFonts w:hint="eastAsia" w:ascii="宋体" w:hAnsi="宋体" w:cs="宋体"/>
          <w:b/>
          <w:color w:val="auto"/>
          <w:sz w:val="24"/>
          <w:szCs w:val="24"/>
          <w:highlight w:val="none"/>
        </w:rPr>
        <w:t>0分</w:t>
      </w:r>
      <w:r>
        <w:rPr>
          <w:rFonts w:hint="eastAsia" w:ascii="宋体" w:hAnsi="宋体" w:cs="宋体"/>
          <w:bCs/>
          <w:color w:val="auto"/>
          <w:sz w:val="24"/>
          <w:szCs w:val="24"/>
          <w:highlight w:val="none"/>
        </w:rPr>
        <w:t>。</w:t>
      </w:r>
    </w:p>
    <w:p w14:paraId="2131E40B">
      <w:pPr>
        <w:widowControl/>
        <w:snapToGrid w:val="0"/>
        <w:spacing w:line="360" w:lineRule="auto"/>
        <w:ind w:firstLine="470" w:firstLineChars="196"/>
        <w:jc w:val="left"/>
        <w:rPr>
          <w:rFonts w:ascii="宋体" w:hAnsi="宋体" w:cs="宋体"/>
          <w:b/>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b/>
          <w:color w:val="auto"/>
          <w:sz w:val="24"/>
          <w:szCs w:val="24"/>
          <w:highlight w:val="none"/>
          <w:u w:val="single"/>
        </w:rPr>
        <w:t>南通市行政中心综合楼</w:t>
      </w:r>
      <w:r>
        <w:rPr>
          <w:rFonts w:hint="eastAsia" w:ascii="宋体" w:hAnsi="宋体" w:cs="宋体"/>
          <w:b/>
          <w:color w:val="auto"/>
          <w:sz w:val="24"/>
          <w:szCs w:val="24"/>
          <w:highlight w:val="none"/>
          <w:u w:val="single"/>
          <w:lang w:val="en-US" w:eastAsia="zh-CN"/>
        </w:rPr>
        <w:t>538</w:t>
      </w:r>
      <w:r>
        <w:rPr>
          <w:rFonts w:hint="eastAsia" w:ascii="宋体" w:hAnsi="宋体" w:cs="宋体"/>
          <w:b/>
          <w:color w:val="auto"/>
          <w:sz w:val="24"/>
          <w:szCs w:val="24"/>
          <w:highlight w:val="none"/>
          <w:u w:val="single"/>
        </w:rPr>
        <w:t>会议室(南通市崇川区世纪大道6号)</w:t>
      </w:r>
      <w:r>
        <w:rPr>
          <w:rFonts w:hint="eastAsia" w:ascii="宋体" w:hAnsi="宋体" w:cs="宋体"/>
          <w:b/>
          <w:color w:val="auto"/>
          <w:sz w:val="24"/>
          <w:szCs w:val="24"/>
          <w:highlight w:val="none"/>
        </w:rPr>
        <w:t>。</w:t>
      </w:r>
    </w:p>
    <w:p w14:paraId="4E9F5AD0">
      <w:pPr>
        <w:widowControl/>
        <w:snapToGrid w:val="0"/>
        <w:spacing w:line="360" w:lineRule="auto"/>
        <w:ind w:firstLine="472" w:firstLineChars="196"/>
        <w:jc w:val="left"/>
        <w:rPr>
          <w:rFonts w:ascii="宋体" w:hAnsi="宋体" w:cs="宋体"/>
          <w:b/>
          <w:color w:val="auto"/>
          <w:sz w:val="24"/>
          <w:szCs w:val="24"/>
          <w:highlight w:val="none"/>
        </w:rPr>
      </w:pPr>
      <w:r>
        <w:rPr>
          <w:rFonts w:ascii="宋体" w:hAnsi="宋体" w:cs="宋体"/>
          <w:b/>
          <w:color w:val="auto"/>
          <w:sz w:val="24"/>
          <w:szCs w:val="24"/>
          <w:highlight w:val="none"/>
        </w:rPr>
        <w:t>六</w:t>
      </w:r>
      <w:r>
        <w:rPr>
          <w:rFonts w:hint="eastAsia" w:ascii="宋体" w:hAnsi="宋体" w:cs="宋体"/>
          <w:b/>
          <w:color w:val="auto"/>
          <w:sz w:val="24"/>
          <w:szCs w:val="24"/>
          <w:highlight w:val="none"/>
        </w:rPr>
        <w:t>、公告期限</w:t>
      </w:r>
    </w:p>
    <w:p w14:paraId="3D6E8CC8">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自本公告发布之日起3个工作日。</w:t>
      </w:r>
    </w:p>
    <w:p w14:paraId="555F31C1">
      <w:pPr>
        <w:spacing w:line="360" w:lineRule="auto"/>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七、凡对本次采购提出询问，请按以下方式联系</w:t>
      </w:r>
    </w:p>
    <w:p w14:paraId="591B22C5">
      <w:pPr>
        <w:spacing w:line="360" w:lineRule="auto"/>
        <w:ind w:firstLine="484" w:firstLineChars="202"/>
        <w:rPr>
          <w:rFonts w:ascii="宋体" w:hAnsi="宋体" w:cs="宋体"/>
          <w:color w:val="auto"/>
          <w:sz w:val="24"/>
          <w:szCs w:val="24"/>
          <w:highlight w:val="none"/>
        </w:rPr>
      </w:pPr>
      <w:bookmarkStart w:id="11" w:name="_Toc94544828"/>
      <w:bookmarkStart w:id="12" w:name="_Toc94585340"/>
      <w:bookmarkStart w:id="13" w:name="_Toc11554639"/>
      <w:bookmarkStart w:id="14" w:name="_Toc94544744"/>
      <w:bookmarkStart w:id="15" w:name="_Toc8895739"/>
      <w:bookmarkStart w:id="16" w:name="_Toc521203418"/>
      <w:bookmarkStart w:id="17" w:name="_Toc11500280"/>
      <w:bookmarkStart w:id="18" w:name="_Toc11499584"/>
      <w:bookmarkStart w:id="19" w:name="_Toc12670503"/>
      <w:bookmarkStart w:id="20" w:name="_Toc521201597"/>
      <w:r>
        <w:rPr>
          <w:rFonts w:hint="eastAsia" w:ascii="宋体" w:hAnsi="宋体" w:cs="宋体"/>
          <w:color w:val="auto"/>
          <w:sz w:val="24"/>
          <w:szCs w:val="24"/>
          <w:highlight w:val="none"/>
        </w:rPr>
        <w:t>1、采购人信息</w:t>
      </w:r>
    </w:p>
    <w:p w14:paraId="3788E3F5">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名  称：南通市文化广电和旅游局</w:t>
      </w:r>
    </w:p>
    <w:p w14:paraId="6EAC7825">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地  址：南通市崇川区世纪大道6号</w:t>
      </w:r>
    </w:p>
    <w:p w14:paraId="3B45D2AE">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 xml:space="preserve">联系人：谢先生     </w:t>
      </w:r>
    </w:p>
    <w:p w14:paraId="19D181A5">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联系电话：0513-85215899</w:t>
      </w:r>
    </w:p>
    <w:p w14:paraId="73FC65F2">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03D52BCA">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名  称：南通通城建设工程项目管理有限公司；</w:t>
      </w:r>
    </w:p>
    <w:p w14:paraId="144F1A63">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地  址：南通市崇川区工农南路156号鑫乾国际广场A座2202室；</w:t>
      </w:r>
    </w:p>
    <w:p w14:paraId="0CB3B1BB">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缪</w:t>
      </w:r>
      <w:r>
        <w:rPr>
          <w:rFonts w:hint="eastAsia" w:ascii="宋体" w:hAnsi="宋体" w:cs="宋体"/>
          <w:color w:val="auto"/>
          <w:sz w:val="24"/>
          <w:szCs w:val="24"/>
          <w:highlight w:val="none"/>
        </w:rPr>
        <w:t xml:space="preserve">女士       </w:t>
      </w:r>
    </w:p>
    <w:p w14:paraId="4AD517BC">
      <w:pPr>
        <w:spacing w:line="360" w:lineRule="auto"/>
        <w:ind w:firstLine="484" w:firstLineChars="202"/>
        <w:rPr>
          <w:rFonts w:ascii="宋体" w:hAnsi="宋体" w:cs="宋体"/>
          <w:color w:val="auto"/>
          <w:sz w:val="24"/>
          <w:szCs w:val="24"/>
        </w:rPr>
      </w:pPr>
      <w:r>
        <w:rPr>
          <w:rFonts w:hint="eastAsia" w:ascii="宋体" w:hAnsi="宋体" w:cs="宋体"/>
          <w:color w:val="auto"/>
          <w:sz w:val="24"/>
          <w:szCs w:val="24"/>
          <w:highlight w:val="none"/>
        </w:rPr>
        <w:t>联系电话：189062962</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rPr>
        <w:t xml:space="preserve"> </w:t>
      </w:r>
    </w:p>
    <w:p w14:paraId="450107FB">
      <w:pPr>
        <w:pStyle w:val="2"/>
        <w:keepNext w:val="0"/>
        <w:keepLines w:val="0"/>
        <w:numPr>
          <w:ilvl w:val="0"/>
          <w:numId w:val="0"/>
        </w:numPr>
        <w:snapToGrid w:val="0"/>
        <w:spacing w:before="0" w:after="0" w:line="360" w:lineRule="auto"/>
        <w:jc w:val="center"/>
        <w:rPr>
          <w:rFonts w:ascii="宋体" w:hAnsi="宋体" w:cs="宋体"/>
          <w:w w:val="80"/>
          <w:szCs w:val="44"/>
        </w:rPr>
      </w:pPr>
      <w:bookmarkStart w:id="21" w:name="_Toc363573854"/>
      <w:r>
        <w:rPr>
          <w:rFonts w:hint="eastAsia" w:ascii="宋体" w:hAnsi="宋体" w:cs="宋体"/>
          <w:w w:val="80"/>
          <w:szCs w:val="44"/>
        </w:rPr>
        <w:br w:type="page"/>
      </w:r>
      <w:r>
        <w:rPr>
          <w:rFonts w:hint="eastAsia" w:ascii="宋体" w:hAnsi="宋体" w:cs="宋体"/>
          <w:w w:val="80"/>
          <w:szCs w:val="44"/>
        </w:rPr>
        <w:t xml:space="preserve">第二章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磋商供应商须知</w:t>
      </w:r>
      <w:bookmarkEnd w:id="21"/>
    </w:p>
    <w:p w14:paraId="75B851F0">
      <w:pPr>
        <w:snapToGrid w:val="0"/>
        <w:spacing w:line="480" w:lineRule="exact"/>
        <w:ind w:firstLine="482" w:firstLineChars="200"/>
        <w:outlineLvl w:val="1"/>
        <w:rPr>
          <w:rFonts w:ascii="宋体" w:hAnsi="宋体" w:cs="宋体"/>
          <w:b/>
          <w:bCs/>
          <w:sz w:val="24"/>
          <w:szCs w:val="24"/>
        </w:rPr>
      </w:pPr>
      <w:bookmarkStart w:id="22" w:name="_Toc11500281"/>
      <w:bookmarkStart w:id="23" w:name="_Toc521201598"/>
      <w:bookmarkStart w:id="24" w:name="_Toc8895740"/>
      <w:bookmarkStart w:id="25" w:name="_Toc94585341"/>
      <w:bookmarkStart w:id="26" w:name="_Toc11554640"/>
      <w:bookmarkStart w:id="27" w:name="_Toc521203419"/>
      <w:bookmarkStart w:id="28" w:name="_Toc94544871"/>
      <w:bookmarkStart w:id="29" w:name="_Toc12670504"/>
      <w:bookmarkStart w:id="30" w:name="_Toc94544745"/>
      <w:bookmarkStart w:id="31" w:name="_Toc11499585"/>
      <w:r>
        <w:rPr>
          <w:rFonts w:hint="eastAsia" w:ascii="宋体" w:hAnsi="宋体" w:cs="宋体"/>
          <w:b/>
          <w:bCs/>
          <w:sz w:val="24"/>
          <w:szCs w:val="24"/>
        </w:rPr>
        <w:t>一、说明</w:t>
      </w:r>
    </w:p>
    <w:p w14:paraId="2C42B546">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1、本竞争性磋商文件仅适用于南通通城建设工程项目管理有限公司组织的竞争性磋商采购活动。</w:t>
      </w:r>
    </w:p>
    <w:p w14:paraId="3EDE1685">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2、竞争性磋商活动及因本次磋商产生的合同受中国法律制约和保护。</w:t>
      </w:r>
    </w:p>
    <w:p w14:paraId="71DF7A52">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3、竞争性磋商文件的解释权属于南通通城建设工程项目管理有限公司。</w:t>
      </w:r>
    </w:p>
    <w:p w14:paraId="4632FF89">
      <w:pPr>
        <w:snapToGrid w:val="0"/>
        <w:spacing w:line="480" w:lineRule="exact"/>
        <w:ind w:firstLine="480" w:firstLineChars="200"/>
        <w:rPr>
          <w:rFonts w:ascii="宋体" w:hAnsi="宋体" w:cs="宋体"/>
          <w:sz w:val="24"/>
          <w:szCs w:val="24"/>
        </w:rPr>
      </w:pPr>
      <w:r>
        <w:rPr>
          <w:rFonts w:hint="eastAsia" w:ascii="宋体" w:hAnsi="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3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2C1C6CD2">
      <w:pPr>
        <w:snapToGrid w:val="0"/>
        <w:spacing w:line="480" w:lineRule="exact"/>
        <w:ind w:firstLine="480" w:firstLineChars="200"/>
        <w:rPr>
          <w:rFonts w:ascii="宋体" w:hAnsi="宋体" w:cs="宋体"/>
          <w:sz w:val="24"/>
          <w:szCs w:val="24"/>
        </w:rPr>
      </w:pPr>
      <w:r>
        <w:rPr>
          <w:rFonts w:hint="eastAsia" w:ascii="宋体" w:hAnsi="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14:paraId="4FCD183C">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二、磋商文件的澄清、修改、答疑</w:t>
      </w:r>
    </w:p>
    <w:p w14:paraId="20D9B7CD">
      <w:pPr>
        <w:snapToGrid w:val="0"/>
        <w:spacing w:line="480" w:lineRule="exact"/>
        <w:ind w:firstLine="480" w:firstLineChars="200"/>
        <w:rPr>
          <w:rFonts w:ascii="宋体" w:hAnsi="宋体" w:cs="宋体"/>
          <w:sz w:val="24"/>
          <w:szCs w:val="24"/>
        </w:rPr>
      </w:pPr>
      <w:r>
        <w:rPr>
          <w:rFonts w:hint="eastAsia" w:ascii="宋体" w:hAnsi="宋体" w:cs="宋体"/>
          <w:sz w:val="24"/>
          <w:szCs w:val="24"/>
        </w:rPr>
        <w:t>1、代理机构有权对发出的磋商文件进行必要的澄清、修改或补充。</w:t>
      </w:r>
    </w:p>
    <w:p w14:paraId="671139AD">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2、磋商文件的澄清、修改、补充等内容均以书面明确的形式发布，并以“南通市文化广电和旅游局</w:t>
      </w:r>
      <w:r>
        <w:fldChar w:fldCharType="begin"/>
      </w:r>
      <w:r>
        <w:instrText xml:space="preserve"> HYPERLINK "http://wglj.nantong.gov.cn/" </w:instrText>
      </w:r>
      <w:r>
        <w:fldChar w:fldCharType="separate"/>
      </w:r>
      <w:r>
        <w:rPr>
          <w:rStyle w:val="53"/>
          <w:rFonts w:ascii="宋体" w:hAnsi="宋体" w:cs="宋体"/>
          <w:sz w:val="24"/>
          <w:szCs w:val="24"/>
        </w:rPr>
        <w:t>http://wglj.nantong.gov.cn/</w:t>
      </w:r>
      <w:r>
        <w:rPr>
          <w:rStyle w:val="53"/>
          <w:rFonts w:ascii="宋体" w:hAnsi="宋体" w:cs="宋体"/>
          <w:sz w:val="24"/>
          <w:szCs w:val="24"/>
        </w:rPr>
        <w:fldChar w:fldCharType="end"/>
      </w:r>
      <w:r>
        <w:rPr>
          <w:rFonts w:hint="eastAsia" w:ascii="宋体" w:hAnsi="宋体" w:cs="宋体"/>
          <w:sz w:val="24"/>
          <w:szCs w:val="24"/>
        </w:rPr>
        <w:t>”发布的信息为准。</w:t>
      </w:r>
    </w:p>
    <w:p w14:paraId="427B34E6">
      <w:pPr>
        <w:snapToGrid w:val="0"/>
        <w:spacing w:line="480" w:lineRule="exact"/>
        <w:ind w:firstLine="480" w:firstLineChars="200"/>
        <w:rPr>
          <w:rFonts w:ascii="宋体" w:hAnsi="宋体" w:cs="宋体"/>
          <w:sz w:val="24"/>
          <w:szCs w:val="24"/>
        </w:rPr>
      </w:pPr>
      <w:r>
        <w:rPr>
          <w:rFonts w:hint="eastAsia" w:ascii="宋体" w:hAnsi="宋体" w:cs="宋体"/>
          <w:sz w:val="24"/>
          <w:szCs w:val="24"/>
        </w:rPr>
        <w:t>3、代理机构对磋商文件的澄清、修改将构成磋商文件的一部分，对响应磋商的供应商具有约束力。</w:t>
      </w:r>
    </w:p>
    <w:p w14:paraId="1E555851">
      <w:pPr>
        <w:snapToGrid w:val="0"/>
        <w:spacing w:line="480" w:lineRule="exact"/>
        <w:ind w:firstLine="480" w:firstLineChars="200"/>
        <w:rPr>
          <w:rFonts w:ascii="宋体" w:hAnsi="宋体" w:cs="宋体"/>
          <w:sz w:val="24"/>
          <w:szCs w:val="24"/>
        </w:rPr>
      </w:pPr>
      <w:r>
        <w:rPr>
          <w:rFonts w:hint="eastAsia" w:ascii="宋体" w:hAnsi="宋体" w:cs="宋体"/>
          <w:sz w:val="24"/>
          <w:szCs w:val="24"/>
        </w:rPr>
        <w:t>4、澄清或者修改的内容可能影响到响应文件编制的，代理机构将在提交响应文件接收截止之日5日前，发布澄清或者修改公告，不足5日的，当顺延提交响应文件接收截止时间。</w:t>
      </w:r>
    </w:p>
    <w:p w14:paraId="197825BF">
      <w:pPr>
        <w:snapToGrid w:val="0"/>
        <w:spacing w:line="480" w:lineRule="exact"/>
        <w:ind w:firstLine="480" w:firstLineChars="200"/>
        <w:rPr>
          <w:rFonts w:ascii="宋体" w:hAnsi="宋体" w:cs="宋体"/>
          <w:sz w:val="24"/>
          <w:szCs w:val="24"/>
        </w:rPr>
      </w:pPr>
      <w:r>
        <w:rPr>
          <w:rFonts w:hint="eastAsia" w:ascii="宋体" w:hAnsi="宋体" w:cs="宋体"/>
          <w:sz w:val="24"/>
          <w:szCs w:val="24"/>
        </w:rPr>
        <w:t>5、除非代理机构以书面的形式对磋商文件作出澄清、修改及补充，供应商对涉及磋商文件的任何推论、理解和结论所造成的结果，均由供应商自负。</w:t>
      </w:r>
    </w:p>
    <w:p w14:paraId="2539B501">
      <w:pPr>
        <w:snapToGrid w:val="0"/>
        <w:spacing w:line="480" w:lineRule="exact"/>
        <w:ind w:firstLine="480" w:firstLineChars="200"/>
        <w:rPr>
          <w:rFonts w:ascii="宋体" w:hAnsi="宋体" w:cs="宋体"/>
          <w:sz w:val="24"/>
          <w:szCs w:val="24"/>
        </w:rPr>
      </w:pPr>
      <w:r>
        <w:rPr>
          <w:rFonts w:hint="eastAsia" w:ascii="宋体" w:hAnsi="宋体" w:cs="宋体"/>
          <w:sz w:val="24"/>
          <w:szCs w:val="24"/>
        </w:rPr>
        <w:t>6、采购单位视情组织答疑会。如有产生答疑且对磋商文件内容有修改，代理机构将按照本须知有关规定，以补充通知（公告）的方式发出。</w:t>
      </w:r>
    </w:p>
    <w:p w14:paraId="4EC64A33">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三、响应文件的编制及装订</w:t>
      </w:r>
    </w:p>
    <w:p w14:paraId="0696373E">
      <w:pPr>
        <w:spacing w:line="480" w:lineRule="exact"/>
        <w:ind w:firstLine="484" w:firstLineChars="202"/>
        <w:rPr>
          <w:rFonts w:ascii="宋体" w:hAnsi="宋体" w:cs="宋体"/>
          <w:sz w:val="24"/>
          <w:szCs w:val="24"/>
        </w:rPr>
      </w:pPr>
      <w:r>
        <w:rPr>
          <w:rFonts w:hint="eastAsia" w:ascii="宋体" w:hAnsi="宋体" w:cs="宋体"/>
          <w:sz w:val="24"/>
          <w:szCs w:val="24"/>
        </w:rPr>
        <w:t>供应商按磋商文件要求编写响应文件，并牢固装订成册。响应文件均需采用A4纸（图纸等除外），响应文件不得行间插字、涂改、增删，如修改错漏处，须经响应文件签署人签字并加盖公章。</w:t>
      </w:r>
    </w:p>
    <w:p w14:paraId="0B0E84FB">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四、响应文件的份数和签署</w:t>
      </w:r>
    </w:p>
    <w:p w14:paraId="6D3CEC69">
      <w:pPr>
        <w:snapToGrid w:val="0"/>
        <w:spacing w:line="480" w:lineRule="exact"/>
        <w:ind w:firstLine="480" w:firstLineChars="200"/>
        <w:rPr>
          <w:rFonts w:ascii="宋体" w:hAnsi="宋体" w:cs="宋体"/>
          <w:sz w:val="24"/>
          <w:szCs w:val="24"/>
        </w:rPr>
      </w:pPr>
      <w:r>
        <w:rPr>
          <w:rFonts w:hint="eastAsia" w:ascii="宋体" w:hAnsi="宋体" w:cs="宋体"/>
          <w:sz w:val="24"/>
          <w:szCs w:val="24"/>
        </w:rPr>
        <w:t>1、响应文件由：</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资格审查文件、</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技术响应文件、</w:t>
      </w:r>
      <w:r>
        <w:rPr>
          <w:rFonts w:hint="eastAsia" w:ascii="宋体" w:hAnsi="宋体" w:cs="宋体"/>
          <w:sz w:val="24"/>
          <w:szCs w:val="24"/>
        </w:rPr>
        <w:fldChar w:fldCharType="begin"/>
      </w:r>
      <w:r>
        <w:rPr>
          <w:rFonts w:hint="eastAsia" w:ascii="宋体" w:hAnsi="宋体" w:cs="宋体"/>
          <w:sz w:val="24"/>
          <w:szCs w:val="24"/>
        </w:rPr>
        <w:instrText xml:space="preserve"> = 3 \* GB3 </w:instrText>
      </w:r>
      <w:r>
        <w:rPr>
          <w:rFonts w:hint="eastAsia" w:ascii="宋体" w:hAnsi="宋体" w:cs="宋体"/>
          <w:sz w:val="24"/>
          <w:szCs w:val="24"/>
        </w:rPr>
        <w:fldChar w:fldCharType="separate"/>
      </w:r>
      <w:r>
        <w:rPr>
          <w:rFonts w:hint="eastAsia" w:ascii="宋体" w:hAnsi="宋体" w:cs="宋体"/>
          <w:sz w:val="24"/>
          <w:szCs w:val="24"/>
        </w:rPr>
        <w:t>③</w:t>
      </w:r>
      <w:r>
        <w:rPr>
          <w:rFonts w:hint="eastAsia" w:ascii="宋体" w:hAnsi="宋体" w:cs="宋体"/>
          <w:sz w:val="24"/>
          <w:szCs w:val="24"/>
        </w:rPr>
        <w:fldChar w:fldCharType="end"/>
      </w:r>
      <w:r>
        <w:rPr>
          <w:rFonts w:hint="eastAsia" w:ascii="宋体" w:hAnsi="宋体" w:cs="宋体"/>
          <w:sz w:val="24"/>
          <w:szCs w:val="24"/>
        </w:rPr>
        <w:t>商务报价响应文件，共3部分组成（以下由文件序号代称）。</w:t>
      </w:r>
    </w:p>
    <w:p w14:paraId="4CA1EE35">
      <w:pPr>
        <w:snapToGrid w:val="0"/>
        <w:spacing w:line="480" w:lineRule="exact"/>
        <w:ind w:firstLine="480" w:firstLineChars="200"/>
        <w:rPr>
          <w:rFonts w:ascii="宋体" w:hAnsi="宋体" w:cs="宋体"/>
          <w:b/>
          <w:sz w:val="24"/>
          <w:szCs w:val="24"/>
          <w:u w:val="single"/>
        </w:rPr>
      </w:pPr>
      <w:r>
        <w:rPr>
          <w:rFonts w:hint="eastAsia" w:ascii="宋体" w:hAnsi="宋体" w:cs="宋体"/>
          <w:sz w:val="24"/>
          <w:szCs w:val="24"/>
        </w:rPr>
        <w:t>2、响应文件均为</w:t>
      </w:r>
      <w:r>
        <w:rPr>
          <w:rFonts w:hint="eastAsia" w:ascii="宋体" w:hAnsi="宋体" w:cs="宋体"/>
          <w:b/>
          <w:sz w:val="24"/>
          <w:szCs w:val="24"/>
        </w:rPr>
        <w:t>一式叁份，其中“正本”壹份和“副本”贰份。</w:t>
      </w:r>
    </w:p>
    <w:p w14:paraId="1F97B1BB">
      <w:pPr>
        <w:snapToGrid w:val="0"/>
        <w:spacing w:line="480" w:lineRule="exact"/>
        <w:ind w:firstLine="470" w:firstLineChars="196"/>
        <w:rPr>
          <w:rFonts w:ascii="宋体" w:hAnsi="宋体" w:cs="宋体"/>
          <w:sz w:val="24"/>
          <w:szCs w:val="24"/>
        </w:rPr>
      </w:pPr>
      <w:r>
        <w:rPr>
          <w:rFonts w:hint="eastAsia" w:ascii="宋体" w:hAnsi="宋体" w:cs="宋体"/>
          <w:sz w:val="24"/>
          <w:szCs w:val="24"/>
        </w:rPr>
        <w:t>3、在每份响应文件上要明确标注项目名称、对应的响应文件名称、供应商的全称、日期、“正本”、“副本”字样。“正本”和“副本”若有差异，概以“正本”为准。</w:t>
      </w:r>
    </w:p>
    <w:p w14:paraId="25D700AB">
      <w:pPr>
        <w:snapToGrid w:val="0"/>
        <w:spacing w:line="480" w:lineRule="exact"/>
        <w:ind w:firstLine="470" w:firstLineChars="196"/>
        <w:rPr>
          <w:rFonts w:ascii="宋体" w:hAnsi="宋体" w:cs="宋体"/>
          <w:sz w:val="24"/>
          <w:szCs w:val="24"/>
        </w:rPr>
      </w:pPr>
      <w:r>
        <w:rPr>
          <w:rFonts w:hint="eastAsia" w:ascii="宋体" w:hAnsi="宋体" w:cs="宋体"/>
          <w:sz w:val="24"/>
          <w:szCs w:val="24"/>
        </w:rPr>
        <w:t>4、供应商可将响应文件正副本统一密封或分别密封，如正本和副本分别密封的，应在封袋上标明正、副本字样。</w:t>
      </w:r>
    </w:p>
    <w:p w14:paraId="08634C43">
      <w:pPr>
        <w:snapToGrid w:val="0"/>
        <w:spacing w:line="480" w:lineRule="exact"/>
        <w:ind w:firstLine="470" w:firstLineChars="196"/>
        <w:rPr>
          <w:rFonts w:ascii="宋体" w:hAnsi="宋体" w:cs="宋体"/>
          <w:sz w:val="24"/>
          <w:szCs w:val="24"/>
        </w:rPr>
      </w:pPr>
      <w:r>
        <w:rPr>
          <w:rFonts w:hint="eastAsia" w:ascii="宋体" w:hAnsi="宋体" w:cs="宋体"/>
          <w:sz w:val="24"/>
          <w:szCs w:val="24"/>
        </w:rPr>
        <w:t>5、响应文件中的所有“正本”，其正文内容须按磋商文件要求由供应商法定代表人或被授权人签字（或盖章）并加盖单位公章。“副本”可复印，但须加盖单位公章。</w:t>
      </w:r>
    </w:p>
    <w:p w14:paraId="4C833760">
      <w:pPr>
        <w:snapToGrid w:val="0"/>
        <w:spacing w:line="480" w:lineRule="exact"/>
        <w:ind w:firstLine="472" w:firstLineChars="196"/>
        <w:rPr>
          <w:rFonts w:ascii="宋体" w:hAnsi="宋体" w:cs="宋体"/>
          <w:b/>
          <w:bCs/>
          <w:sz w:val="24"/>
          <w:szCs w:val="24"/>
        </w:rPr>
      </w:pPr>
      <w:r>
        <w:rPr>
          <w:rFonts w:hint="eastAsia" w:ascii="宋体" w:hAnsi="宋体" w:cs="宋体"/>
          <w:b/>
          <w:bCs/>
          <w:sz w:val="24"/>
          <w:szCs w:val="24"/>
        </w:rPr>
        <w:t>五、响应文件的密封及标记</w:t>
      </w:r>
    </w:p>
    <w:p w14:paraId="7DAC5354">
      <w:pPr>
        <w:snapToGrid w:val="0"/>
        <w:spacing w:line="480" w:lineRule="exact"/>
        <w:ind w:firstLine="480" w:firstLineChars="200"/>
        <w:rPr>
          <w:rFonts w:ascii="宋体" w:hAnsi="宋体" w:cs="宋体"/>
          <w:sz w:val="24"/>
          <w:szCs w:val="24"/>
          <w:u w:val="single"/>
        </w:rPr>
      </w:pPr>
      <w:r>
        <w:rPr>
          <w:rFonts w:hint="eastAsia" w:ascii="宋体" w:hAnsi="宋体" w:cs="宋体"/>
          <w:sz w:val="24"/>
          <w:szCs w:val="24"/>
        </w:rPr>
        <w:t>1、供应商须将本项目响应文件：</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25E43F74">
      <w:pPr>
        <w:snapToGrid w:val="0"/>
        <w:spacing w:line="480" w:lineRule="exact"/>
        <w:ind w:firstLine="480" w:firstLineChars="200"/>
        <w:rPr>
          <w:rFonts w:ascii="宋体" w:hAnsi="宋体" w:cs="宋体"/>
          <w:sz w:val="24"/>
          <w:szCs w:val="24"/>
        </w:rPr>
      </w:pPr>
      <w:r>
        <w:rPr>
          <w:rFonts w:hint="eastAsia" w:ascii="宋体" w:hAnsi="宋体" w:cs="宋体"/>
          <w:sz w:val="24"/>
          <w:szCs w:val="24"/>
        </w:rPr>
        <w:t>2、密封后，应在每一密封的响应文件上明确标注磋商项目名称、响应文件各自对应的名称、供应商的全称及日期。</w:t>
      </w:r>
    </w:p>
    <w:p w14:paraId="1F29C3D9">
      <w:pPr>
        <w:snapToGrid w:val="0"/>
        <w:spacing w:line="480" w:lineRule="exact"/>
        <w:ind w:firstLine="480" w:firstLineChars="200"/>
        <w:rPr>
          <w:rFonts w:ascii="宋体" w:hAnsi="宋体" w:cs="宋体"/>
          <w:sz w:val="24"/>
          <w:szCs w:val="24"/>
        </w:rPr>
      </w:pPr>
      <w:r>
        <w:rPr>
          <w:rFonts w:hint="eastAsia" w:ascii="宋体" w:hAnsi="宋体" w:cs="宋体"/>
          <w:sz w:val="24"/>
          <w:szCs w:val="24"/>
        </w:rPr>
        <w:t>3、在密封处加盖供应商公章。</w:t>
      </w:r>
    </w:p>
    <w:p w14:paraId="5FFE4283">
      <w:pPr>
        <w:snapToGrid w:val="0"/>
        <w:spacing w:line="480" w:lineRule="exact"/>
        <w:ind w:firstLine="482" w:firstLineChars="200"/>
        <w:rPr>
          <w:rFonts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和</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14:paraId="3913484B">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六、投标报价</w:t>
      </w:r>
    </w:p>
    <w:p w14:paraId="1A8D9D2B">
      <w:pPr>
        <w:snapToGrid w:val="0"/>
        <w:spacing w:line="480" w:lineRule="exact"/>
        <w:ind w:firstLine="494" w:firstLineChars="206"/>
        <w:rPr>
          <w:rFonts w:ascii="宋体" w:hAnsi="宋体" w:cs="宋体"/>
          <w:sz w:val="24"/>
          <w:szCs w:val="24"/>
        </w:rPr>
      </w:pPr>
      <w:r>
        <w:rPr>
          <w:rFonts w:hint="eastAsia" w:ascii="宋体" w:hAnsi="宋体" w:cs="宋体"/>
          <w:sz w:val="24"/>
          <w:szCs w:val="24"/>
        </w:rPr>
        <w:t>1、本项目不接受任何有选择的报价。</w:t>
      </w:r>
    </w:p>
    <w:p w14:paraId="31AE857D">
      <w:pPr>
        <w:snapToGrid w:val="0"/>
        <w:spacing w:line="480" w:lineRule="exact"/>
        <w:ind w:firstLine="494" w:firstLineChars="206"/>
        <w:rPr>
          <w:rFonts w:ascii="宋体" w:hAnsi="宋体" w:cs="宋体"/>
          <w:sz w:val="24"/>
          <w:szCs w:val="24"/>
        </w:rPr>
      </w:pPr>
      <w:r>
        <w:rPr>
          <w:rFonts w:hint="eastAsia" w:ascii="宋体" w:hAnsi="宋体" w:cs="宋体"/>
          <w:sz w:val="24"/>
          <w:szCs w:val="24"/>
        </w:rPr>
        <w:t>2、磋商报价均以人民币为报价的币种。</w:t>
      </w:r>
    </w:p>
    <w:p w14:paraId="5E220F63">
      <w:pPr>
        <w:snapToGrid w:val="0"/>
        <w:spacing w:line="480" w:lineRule="exact"/>
        <w:ind w:firstLine="494" w:firstLineChars="206"/>
        <w:rPr>
          <w:rFonts w:ascii="宋体" w:hAnsi="宋体" w:cs="仿宋_GB2312"/>
          <w:sz w:val="24"/>
          <w:szCs w:val="24"/>
        </w:rPr>
      </w:pPr>
      <w:r>
        <w:rPr>
          <w:rFonts w:hint="eastAsia" w:ascii="宋体" w:hAnsi="宋体" w:cs="宋体"/>
          <w:sz w:val="24"/>
          <w:szCs w:val="24"/>
        </w:rPr>
        <w:t>3、磋商报价表必须加盖单位公章且必须经法定代表人或被授权人签字或盖章。报价表中的大写金额与小写金额、总价金额与按单价汇总金额，若有差异，</w:t>
      </w:r>
      <w:r>
        <w:rPr>
          <w:rFonts w:hint="eastAsia" w:ascii="宋体" w:hAnsi="宋体"/>
          <w:sz w:val="24"/>
        </w:rPr>
        <w:t>按照下列规定修正：</w:t>
      </w:r>
    </w:p>
    <w:p w14:paraId="5721B58C">
      <w:pPr>
        <w:snapToGrid w:val="0"/>
        <w:spacing w:line="480" w:lineRule="exact"/>
        <w:ind w:firstLine="494" w:firstLineChars="206"/>
        <w:rPr>
          <w:rFonts w:ascii="宋体" w:hAnsi="宋体" w:cs="仿宋_GB2312"/>
          <w:sz w:val="24"/>
          <w:szCs w:val="24"/>
        </w:rPr>
      </w:pPr>
      <w:r>
        <w:rPr>
          <w:rFonts w:hint="eastAsia" w:ascii="宋体" w:hAnsi="宋体"/>
          <w:sz w:val="24"/>
        </w:rPr>
        <w:t>（1）</w:t>
      </w:r>
      <w:r>
        <w:rPr>
          <w:rFonts w:hint="eastAsia" w:ascii="宋体" w:hAnsi="宋体" w:cs="仿宋_GB2312"/>
          <w:sz w:val="24"/>
          <w:szCs w:val="24"/>
        </w:rPr>
        <w:t>谈判响应文件中报价总表内容与谈判文件中内容明细不一致的，以报价总表为准；</w:t>
      </w:r>
    </w:p>
    <w:p w14:paraId="1406CE34">
      <w:pPr>
        <w:snapToGrid w:val="0"/>
        <w:spacing w:line="480" w:lineRule="exact"/>
        <w:ind w:firstLine="494" w:firstLineChars="206"/>
        <w:rPr>
          <w:rFonts w:ascii="宋体" w:hAnsi="宋体" w:cs="仿宋_GB2312"/>
          <w:sz w:val="24"/>
          <w:szCs w:val="24"/>
        </w:rPr>
      </w:pPr>
      <w:r>
        <w:rPr>
          <w:rFonts w:hint="eastAsia" w:ascii="宋体" w:hAnsi="宋体" w:cs="仿宋_GB2312"/>
          <w:sz w:val="24"/>
          <w:szCs w:val="24"/>
        </w:rPr>
        <w:t>（2）谈判响应文件中涉及大写金额和小写金额不一致的，以大写金额为准；</w:t>
      </w:r>
    </w:p>
    <w:p w14:paraId="669AF30B">
      <w:pPr>
        <w:snapToGrid w:val="0"/>
        <w:spacing w:line="480" w:lineRule="exact"/>
        <w:ind w:firstLine="494" w:firstLineChars="206"/>
        <w:rPr>
          <w:rFonts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72714DFE">
      <w:pPr>
        <w:snapToGrid w:val="0"/>
        <w:spacing w:line="480" w:lineRule="exact"/>
        <w:ind w:firstLine="494" w:firstLineChars="206"/>
        <w:rPr>
          <w:rFonts w:ascii="宋体" w:hAnsi="宋体" w:cs="仿宋_GB2312"/>
          <w:sz w:val="24"/>
          <w:szCs w:val="24"/>
        </w:rPr>
      </w:pPr>
      <w:r>
        <w:rPr>
          <w:rFonts w:hint="eastAsia" w:ascii="宋体" w:hAnsi="宋体" w:cs="仿宋_GB2312"/>
          <w:sz w:val="24"/>
          <w:szCs w:val="24"/>
        </w:rPr>
        <w:t>（4）单价金额小数点有明显错位的，应以总价为准，并修改单价。</w:t>
      </w:r>
    </w:p>
    <w:p w14:paraId="45A99785">
      <w:pPr>
        <w:snapToGrid w:val="0"/>
        <w:spacing w:line="480" w:lineRule="exact"/>
        <w:ind w:firstLine="494" w:firstLineChars="206"/>
        <w:rPr>
          <w:rFonts w:ascii="宋体" w:hAnsi="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2A4C3866">
      <w:pPr>
        <w:snapToGrid w:val="0"/>
        <w:spacing w:line="480" w:lineRule="exact"/>
        <w:ind w:firstLine="494" w:firstLineChars="206"/>
        <w:rPr>
          <w:rFonts w:ascii="宋体" w:hAnsi="宋体"/>
          <w:b/>
          <w:bCs/>
          <w:sz w:val="24"/>
          <w:szCs w:val="24"/>
          <w:u w:val="thick" w:color="FF0000"/>
        </w:rPr>
      </w:pPr>
      <w:r>
        <w:rPr>
          <w:rFonts w:hint="eastAsia" w:ascii="宋体" w:hAnsi="宋体" w:cs="宋体"/>
          <w:sz w:val="24"/>
          <w:szCs w:val="24"/>
        </w:rPr>
        <w:t>4、投标报价采用固定总价报价</w:t>
      </w:r>
      <w:r>
        <w:rPr>
          <w:rFonts w:hint="eastAsia" w:ascii="宋体" w:hAnsi="宋体"/>
          <w:b/>
          <w:bCs/>
          <w:sz w:val="24"/>
          <w:szCs w:val="24"/>
        </w:rPr>
        <w:t>，</w:t>
      </w:r>
      <w:r>
        <w:rPr>
          <w:rFonts w:hint="eastAsia" w:ascii="宋体" w:hAnsi="宋体"/>
          <w:b/>
          <w:bCs/>
          <w:sz w:val="24"/>
          <w:szCs w:val="24"/>
          <w:u w:val="thick" w:color="FF0000"/>
        </w:rPr>
        <w:t>应包含但不限于管理人员及专业技术人员检测所需的测量仪器、常用试验器具、出具评估报告、办公、交通工具、通讯及相关劳务支出等工作所发生的全部费用以及供应商企业利润、税金和政策性文件规定及合同包含的所有风险、责任等各项应有费用（含本项目代理费），即响应磋商文件采购要求的所有各项应有费用。</w:t>
      </w:r>
    </w:p>
    <w:p w14:paraId="7E3AF46D">
      <w:pPr>
        <w:snapToGrid w:val="0"/>
        <w:spacing w:line="360" w:lineRule="auto"/>
        <w:ind w:firstLine="482" w:firstLineChars="200"/>
        <w:rPr>
          <w:b/>
          <w:bCs/>
          <w:sz w:val="24"/>
          <w:szCs w:val="24"/>
          <w:u w:val="thick" w:color="FF0000"/>
        </w:rPr>
      </w:pPr>
      <w:r>
        <w:rPr>
          <w:rFonts w:hint="eastAsia" w:ascii="宋体" w:hAnsi="宋体"/>
          <w:b/>
          <w:bCs/>
          <w:sz w:val="24"/>
          <w:szCs w:val="24"/>
          <w:u w:val="thick" w:color="FF0000"/>
        </w:rPr>
        <w:t>（特别说明：需在投标供应商试验室或第三方检测试验室完成的检测，由投标供应商自行负责将检测材料运输至投标供应商单位或第三方检测试验室，费用包含在投标报价中。）</w:t>
      </w:r>
    </w:p>
    <w:p w14:paraId="58DCD692">
      <w:pPr>
        <w:snapToGrid w:val="0"/>
        <w:spacing w:line="520" w:lineRule="exact"/>
        <w:ind w:firstLine="480" w:firstLineChars="200"/>
        <w:rPr>
          <w:rFonts w:ascii="宋体" w:hAnsi="宋体" w:cs="宋体"/>
          <w:sz w:val="24"/>
          <w:szCs w:val="24"/>
        </w:rPr>
      </w:pPr>
      <w:r>
        <w:rPr>
          <w:rFonts w:hint="eastAsia" w:ascii="宋体" w:hAnsi="宋体" w:cs="宋体"/>
          <w:sz w:val="24"/>
          <w:szCs w:val="24"/>
        </w:rPr>
        <w:t>5、第二次报定的响应报价为成交价，同时，成交供应商的成交价在合同实施期间不因市场变化因素而变动。</w:t>
      </w:r>
    </w:p>
    <w:p w14:paraId="02E2FF12">
      <w:pPr>
        <w:snapToGrid w:val="0"/>
        <w:spacing w:line="480" w:lineRule="exact"/>
        <w:ind w:firstLine="494" w:firstLineChars="206"/>
        <w:rPr>
          <w:rFonts w:ascii="宋体" w:hAnsi="宋体" w:cs="宋体"/>
          <w:sz w:val="24"/>
          <w:szCs w:val="24"/>
        </w:rPr>
      </w:pPr>
      <w:r>
        <w:rPr>
          <w:rFonts w:hint="eastAsia" w:ascii="宋体" w:hAnsi="宋体" w:cs="宋体"/>
          <w:sz w:val="24"/>
          <w:szCs w:val="24"/>
        </w:rPr>
        <w:t>6、最低的磋商报价是成交的重要条件，但不是成交的唯一条件。</w:t>
      </w:r>
    </w:p>
    <w:p w14:paraId="553A0767">
      <w:pPr>
        <w:snapToGrid w:val="0"/>
        <w:spacing w:line="480" w:lineRule="exact"/>
        <w:ind w:firstLine="470" w:firstLineChars="196"/>
        <w:outlineLvl w:val="1"/>
        <w:rPr>
          <w:rFonts w:ascii="宋体" w:hAnsi="宋体" w:cs="宋体"/>
          <w:sz w:val="24"/>
          <w:szCs w:val="24"/>
        </w:rPr>
      </w:pPr>
      <w:r>
        <w:rPr>
          <w:rFonts w:hint="eastAsia" w:ascii="宋体" w:hAnsi="宋体" w:cs="宋体"/>
          <w:sz w:val="24"/>
          <w:szCs w:val="24"/>
        </w:rPr>
        <w:t xml:space="preserve">7、投标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14:paraId="39A0B676">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七、联合体参与磋商</w:t>
      </w:r>
    </w:p>
    <w:p w14:paraId="1935CB80">
      <w:pPr>
        <w:snapToGrid w:val="0"/>
        <w:spacing w:line="480" w:lineRule="exact"/>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14:paraId="5D127945">
      <w:pPr>
        <w:snapToGrid w:val="0"/>
        <w:spacing w:line="480" w:lineRule="exact"/>
        <w:ind w:firstLine="482" w:firstLineChars="200"/>
        <w:outlineLvl w:val="1"/>
        <w:rPr>
          <w:rFonts w:ascii="宋体" w:hAnsi="宋体" w:cs="宋体"/>
          <w:sz w:val="24"/>
          <w:szCs w:val="24"/>
        </w:rPr>
      </w:pPr>
      <w:r>
        <w:rPr>
          <w:rFonts w:hint="eastAsia" w:ascii="宋体" w:hAnsi="宋体" w:cs="宋体"/>
          <w:b/>
          <w:bCs/>
          <w:sz w:val="24"/>
          <w:szCs w:val="24"/>
        </w:rPr>
        <w:t>八、响应文件及</w:t>
      </w:r>
      <w:r>
        <w:rPr>
          <w:rFonts w:hint="eastAsia" w:ascii="宋体" w:hAnsi="宋体" w:cs="宋体"/>
          <w:b/>
          <w:kern w:val="0"/>
          <w:sz w:val="24"/>
          <w:szCs w:val="24"/>
        </w:rPr>
        <w:t>磋商</w:t>
      </w:r>
      <w:r>
        <w:rPr>
          <w:rFonts w:hint="eastAsia" w:ascii="宋体" w:hAnsi="宋体" w:cs="宋体"/>
          <w:b/>
          <w:bCs/>
          <w:sz w:val="24"/>
          <w:szCs w:val="24"/>
        </w:rPr>
        <w:t>费用</w:t>
      </w:r>
    </w:p>
    <w:p w14:paraId="3FE86B28">
      <w:pPr>
        <w:snapToGrid w:val="0"/>
        <w:spacing w:line="480" w:lineRule="exact"/>
        <w:ind w:firstLine="460" w:firstLineChars="192"/>
        <w:rPr>
          <w:rFonts w:ascii="宋体" w:hAnsi="宋体" w:cs="宋体"/>
          <w:sz w:val="24"/>
          <w:szCs w:val="24"/>
        </w:rPr>
      </w:pPr>
      <w:r>
        <w:rPr>
          <w:rFonts w:hint="eastAsia" w:ascii="宋体" w:hAnsi="宋体" w:cs="宋体"/>
          <w:sz w:val="24"/>
          <w:szCs w:val="24"/>
        </w:rPr>
        <w:t>1、磋商程序顺利进行后，除供应商的原件可退回外，其余所有的响应文件都将作为档案保存，不论成交与否，代理机构均不退回。</w:t>
      </w:r>
    </w:p>
    <w:p w14:paraId="6659D0CA">
      <w:pPr>
        <w:snapToGrid w:val="0"/>
        <w:spacing w:line="480" w:lineRule="exact"/>
        <w:ind w:firstLine="460" w:firstLineChars="192"/>
        <w:rPr>
          <w:rFonts w:ascii="宋体" w:hAnsi="宋体" w:cs="宋体"/>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sz w:val="24"/>
          <w:szCs w:val="24"/>
        </w:rPr>
        <w:t>供应商在提交投标文件的同时提交300元（现金）磋商文件相关费用，无论是否成交，该费用不予退还。</w:t>
      </w:r>
    </w:p>
    <w:p w14:paraId="7BB46B51">
      <w:pPr>
        <w:snapToGrid w:val="0"/>
        <w:spacing w:line="480" w:lineRule="exact"/>
        <w:ind w:firstLine="460" w:firstLineChars="192"/>
        <w:rPr>
          <w:rFonts w:ascii="宋体" w:hAnsi="宋体" w:cs="宋体"/>
          <w:sz w:val="24"/>
          <w:szCs w:val="24"/>
        </w:rPr>
      </w:pPr>
      <w:r>
        <w:rPr>
          <w:rFonts w:hint="eastAsia" w:ascii="宋体" w:hAnsi="宋体" w:cs="宋体"/>
          <w:sz w:val="24"/>
          <w:szCs w:val="24"/>
        </w:rPr>
        <w:t>3、成交后，供应商须向招标代理机构缴纳招标代理服务费，代理服务费收费标准为成交价*1.</w:t>
      </w:r>
      <w:r>
        <w:rPr>
          <w:rFonts w:hint="eastAsia" w:ascii="宋体" w:hAnsi="宋体" w:cs="宋体"/>
          <w:sz w:val="24"/>
          <w:szCs w:val="24"/>
          <w:lang w:val="en-US" w:eastAsia="zh-CN"/>
        </w:rPr>
        <w:t>2</w:t>
      </w:r>
      <w:r>
        <w:rPr>
          <w:rFonts w:hint="eastAsia" w:ascii="宋体" w:hAnsi="宋体" w:cs="宋体"/>
          <w:sz w:val="24"/>
          <w:szCs w:val="24"/>
        </w:rPr>
        <w:t>%，不足</w:t>
      </w:r>
      <w:r>
        <w:rPr>
          <w:rFonts w:hint="eastAsia" w:ascii="宋体" w:hAnsi="宋体" w:cs="宋体"/>
          <w:sz w:val="24"/>
          <w:szCs w:val="24"/>
          <w:lang w:val="en-US" w:eastAsia="zh-CN"/>
        </w:rPr>
        <w:t>20</w:t>
      </w:r>
      <w:r>
        <w:rPr>
          <w:rFonts w:hint="eastAsia" w:ascii="宋体" w:hAnsi="宋体" w:cs="宋体"/>
          <w:sz w:val="24"/>
          <w:szCs w:val="24"/>
        </w:rPr>
        <w:t>00元按</w:t>
      </w:r>
      <w:r>
        <w:rPr>
          <w:rFonts w:hint="eastAsia" w:ascii="宋体" w:hAnsi="宋体" w:cs="宋体"/>
          <w:sz w:val="24"/>
          <w:szCs w:val="24"/>
          <w:lang w:val="en-US" w:eastAsia="zh-CN"/>
        </w:rPr>
        <w:t>20</w:t>
      </w:r>
      <w:r>
        <w:rPr>
          <w:rFonts w:hint="eastAsia" w:ascii="宋体" w:hAnsi="宋体" w:cs="宋体"/>
          <w:sz w:val="24"/>
          <w:szCs w:val="24"/>
        </w:rPr>
        <w:t>00元计，该部分费用须综合考虑到投标报价中，不得单列。</w:t>
      </w:r>
    </w:p>
    <w:p w14:paraId="449D33BD">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九、结算方式</w:t>
      </w:r>
    </w:p>
    <w:p w14:paraId="23DE3C9A">
      <w:pPr>
        <w:tabs>
          <w:tab w:val="left" w:pos="0"/>
        </w:tabs>
        <w:spacing w:line="460" w:lineRule="exact"/>
        <w:ind w:firstLine="592" w:firstLineChars="247"/>
        <w:rPr>
          <w:rFonts w:ascii="宋体" w:hAnsi="宋体" w:cs="宋体"/>
          <w:sz w:val="24"/>
          <w:szCs w:val="24"/>
        </w:rPr>
      </w:pPr>
      <w:r>
        <w:rPr>
          <w:rFonts w:hint="eastAsia" w:ascii="宋体" w:hAnsi="宋体" w:cs="宋体"/>
          <w:sz w:val="24"/>
          <w:szCs w:val="24"/>
        </w:rPr>
        <w:t>1、本项目合同生效后，以人民币支付。</w:t>
      </w:r>
    </w:p>
    <w:p w14:paraId="789629D0">
      <w:pPr>
        <w:tabs>
          <w:tab w:val="left" w:pos="0"/>
        </w:tabs>
        <w:spacing w:line="460" w:lineRule="exact"/>
        <w:ind w:firstLine="592" w:firstLineChars="247"/>
        <w:rPr>
          <w:rFonts w:ascii="宋体" w:hAnsi="宋体" w:cs="宋体"/>
          <w:sz w:val="24"/>
          <w:szCs w:val="24"/>
        </w:rPr>
      </w:pPr>
      <w:r>
        <w:rPr>
          <w:rFonts w:hint="eastAsia" w:ascii="宋体" w:hAnsi="宋体" w:cs="宋体"/>
          <w:sz w:val="24"/>
          <w:szCs w:val="24"/>
        </w:rPr>
        <w:t>2、合同款项按照以下方式支付：</w:t>
      </w:r>
    </w:p>
    <w:p w14:paraId="16962E6D">
      <w:pPr>
        <w:snapToGrid w:val="0"/>
        <w:spacing w:line="480" w:lineRule="exact"/>
        <w:ind w:firstLine="494" w:firstLineChars="206"/>
        <w:outlineLvl w:val="1"/>
        <w:rPr>
          <w:rFonts w:ascii="宋体" w:hAnsi="宋体" w:cs="宋体"/>
          <w:bCs/>
          <w:sz w:val="24"/>
          <w:szCs w:val="24"/>
        </w:rPr>
      </w:pPr>
      <w:r>
        <w:rPr>
          <w:rFonts w:hint="eastAsia" w:ascii="宋体" w:hAnsi="宋体" w:cs="宋体"/>
          <w:bCs/>
          <w:sz w:val="24"/>
          <w:szCs w:val="24"/>
        </w:rPr>
        <w:t>结算方式为签订合同15日内，支付合同总价40%款项；完成第一次检查并交付检测报告后15日内，支付合同总价20%款项；完成第二次检查并交付检测报告后15日内，支付合同总价20%款项；完成第三次检查并交付检测报告后15日内，支付剩余款项。</w:t>
      </w:r>
    </w:p>
    <w:p w14:paraId="73D449C7">
      <w:pPr>
        <w:snapToGrid w:val="0"/>
        <w:spacing w:line="480" w:lineRule="exact"/>
        <w:ind w:firstLine="494" w:firstLineChars="206"/>
        <w:outlineLvl w:val="1"/>
        <w:rPr>
          <w:rFonts w:ascii="宋体" w:hAnsi="宋体" w:cs="宋体"/>
          <w:bCs/>
          <w:sz w:val="24"/>
          <w:szCs w:val="24"/>
        </w:rPr>
      </w:pPr>
      <w:r>
        <w:rPr>
          <w:rFonts w:hint="eastAsia" w:ascii="宋体" w:hAnsi="宋体" w:cs="宋体"/>
          <w:bCs/>
          <w:sz w:val="24"/>
          <w:szCs w:val="24"/>
        </w:rPr>
        <w:t>注：支付款项前，乙方须提交满足甲方要求的税务发票。</w:t>
      </w:r>
    </w:p>
    <w:p w14:paraId="0CBB3124">
      <w:pPr>
        <w:snapToGrid w:val="0"/>
        <w:spacing w:line="360" w:lineRule="auto"/>
        <w:rPr>
          <w:rFonts w:ascii="宋体" w:hAns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2" w:name="_Toc363573855"/>
      <w:r>
        <w:rPr>
          <w:rFonts w:ascii="宋体" w:hAnsi="宋体" w:cs="宋体"/>
          <w:sz w:val="28"/>
          <w:szCs w:val="28"/>
        </w:rPr>
        <w:br w:type="page"/>
      </w:r>
    </w:p>
    <w:p w14:paraId="2AD6E777">
      <w:pPr>
        <w:snapToGrid w:val="0"/>
        <w:spacing w:line="360" w:lineRule="auto"/>
        <w:ind w:firstLine="729" w:firstLineChars="206"/>
        <w:jc w:val="center"/>
        <w:rPr>
          <w:rFonts w:ascii="宋体" w:hAnsi="宋体" w:cs="宋体"/>
          <w:b/>
          <w:i/>
          <w:w w:val="80"/>
          <w:sz w:val="44"/>
          <w:szCs w:val="44"/>
        </w:rPr>
      </w:pPr>
      <w:r>
        <w:rPr>
          <w:rFonts w:hint="eastAsia" w:ascii="宋体" w:hAnsi="宋体" w:cs="宋体"/>
          <w:b/>
          <w:iCs/>
          <w:w w:val="80"/>
          <w:sz w:val="44"/>
          <w:szCs w:val="44"/>
        </w:rPr>
        <w:t xml:space="preserve">第三章  </w:t>
      </w:r>
      <w:bookmarkEnd w:id="22"/>
      <w:bookmarkEnd w:id="23"/>
      <w:bookmarkEnd w:id="24"/>
      <w:bookmarkEnd w:id="25"/>
      <w:bookmarkEnd w:id="26"/>
      <w:bookmarkEnd w:id="27"/>
      <w:bookmarkEnd w:id="28"/>
      <w:bookmarkEnd w:id="29"/>
      <w:bookmarkEnd w:id="30"/>
      <w:bookmarkEnd w:id="31"/>
      <w:r>
        <w:rPr>
          <w:rFonts w:hint="eastAsia" w:ascii="宋体" w:hAnsi="宋体" w:cs="宋体"/>
          <w:b/>
          <w:iCs/>
          <w:w w:val="80"/>
          <w:sz w:val="44"/>
          <w:szCs w:val="44"/>
        </w:rPr>
        <w:t>采购需求</w:t>
      </w:r>
      <w:bookmarkEnd w:id="32"/>
    </w:p>
    <w:p w14:paraId="7B3C832A">
      <w:pPr>
        <w:snapToGrid w:val="0"/>
        <w:spacing w:line="480" w:lineRule="exact"/>
        <w:ind w:firstLine="496" w:firstLineChars="206"/>
        <w:outlineLvl w:val="1"/>
        <w:rPr>
          <w:rFonts w:ascii="宋体" w:hAnsi="宋体"/>
          <w:b/>
          <w:sz w:val="24"/>
          <w:szCs w:val="24"/>
        </w:rPr>
      </w:pPr>
      <w:bookmarkStart w:id="33" w:name="_Toc521201599"/>
      <w:bookmarkStart w:id="34" w:name="_Toc11554641"/>
      <w:bookmarkStart w:id="35" w:name="_Toc13803483"/>
      <w:bookmarkStart w:id="36" w:name="_Toc521203420"/>
      <w:bookmarkStart w:id="37" w:name="_Toc11500282"/>
      <w:bookmarkStart w:id="38" w:name="_Toc94544872"/>
      <w:bookmarkStart w:id="39" w:name="_Toc94585342"/>
      <w:bookmarkStart w:id="40" w:name="_Toc11499586"/>
      <w:bookmarkStart w:id="41" w:name="_Toc12670505"/>
      <w:bookmarkStart w:id="42" w:name="_Toc8895741"/>
      <w:bookmarkStart w:id="43" w:name="_Toc94544746"/>
      <w:bookmarkStart w:id="44" w:name="_Toc363573856"/>
      <w:r>
        <w:rPr>
          <w:rFonts w:hint="eastAsia" w:ascii="宋体" w:hAnsi="宋体"/>
          <w:b/>
          <w:sz w:val="24"/>
          <w:szCs w:val="24"/>
        </w:rPr>
        <w:t>一、项目概况</w:t>
      </w:r>
    </w:p>
    <w:p w14:paraId="09ED365C">
      <w:pPr>
        <w:snapToGrid w:val="0"/>
        <w:spacing w:line="480" w:lineRule="exact"/>
        <w:ind w:firstLine="494" w:firstLineChars="206"/>
        <w:outlineLvl w:val="1"/>
        <w:rPr>
          <w:rFonts w:ascii="宋体" w:hAnsi="宋体" w:cs="宋体"/>
          <w:bCs/>
          <w:color w:val="000000"/>
          <w:sz w:val="24"/>
          <w:szCs w:val="24"/>
        </w:rPr>
      </w:pPr>
      <w:r>
        <w:rPr>
          <w:rFonts w:hint="eastAsia" w:ascii="宋体" w:hAnsi="宋体" w:cs="宋体"/>
          <w:bCs/>
          <w:color w:val="000000"/>
          <w:sz w:val="24"/>
          <w:szCs w:val="24"/>
        </w:rPr>
        <w:t>为进一步强化全市文广旅系统消防安全的行业监督管理，经研究，每季度对全市各县市区的部分文旅场所组织开展一次消防安全检测评估，每次抽查60家场所（每次每地分别抽取互联网上网服务营业场所、娱乐场所、游戏游艺场所、A级景区、星级饭店、博物馆、文保单位、演出场所、公共文化场馆各1家，不重复抽取，原则上对规模以上重点企业如4A级以上景区、4星级以上饭店，文化中心、图书馆等和经营时间较久远的重点场所实施年度全覆盖，同时也可根据任务需要安排)，形成检测评估报告，抽测情况供各级行政部门监管参照。决定通过购买服务的形式，对外委托有能力，有经验的第三方专业机构协助进行。</w:t>
      </w:r>
    </w:p>
    <w:p w14:paraId="02E1148A">
      <w:pPr>
        <w:snapToGrid w:val="0"/>
        <w:spacing w:line="480" w:lineRule="exact"/>
        <w:ind w:firstLine="496" w:firstLineChars="206"/>
        <w:outlineLvl w:val="1"/>
        <w:rPr>
          <w:rFonts w:ascii="宋体" w:hAnsi="宋体" w:cs="宋体"/>
          <w:bCs/>
          <w:color w:val="000000"/>
          <w:sz w:val="24"/>
          <w:szCs w:val="24"/>
        </w:rPr>
      </w:pPr>
      <w:r>
        <w:rPr>
          <w:rFonts w:hint="eastAsia" w:ascii="宋体" w:hAnsi="宋体"/>
          <w:b/>
          <w:sz w:val="24"/>
          <w:szCs w:val="24"/>
        </w:rPr>
        <w:t>二、抽查时间</w:t>
      </w:r>
    </w:p>
    <w:p w14:paraId="000B033C">
      <w:pPr>
        <w:spacing w:line="48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2024年四季度至2025年三季度，具体</w:t>
      </w:r>
      <w:r>
        <w:rPr>
          <w:rFonts w:hint="eastAsia" w:ascii="宋体" w:hAnsi="宋体" w:cs="宋体"/>
          <w:bCs/>
          <w:sz w:val="24"/>
          <w:szCs w:val="24"/>
        </w:rPr>
        <w:t>以甲乙双方商定的时间为准。</w:t>
      </w:r>
      <w:r>
        <w:rPr>
          <w:rFonts w:hint="eastAsia" w:ascii="宋体" w:hAnsi="宋体" w:cs="宋体"/>
          <w:bCs/>
          <w:sz w:val="24"/>
          <w:szCs w:val="24"/>
        </w:rPr>
        <w:tab/>
      </w:r>
    </w:p>
    <w:p w14:paraId="5A5CC1F0">
      <w:pPr>
        <w:snapToGrid w:val="0"/>
        <w:spacing w:line="480" w:lineRule="exact"/>
        <w:ind w:firstLine="496" w:firstLineChars="206"/>
        <w:outlineLvl w:val="1"/>
        <w:rPr>
          <w:rFonts w:ascii="宋体" w:hAnsi="宋体"/>
          <w:b/>
          <w:sz w:val="24"/>
          <w:szCs w:val="24"/>
        </w:rPr>
      </w:pPr>
      <w:r>
        <w:rPr>
          <w:rFonts w:hint="eastAsia" w:ascii="宋体" w:hAnsi="宋体"/>
          <w:b/>
          <w:sz w:val="24"/>
          <w:szCs w:val="24"/>
        </w:rPr>
        <w:t>三、抽查场所</w:t>
      </w:r>
    </w:p>
    <w:p w14:paraId="780009E1">
      <w:pPr>
        <w:snapToGrid w:val="0"/>
        <w:spacing w:line="480" w:lineRule="exact"/>
        <w:ind w:firstLine="494" w:firstLineChars="206"/>
        <w:outlineLvl w:val="1"/>
        <w:rPr>
          <w:rFonts w:ascii="宋体" w:hAnsi="宋体" w:cs="宋体"/>
          <w:bCs/>
          <w:color w:val="000000"/>
          <w:sz w:val="24"/>
          <w:szCs w:val="24"/>
        </w:rPr>
      </w:pPr>
      <w:r>
        <w:rPr>
          <w:rFonts w:hint="eastAsia" w:ascii="宋体" w:hAnsi="宋体"/>
          <w:bCs/>
          <w:sz w:val="24"/>
          <w:szCs w:val="24"/>
        </w:rPr>
        <w:t>以市文广旅局提供的名单为准</w:t>
      </w:r>
      <w:r>
        <w:rPr>
          <w:rFonts w:hint="eastAsia" w:ascii="宋体" w:hAnsi="宋体" w:cs="宋体"/>
          <w:bCs/>
          <w:color w:val="000000"/>
          <w:sz w:val="24"/>
          <w:szCs w:val="24"/>
        </w:rPr>
        <w:t>。</w:t>
      </w:r>
    </w:p>
    <w:p w14:paraId="06F38E0E">
      <w:pPr>
        <w:snapToGrid w:val="0"/>
        <w:spacing w:line="480" w:lineRule="exact"/>
        <w:ind w:firstLine="496" w:firstLineChars="206"/>
        <w:outlineLvl w:val="1"/>
        <w:rPr>
          <w:rFonts w:ascii="宋体" w:hAnsi="宋体"/>
          <w:b/>
          <w:bCs/>
          <w:sz w:val="24"/>
          <w:szCs w:val="24"/>
        </w:rPr>
      </w:pPr>
      <w:r>
        <w:rPr>
          <w:rFonts w:hint="eastAsia" w:ascii="宋体" w:hAnsi="宋体"/>
          <w:b/>
          <w:sz w:val="24"/>
          <w:szCs w:val="24"/>
        </w:rPr>
        <w:t>四、委托服务的人员资格要求</w:t>
      </w:r>
    </w:p>
    <w:p w14:paraId="39CBC9FB">
      <w:pPr>
        <w:snapToGrid w:val="0"/>
        <w:spacing w:line="480" w:lineRule="exact"/>
        <w:ind w:firstLine="494" w:firstLineChars="206"/>
        <w:rPr>
          <w:rFonts w:ascii="宋体" w:hAnsi="宋体"/>
          <w:bCs/>
          <w:sz w:val="24"/>
          <w:szCs w:val="24"/>
        </w:rPr>
      </w:pPr>
      <w:r>
        <w:rPr>
          <w:rFonts w:hint="eastAsia" w:ascii="宋体" w:hAnsi="宋体"/>
          <w:bCs/>
          <w:sz w:val="24"/>
          <w:szCs w:val="24"/>
        </w:rPr>
        <w:t>服务机构应根据本采购文件的要求，建立技术服务项目组，技术服务人员应有国家职业技能消防检查的专业技术职格。</w:t>
      </w:r>
    </w:p>
    <w:p w14:paraId="4F05BD3D">
      <w:pPr>
        <w:snapToGrid w:val="0"/>
        <w:spacing w:line="480" w:lineRule="exact"/>
        <w:ind w:firstLine="494" w:firstLineChars="206"/>
        <w:rPr>
          <w:rFonts w:ascii="宋体" w:hAnsi="宋体"/>
          <w:bCs/>
          <w:sz w:val="24"/>
          <w:szCs w:val="24"/>
        </w:rPr>
      </w:pPr>
      <w:r>
        <w:rPr>
          <w:rFonts w:ascii="宋体" w:hAnsi="宋体"/>
          <w:bCs/>
          <w:sz w:val="24"/>
          <w:szCs w:val="24"/>
        </w:rPr>
        <w:t>1、本次招标委托服务项目的负责人须为</w:t>
      </w:r>
      <w:r>
        <w:rPr>
          <w:rFonts w:hint="eastAsia" w:ascii="宋体" w:hAnsi="宋体"/>
          <w:bCs/>
          <w:sz w:val="24"/>
          <w:szCs w:val="24"/>
        </w:rPr>
        <w:t>一级注册消防工程师。</w:t>
      </w:r>
    </w:p>
    <w:p w14:paraId="139249D5">
      <w:pPr>
        <w:snapToGrid w:val="0"/>
        <w:spacing w:line="480" w:lineRule="exact"/>
        <w:ind w:firstLine="494" w:firstLineChars="206"/>
        <w:rPr>
          <w:rFonts w:ascii="宋体" w:hAnsi="宋体"/>
          <w:bCs/>
          <w:sz w:val="24"/>
          <w:szCs w:val="24"/>
        </w:rPr>
      </w:pPr>
      <w:r>
        <w:rPr>
          <w:rFonts w:hint="eastAsia" w:ascii="宋体" w:hAnsi="宋体"/>
          <w:bCs/>
          <w:sz w:val="24"/>
          <w:szCs w:val="24"/>
        </w:rPr>
        <w:t>2、本项目其他检查人员具有技术资质与经验，每次参加检查人员不少于2人。</w:t>
      </w:r>
    </w:p>
    <w:p w14:paraId="16627E14">
      <w:pPr>
        <w:snapToGrid w:val="0"/>
        <w:spacing w:line="480" w:lineRule="exact"/>
        <w:ind w:firstLine="494" w:firstLineChars="206"/>
        <w:rPr>
          <w:rFonts w:ascii="宋体" w:hAnsi="宋体"/>
          <w:bCs/>
          <w:sz w:val="24"/>
          <w:szCs w:val="24"/>
        </w:rPr>
      </w:pPr>
      <w:r>
        <w:rPr>
          <w:rFonts w:hint="eastAsia" w:ascii="宋体" w:hAnsi="宋体"/>
          <w:bCs/>
          <w:sz w:val="24"/>
          <w:szCs w:val="24"/>
        </w:rPr>
        <w:t>3、服务机构应成立项目组，配备至少6名以上的专业技术力量。</w:t>
      </w:r>
    </w:p>
    <w:p w14:paraId="6DE61AB5">
      <w:pPr>
        <w:spacing w:line="480" w:lineRule="exact"/>
        <w:ind w:firstLine="482" w:firstLineChars="200"/>
        <w:outlineLvl w:val="1"/>
        <w:rPr>
          <w:rFonts w:ascii="宋体" w:hAnsi="宋体"/>
          <w:bCs/>
          <w:sz w:val="24"/>
          <w:szCs w:val="24"/>
        </w:rPr>
      </w:pPr>
      <w:r>
        <w:rPr>
          <w:rFonts w:hint="eastAsia" w:ascii="宋体" w:hAnsi="宋体"/>
          <w:b/>
          <w:sz w:val="24"/>
          <w:szCs w:val="24"/>
        </w:rPr>
        <w:t>五、服务主要内容</w:t>
      </w:r>
    </w:p>
    <w:p w14:paraId="297FFBA6">
      <w:pPr>
        <w:snapToGrid w:val="0"/>
        <w:spacing w:line="480" w:lineRule="exact"/>
        <w:ind w:firstLine="496" w:firstLineChars="206"/>
        <w:outlineLvl w:val="2"/>
        <w:rPr>
          <w:rFonts w:ascii="宋体" w:hAnsi="宋体"/>
          <w:b/>
          <w:bCs/>
          <w:sz w:val="24"/>
          <w:szCs w:val="24"/>
        </w:rPr>
      </w:pPr>
      <w:r>
        <w:rPr>
          <w:rFonts w:hint="eastAsia" w:ascii="宋体" w:hAnsi="宋体"/>
          <w:b/>
          <w:bCs/>
          <w:sz w:val="24"/>
          <w:szCs w:val="24"/>
        </w:rPr>
        <w:t>（一）重点抽查内容</w:t>
      </w:r>
    </w:p>
    <w:p w14:paraId="170849D5">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1、消防安全责任制落实情况；</w:t>
      </w:r>
    </w:p>
    <w:p w14:paraId="33423925">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2、场所内自动报警、喷淋、排烟系统消防设施完好情况；</w:t>
      </w:r>
    </w:p>
    <w:p w14:paraId="01D44F20">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3、灭火器材、疏散指示标志的配备和维护保养情况；</w:t>
      </w:r>
    </w:p>
    <w:p w14:paraId="37E5F5DC">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4、人员消防教育培训、演练落实情况；</w:t>
      </w:r>
    </w:p>
    <w:p w14:paraId="765B30E7">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5、控制室值班人员持证上岗和履职情况，每日巡查记录等；</w:t>
      </w:r>
    </w:p>
    <w:p w14:paraId="60A5ED2D">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6、安全通道、消防车通道、应急出口、疏散楼梯间管理情况；</w:t>
      </w:r>
    </w:p>
    <w:p w14:paraId="583A1809">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7、室内外的电气线路敷设情况；</w:t>
      </w:r>
    </w:p>
    <w:p w14:paraId="23278B85">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8、电动车的停放充电情况；</w:t>
      </w:r>
    </w:p>
    <w:p w14:paraId="2264EEBB">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9、氧气、氯气、液化气等储存情况，易燃易爆化学危险品场所防火防爆措施的落实情况，重要物资场所防火安全情况；</w:t>
      </w:r>
    </w:p>
    <w:p w14:paraId="33F5B5F8">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10、室内外装修材料是否符合消防规范；</w:t>
      </w:r>
    </w:p>
    <w:p w14:paraId="5A6B0BB8">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11、是否存在“三合一”情况；</w:t>
      </w:r>
    </w:p>
    <w:p w14:paraId="0CEF52B3">
      <w:pPr>
        <w:snapToGrid w:val="0"/>
        <w:spacing w:line="480" w:lineRule="exact"/>
        <w:ind w:firstLine="494" w:firstLineChars="206"/>
        <w:outlineLvl w:val="2"/>
        <w:rPr>
          <w:rFonts w:ascii="宋体" w:hAnsi="宋体"/>
          <w:bCs/>
          <w:sz w:val="24"/>
          <w:szCs w:val="24"/>
        </w:rPr>
      </w:pPr>
      <w:r>
        <w:rPr>
          <w:rFonts w:hint="eastAsia" w:ascii="宋体" w:hAnsi="宋体"/>
          <w:bCs/>
          <w:sz w:val="24"/>
          <w:szCs w:val="24"/>
        </w:rPr>
        <w:t>12、厨房抽排烟机油烟通道是否定期清洁情况。</w:t>
      </w:r>
    </w:p>
    <w:p w14:paraId="0B1678F9">
      <w:pPr>
        <w:snapToGrid w:val="0"/>
        <w:spacing w:line="480" w:lineRule="exact"/>
        <w:ind w:firstLine="496" w:firstLineChars="206"/>
        <w:rPr>
          <w:rFonts w:ascii="宋体" w:hAnsi="宋体"/>
          <w:b/>
          <w:bCs/>
          <w:sz w:val="24"/>
          <w:szCs w:val="24"/>
        </w:rPr>
      </w:pPr>
      <w:r>
        <w:rPr>
          <w:rFonts w:hint="eastAsia" w:ascii="宋体" w:hAnsi="宋体"/>
          <w:b/>
          <w:bCs/>
          <w:sz w:val="24"/>
          <w:szCs w:val="24"/>
        </w:rPr>
        <w:t>（二）抽查方式：</w:t>
      </w:r>
    </w:p>
    <w:p w14:paraId="2850EF70">
      <w:pPr>
        <w:snapToGrid w:val="0"/>
        <w:spacing w:line="480" w:lineRule="exact"/>
        <w:ind w:firstLine="494" w:firstLineChars="206"/>
        <w:rPr>
          <w:rFonts w:ascii="宋体" w:hAnsi="宋体"/>
          <w:bCs/>
          <w:sz w:val="24"/>
          <w:szCs w:val="24"/>
        </w:rPr>
      </w:pPr>
      <w:r>
        <w:rPr>
          <w:rFonts w:hint="eastAsia" w:ascii="宋体" w:hAnsi="宋体"/>
          <w:bCs/>
          <w:sz w:val="24"/>
          <w:szCs w:val="24"/>
        </w:rPr>
        <w:t>1、暗访。采取不打招呼，以“四不两直”方式，对相关场所开展抽查。</w:t>
      </w:r>
    </w:p>
    <w:p w14:paraId="3D180F8F">
      <w:pPr>
        <w:snapToGrid w:val="0"/>
        <w:spacing w:line="480" w:lineRule="exact"/>
        <w:ind w:firstLine="494" w:firstLineChars="206"/>
        <w:rPr>
          <w:rFonts w:ascii="宋体" w:hAnsi="宋体"/>
          <w:bCs/>
          <w:sz w:val="24"/>
          <w:szCs w:val="24"/>
        </w:rPr>
      </w:pPr>
      <w:r>
        <w:rPr>
          <w:rFonts w:hint="eastAsia" w:ascii="宋体" w:hAnsi="宋体"/>
          <w:bCs/>
          <w:sz w:val="24"/>
          <w:szCs w:val="24"/>
        </w:rPr>
        <w:t>2、明查。对于隐患严重单位，复查整改情况，可采取明查方式。</w:t>
      </w:r>
    </w:p>
    <w:p w14:paraId="752C58BF">
      <w:pPr>
        <w:snapToGrid w:val="0"/>
        <w:spacing w:line="480" w:lineRule="exact"/>
        <w:ind w:firstLine="494" w:firstLineChars="206"/>
        <w:rPr>
          <w:rFonts w:ascii="宋体" w:hAnsi="宋体"/>
          <w:bCs/>
          <w:sz w:val="24"/>
          <w:szCs w:val="24"/>
        </w:rPr>
      </w:pPr>
      <w:r>
        <w:rPr>
          <w:rFonts w:hint="eastAsia" w:ascii="宋体" w:hAnsi="宋体"/>
          <w:bCs/>
          <w:sz w:val="24"/>
          <w:szCs w:val="24"/>
        </w:rPr>
        <w:t>3、夜查。根据KTV娱乐场所营业特点，采取夜查方式进行。</w:t>
      </w:r>
    </w:p>
    <w:p w14:paraId="2F67CA19">
      <w:pPr>
        <w:spacing w:line="480" w:lineRule="exact"/>
        <w:ind w:firstLine="482" w:firstLineChars="200"/>
        <w:outlineLvl w:val="1"/>
        <w:rPr>
          <w:rFonts w:ascii="宋体" w:hAnsi="宋体"/>
          <w:b/>
          <w:bCs/>
          <w:sz w:val="24"/>
          <w:szCs w:val="24"/>
        </w:rPr>
      </w:pPr>
      <w:r>
        <w:rPr>
          <w:rFonts w:hint="eastAsia" w:ascii="宋体" w:hAnsi="宋体"/>
          <w:b/>
          <w:sz w:val="24"/>
          <w:szCs w:val="24"/>
        </w:rPr>
        <w:t>六、技术服务要求</w:t>
      </w:r>
    </w:p>
    <w:p w14:paraId="1032C246">
      <w:pPr>
        <w:snapToGrid w:val="0"/>
        <w:spacing w:line="480" w:lineRule="exact"/>
        <w:ind w:firstLine="494" w:firstLineChars="206"/>
        <w:rPr>
          <w:rFonts w:ascii="宋体" w:hAnsi="宋体"/>
          <w:bCs/>
          <w:sz w:val="24"/>
          <w:szCs w:val="24"/>
        </w:rPr>
      </w:pPr>
      <w:r>
        <w:rPr>
          <w:rFonts w:hint="eastAsia" w:ascii="宋体" w:hAnsi="宋体"/>
          <w:bCs/>
          <w:sz w:val="24"/>
          <w:szCs w:val="24"/>
        </w:rPr>
        <w:t>1、安全技术服务与检查工作主要依据：《中华人民共和国安全生产法》《消防法》、《公共娱乐场所消防安全管理规定》《江苏安全生产条例》等法律、法规、行政规章、国家标准或者行业标准、规范和规程。</w:t>
      </w:r>
    </w:p>
    <w:p w14:paraId="691D227F">
      <w:pPr>
        <w:snapToGrid w:val="0"/>
        <w:spacing w:line="480" w:lineRule="exact"/>
        <w:ind w:firstLine="494" w:firstLineChars="206"/>
        <w:rPr>
          <w:rFonts w:ascii="宋体" w:hAnsi="宋体"/>
          <w:bCs/>
          <w:sz w:val="24"/>
          <w:szCs w:val="24"/>
        </w:rPr>
      </w:pPr>
      <w:r>
        <w:rPr>
          <w:rFonts w:hint="eastAsia" w:ascii="宋体" w:hAnsi="宋体"/>
          <w:bCs/>
          <w:sz w:val="24"/>
          <w:szCs w:val="24"/>
        </w:rPr>
        <w:t>2、服务机构应编制安全技术服务方案，明确年度详细工作计划、措施与服务目标；明确安全生产检查的服务形式、具体方法与要求。</w:t>
      </w:r>
    </w:p>
    <w:p w14:paraId="199915F0">
      <w:pPr>
        <w:snapToGrid w:val="0"/>
        <w:spacing w:line="480" w:lineRule="exact"/>
        <w:ind w:firstLine="494" w:firstLineChars="206"/>
        <w:rPr>
          <w:rFonts w:ascii="宋体" w:hAnsi="宋体"/>
          <w:bCs/>
          <w:sz w:val="24"/>
          <w:szCs w:val="24"/>
        </w:rPr>
      </w:pPr>
      <w:r>
        <w:rPr>
          <w:rFonts w:hint="eastAsia" w:ascii="宋体" w:hAnsi="宋体"/>
          <w:bCs/>
          <w:sz w:val="24"/>
          <w:szCs w:val="24"/>
        </w:rPr>
        <w:t>3、服务机构应当采取有效的技术措施和手段，对采购人辖区内的单位场所的消防及安全隐患进行全面检查，提供技术专家安全检查的技术服务，及时有效地发现和指出被检查企业单位存在的问题与隐患。</w:t>
      </w:r>
    </w:p>
    <w:p w14:paraId="09342492">
      <w:pPr>
        <w:snapToGrid w:val="0"/>
        <w:spacing w:line="480" w:lineRule="exact"/>
        <w:ind w:firstLine="494" w:firstLineChars="206"/>
        <w:rPr>
          <w:rFonts w:ascii="宋体" w:hAnsi="宋体"/>
          <w:bCs/>
          <w:sz w:val="24"/>
          <w:szCs w:val="24"/>
        </w:rPr>
      </w:pPr>
      <w:r>
        <w:rPr>
          <w:rFonts w:hint="eastAsia" w:ascii="宋体" w:hAnsi="宋体"/>
          <w:bCs/>
          <w:sz w:val="24"/>
          <w:szCs w:val="24"/>
        </w:rPr>
        <w:t>（1）服务机构每完成一家单位检查工作后，要填写《******（单位）安全检查报告》。</w:t>
      </w:r>
    </w:p>
    <w:p w14:paraId="41606AC0">
      <w:pPr>
        <w:snapToGrid w:val="0"/>
        <w:spacing w:line="480" w:lineRule="exact"/>
        <w:ind w:firstLine="494" w:firstLineChars="206"/>
        <w:rPr>
          <w:rFonts w:ascii="宋体" w:hAnsi="宋体"/>
          <w:bCs/>
          <w:sz w:val="24"/>
          <w:szCs w:val="24"/>
        </w:rPr>
      </w:pPr>
      <w:r>
        <w:rPr>
          <w:rFonts w:hint="eastAsia" w:ascii="宋体" w:hAnsi="宋体"/>
          <w:bCs/>
          <w:sz w:val="24"/>
          <w:szCs w:val="24"/>
        </w:rPr>
        <w:t>（2）服务机构在检查过程中，对经辨识存在较大危险因素的场所、部位和环节应和被检查单位逐一明确；对检查出的问题和隐患应逐一和被检查单位交底，并提出整改意见或建议；检查结束后，按服务类型编制检查报告，由参与检查的相关专家签名，并加盖单位印章后提交。报告主要内容包括：检查情况报告、处理建议、检查单位意见等内容。</w:t>
      </w:r>
    </w:p>
    <w:p w14:paraId="14F4C650">
      <w:pPr>
        <w:spacing w:line="480" w:lineRule="exact"/>
        <w:ind w:firstLine="482" w:firstLineChars="200"/>
        <w:outlineLvl w:val="1"/>
        <w:rPr>
          <w:rFonts w:ascii="宋体" w:hAnsi="宋体"/>
          <w:bCs/>
          <w:sz w:val="24"/>
          <w:szCs w:val="24"/>
        </w:rPr>
      </w:pPr>
      <w:r>
        <w:rPr>
          <w:rFonts w:hint="eastAsia" w:ascii="宋体" w:hAnsi="宋体"/>
          <w:b/>
          <w:sz w:val="24"/>
          <w:szCs w:val="24"/>
        </w:rPr>
        <w:t>七、其他要求</w:t>
      </w:r>
    </w:p>
    <w:p w14:paraId="5CAB2B7F">
      <w:pPr>
        <w:snapToGrid w:val="0"/>
        <w:spacing w:line="480" w:lineRule="exact"/>
        <w:ind w:firstLine="494" w:firstLineChars="206"/>
        <w:rPr>
          <w:rFonts w:ascii="宋体" w:hAnsi="宋体"/>
          <w:bCs/>
          <w:sz w:val="24"/>
          <w:szCs w:val="24"/>
        </w:rPr>
      </w:pPr>
      <w:r>
        <w:rPr>
          <w:rFonts w:hint="eastAsia" w:ascii="宋体" w:hAnsi="宋体"/>
          <w:bCs/>
          <w:sz w:val="24"/>
          <w:szCs w:val="24"/>
        </w:rPr>
        <w:t>服务机构应充分发挥在人才、技术、信息等方面的优势，根据服务类型和内容，配备相应的专业技术人员，确保安全技术服务工作质量。</w:t>
      </w:r>
    </w:p>
    <w:p w14:paraId="7E678325">
      <w:pPr>
        <w:snapToGrid w:val="0"/>
        <w:spacing w:line="480" w:lineRule="exact"/>
        <w:ind w:firstLine="494" w:firstLineChars="206"/>
        <w:rPr>
          <w:rFonts w:ascii="宋体" w:hAnsi="宋体"/>
          <w:bCs/>
          <w:sz w:val="24"/>
          <w:szCs w:val="24"/>
        </w:rPr>
      </w:pPr>
      <w:r>
        <w:rPr>
          <w:rFonts w:hint="eastAsia" w:ascii="宋体" w:hAnsi="宋体"/>
          <w:bCs/>
          <w:sz w:val="24"/>
          <w:szCs w:val="24"/>
        </w:rPr>
        <w:t>1、采购人将建立服务外包工作质量评估机制，对服务机构及其服务人员工作质量进行评估，并对评估结果予以通报，服务质量直接与服务费挂钩。</w:t>
      </w:r>
    </w:p>
    <w:p w14:paraId="03322CC0">
      <w:pPr>
        <w:snapToGrid w:val="0"/>
        <w:spacing w:line="480" w:lineRule="exact"/>
        <w:ind w:firstLine="494" w:firstLineChars="206"/>
        <w:rPr>
          <w:rFonts w:ascii="宋体" w:hAnsi="宋体"/>
          <w:bCs/>
          <w:sz w:val="24"/>
          <w:szCs w:val="24"/>
        </w:rPr>
      </w:pPr>
      <w:r>
        <w:rPr>
          <w:rFonts w:hint="eastAsia" w:ascii="宋体" w:hAnsi="宋体"/>
          <w:bCs/>
          <w:sz w:val="24"/>
          <w:szCs w:val="24"/>
        </w:rPr>
        <w:t>2、采购人对服务机构及其服务人员有权进行监管，对于在消防及安全技术服务检查或抽查中，帮助受检企业隐瞒重大事故隐患并造成严重后果的，将列入“黑名单”，上报相关主管部门依法处理。</w:t>
      </w:r>
    </w:p>
    <w:p w14:paraId="2088FFDB">
      <w:pPr>
        <w:snapToGrid w:val="0"/>
        <w:spacing w:line="480" w:lineRule="exact"/>
        <w:ind w:firstLine="494" w:firstLineChars="206"/>
        <w:rPr>
          <w:rFonts w:ascii="宋体" w:hAnsi="宋体"/>
          <w:bCs/>
          <w:sz w:val="24"/>
          <w:szCs w:val="24"/>
        </w:rPr>
      </w:pPr>
      <w:r>
        <w:rPr>
          <w:rFonts w:hint="eastAsia" w:ascii="宋体" w:hAnsi="宋体"/>
          <w:bCs/>
          <w:sz w:val="24"/>
          <w:szCs w:val="24"/>
        </w:rPr>
        <w:t>3、出现严重不履行合同或不适当履行合同的，采购人有权单方面解除合同。</w:t>
      </w:r>
    </w:p>
    <w:p w14:paraId="674041DC">
      <w:pPr>
        <w:snapToGrid w:val="0"/>
        <w:spacing w:line="480" w:lineRule="exact"/>
        <w:ind w:firstLine="494" w:firstLineChars="206"/>
        <w:jc w:val="left"/>
        <w:outlineLvl w:val="1"/>
        <w:rPr>
          <w:rFonts w:ascii="宋体" w:hAnsi="宋体" w:cs="宋体"/>
          <w:bCs/>
          <w:color w:val="000000"/>
          <w:sz w:val="24"/>
          <w:szCs w:val="24"/>
        </w:rPr>
      </w:pPr>
      <w:r>
        <w:rPr>
          <w:rFonts w:hint="eastAsia" w:ascii="宋体" w:hAnsi="宋体"/>
          <w:bCs/>
          <w:sz w:val="24"/>
          <w:szCs w:val="24"/>
        </w:rPr>
        <w:t>4、廉政要求：与被检查企业及其人员串通，不如实记录和汇报检查抽查的情况，与被检查企业及其人员有不正当业务关系，吃拿卡要等，采购人有权将根据情节轻重，予以处罚。直至中止合同并有权单方面解除合同。</w:t>
      </w:r>
    </w:p>
    <w:p w14:paraId="3E7D4AA9">
      <w:pPr>
        <w:spacing w:after="120" w:line="420" w:lineRule="exact"/>
        <w:ind w:firstLine="420" w:firstLineChars="200"/>
        <w:jc w:val="left"/>
        <w:rPr>
          <w:szCs w:val="24"/>
        </w:rPr>
      </w:pPr>
      <w:r>
        <w:rPr>
          <w:szCs w:val="24"/>
        </w:rPr>
        <w:br w:type="page"/>
      </w:r>
    </w:p>
    <w:p w14:paraId="2B56F75C">
      <w:pPr>
        <w:snapToGrid w:val="0"/>
        <w:spacing w:line="480" w:lineRule="exact"/>
        <w:ind w:firstLine="729" w:firstLineChars="206"/>
        <w:jc w:val="center"/>
        <w:outlineLvl w:val="1"/>
        <w:rPr>
          <w:rFonts w:ascii="宋体" w:hAnsi="宋体" w:cs="宋体"/>
          <w:kern w:val="0"/>
          <w:sz w:val="24"/>
          <w:szCs w:val="24"/>
        </w:rPr>
      </w:pPr>
      <w:r>
        <w:rPr>
          <w:rFonts w:hint="eastAsia" w:ascii="宋体" w:hAnsi="宋体" w:cs="宋体"/>
          <w:b/>
          <w:iCs/>
          <w:w w:val="80"/>
          <w:sz w:val="44"/>
          <w:szCs w:val="44"/>
        </w:rPr>
        <w:t xml:space="preserve">第四章  </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38121794"/>
      <w:bookmarkStart w:id="47" w:name="_Toc85627670"/>
      <w:bookmarkStart w:id="48" w:name="_Toc37322565"/>
      <w:bookmarkStart w:id="49" w:name="_Toc43217893"/>
      <w:bookmarkStart w:id="50" w:name="_Toc11554642"/>
      <w:bookmarkStart w:id="51" w:name="_Toc11499587"/>
      <w:bookmarkStart w:id="52" w:name="_Toc94544747"/>
      <w:bookmarkStart w:id="53" w:name="_Toc11500283"/>
      <w:bookmarkStart w:id="54" w:name="_Toc12670506"/>
      <w:bookmarkStart w:id="55" w:name="_Toc94544873"/>
      <w:bookmarkStart w:id="56" w:name="_Toc13803484"/>
      <w:bookmarkStart w:id="57" w:name="_Toc8895742"/>
      <w:r>
        <w:rPr>
          <w:rFonts w:hint="eastAsia" w:ascii="宋体" w:hAnsi="宋体" w:cs="宋体"/>
          <w:b/>
          <w:iCs/>
          <w:w w:val="80"/>
          <w:sz w:val="44"/>
          <w:szCs w:val="44"/>
        </w:rPr>
        <w:t>评审方法和程序</w:t>
      </w:r>
      <w:bookmarkEnd w:id="44"/>
    </w:p>
    <w:bookmarkEnd w:id="45"/>
    <w:bookmarkEnd w:id="46"/>
    <w:bookmarkEnd w:id="47"/>
    <w:bookmarkEnd w:id="48"/>
    <w:bookmarkEnd w:id="49"/>
    <w:p w14:paraId="2076BA73">
      <w:pPr>
        <w:snapToGrid w:val="0"/>
        <w:spacing w:line="480" w:lineRule="exact"/>
        <w:ind w:firstLine="482" w:firstLineChars="200"/>
        <w:outlineLvl w:val="1"/>
        <w:rPr>
          <w:rFonts w:ascii="宋体" w:hAnsi="宋体" w:cs="宋体"/>
          <w:b/>
          <w:sz w:val="24"/>
          <w:szCs w:val="24"/>
        </w:rPr>
      </w:pPr>
      <w:bookmarkStart w:id="58" w:name="_Toc363573857"/>
      <w:bookmarkEnd w:id="58"/>
      <w:r>
        <w:rPr>
          <w:rFonts w:hint="eastAsia" w:ascii="宋体" w:hAnsi="宋体" w:cs="宋体"/>
          <w:b/>
          <w:sz w:val="24"/>
          <w:szCs w:val="24"/>
        </w:rPr>
        <w:t>一、代理机构组织磋商</w:t>
      </w:r>
    </w:p>
    <w:p w14:paraId="2B1A4ADD">
      <w:pPr>
        <w:snapToGrid w:val="0"/>
        <w:spacing w:line="480" w:lineRule="exact"/>
        <w:ind w:firstLine="480" w:firstLineChars="200"/>
        <w:rPr>
          <w:rFonts w:ascii="宋体" w:hAnsi="宋体" w:cs="宋体"/>
          <w:sz w:val="24"/>
          <w:szCs w:val="24"/>
        </w:rPr>
      </w:pPr>
      <w:r>
        <w:rPr>
          <w:rFonts w:hint="eastAsia" w:ascii="宋体" w:hAnsi="宋体" w:cs="宋体"/>
          <w:sz w:val="24"/>
          <w:szCs w:val="24"/>
        </w:rPr>
        <w:t>1、本次竞争性磋商依据有关法规成立磋商小组。</w:t>
      </w:r>
    </w:p>
    <w:p w14:paraId="5AC4FFC1">
      <w:pPr>
        <w:snapToGrid w:val="0"/>
        <w:spacing w:line="480" w:lineRule="exact"/>
        <w:ind w:firstLine="480" w:firstLineChars="200"/>
        <w:rPr>
          <w:rFonts w:ascii="宋体" w:hAnsi="宋体" w:cs="宋体"/>
          <w:sz w:val="24"/>
          <w:szCs w:val="24"/>
        </w:rPr>
      </w:pPr>
      <w:r>
        <w:rPr>
          <w:rFonts w:hint="eastAsia" w:ascii="宋体" w:hAnsi="宋体" w:cs="宋体"/>
          <w:sz w:val="24"/>
          <w:szCs w:val="24"/>
        </w:rPr>
        <w:t>2、磋商小组的职责：</w:t>
      </w:r>
    </w:p>
    <w:p w14:paraId="2B056A1C">
      <w:pPr>
        <w:snapToGrid w:val="0"/>
        <w:spacing w:line="480" w:lineRule="exact"/>
        <w:ind w:firstLine="480" w:firstLineChars="200"/>
        <w:rPr>
          <w:rFonts w:ascii="宋体" w:hAnsi="宋体" w:cs="宋体"/>
          <w:sz w:val="24"/>
          <w:szCs w:val="24"/>
        </w:rPr>
      </w:pPr>
      <w:r>
        <w:rPr>
          <w:rFonts w:hint="eastAsia" w:ascii="宋体" w:hAnsi="宋体" w:cs="宋体"/>
          <w:sz w:val="24"/>
          <w:szCs w:val="24"/>
        </w:rPr>
        <w:t>（1）磋商小组成员应当按照客观、公正、审慎的原则，根据磋商文件规定的评审程序、评审方法和评审标准进行独立评审。</w:t>
      </w:r>
    </w:p>
    <w:p w14:paraId="5A135AEC">
      <w:pPr>
        <w:snapToGrid w:val="0"/>
        <w:spacing w:line="480" w:lineRule="exact"/>
        <w:ind w:firstLine="480" w:firstLineChars="200"/>
        <w:rPr>
          <w:rFonts w:ascii="宋体" w:hAnsi="宋体" w:cs="宋体"/>
          <w:sz w:val="24"/>
          <w:szCs w:val="24"/>
        </w:rPr>
      </w:pPr>
      <w:r>
        <w:rPr>
          <w:rFonts w:hint="eastAsia" w:ascii="宋体" w:hAnsi="宋体" w:cs="宋体"/>
          <w:sz w:val="24"/>
          <w:szCs w:val="24"/>
        </w:rPr>
        <w:t>（2）磋商小组成员应当遵守评审工作纪律，不得泄露评审情况和评审中获悉的商业秘密，对个人的评审意见承担法律责任。</w:t>
      </w:r>
    </w:p>
    <w:p w14:paraId="636A27DE">
      <w:pPr>
        <w:snapToGrid w:val="0"/>
        <w:spacing w:line="480" w:lineRule="exact"/>
        <w:ind w:firstLine="480" w:firstLineChars="200"/>
        <w:rPr>
          <w:rFonts w:ascii="宋体" w:hAnsi="宋体" w:cs="宋体"/>
          <w:sz w:val="24"/>
          <w:szCs w:val="24"/>
        </w:rPr>
      </w:pPr>
      <w:r>
        <w:rPr>
          <w:rFonts w:hint="eastAsia" w:ascii="宋体" w:hAnsi="宋体" w:cs="宋体"/>
          <w:sz w:val="24"/>
          <w:szCs w:val="24"/>
        </w:rPr>
        <w:t>（3）磋商小组成员在评审过程中发现供应商有行贿、提供虚假材料或者串通等违法行为的，应当及时向财政部门报告,并建议将其列入政府采购黑名单。</w:t>
      </w:r>
    </w:p>
    <w:p w14:paraId="67864227">
      <w:pPr>
        <w:snapToGrid w:val="0"/>
        <w:spacing w:line="480" w:lineRule="exact"/>
        <w:ind w:firstLine="480" w:firstLineChars="200"/>
        <w:rPr>
          <w:rFonts w:ascii="宋体" w:hAnsi="宋体" w:cs="宋体"/>
          <w:sz w:val="24"/>
          <w:szCs w:val="24"/>
        </w:rPr>
      </w:pPr>
      <w:r>
        <w:rPr>
          <w:rFonts w:hint="eastAsia" w:ascii="宋体" w:hAnsi="宋体" w:cs="宋体"/>
          <w:sz w:val="24"/>
          <w:szCs w:val="24"/>
        </w:rPr>
        <w:t>（4）磋商小组成员在评审过程中受到非法干涉的，应当及时向财政、监察等部门举报。</w:t>
      </w:r>
    </w:p>
    <w:p w14:paraId="678AC6D9">
      <w:pPr>
        <w:snapToGrid w:val="0"/>
        <w:spacing w:line="480" w:lineRule="exact"/>
        <w:ind w:firstLine="480" w:firstLineChars="200"/>
        <w:rPr>
          <w:rFonts w:ascii="宋体" w:hAnsi="宋体" w:cs="宋体"/>
          <w:sz w:val="24"/>
          <w:szCs w:val="24"/>
        </w:rPr>
      </w:pPr>
      <w:r>
        <w:rPr>
          <w:rFonts w:hint="eastAsia" w:ascii="宋体" w:hAnsi="宋体" w:cs="宋体"/>
          <w:sz w:val="24"/>
          <w:szCs w:val="24"/>
        </w:rPr>
        <w:t>（5）配合采购单位答复供应商提出的质疑；配合财政部门的投诉处理和监督检查工作。</w:t>
      </w:r>
    </w:p>
    <w:p w14:paraId="452ED695">
      <w:pPr>
        <w:snapToGrid w:val="0"/>
        <w:spacing w:line="480" w:lineRule="exact"/>
        <w:ind w:firstLine="480" w:firstLineChars="200"/>
        <w:rPr>
          <w:rFonts w:ascii="宋体" w:hAnsi="宋体" w:cs="宋体"/>
          <w:sz w:val="24"/>
          <w:szCs w:val="24"/>
        </w:rPr>
      </w:pPr>
      <w:r>
        <w:rPr>
          <w:rFonts w:hint="eastAsia" w:ascii="宋体" w:hAnsi="宋体" w:cs="宋体"/>
          <w:sz w:val="24"/>
          <w:szCs w:val="24"/>
        </w:rPr>
        <w:t>3、评审有关记录由磋商小组成员签名，存档备查。</w:t>
      </w:r>
    </w:p>
    <w:p w14:paraId="61D77131">
      <w:pPr>
        <w:snapToGrid w:val="0"/>
        <w:spacing w:line="480" w:lineRule="exact"/>
        <w:ind w:firstLine="480" w:firstLineChars="200"/>
        <w:rPr>
          <w:rFonts w:ascii="宋体" w:hAnsi="宋体" w:cs="宋体"/>
          <w:sz w:val="24"/>
          <w:szCs w:val="24"/>
        </w:rPr>
      </w:pPr>
      <w:r>
        <w:rPr>
          <w:rFonts w:hint="eastAsia" w:ascii="宋体" w:hAnsi="宋体" w:cs="宋体"/>
          <w:sz w:val="24"/>
          <w:szCs w:val="24"/>
        </w:rPr>
        <w:t>4、供应商的法定代表人或被授权人须持身份证准时参加磋商开标会。</w:t>
      </w:r>
    </w:p>
    <w:p w14:paraId="369FE119">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二、磋商的原则及方法</w:t>
      </w:r>
    </w:p>
    <w:p w14:paraId="4B5535A1">
      <w:pPr>
        <w:snapToGrid w:val="0"/>
        <w:spacing w:line="480" w:lineRule="exact"/>
        <w:ind w:firstLine="480" w:firstLineChars="200"/>
        <w:rPr>
          <w:rFonts w:ascii="宋体" w:hAnsi="宋体" w:cs="宋体"/>
          <w:sz w:val="24"/>
          <w:szCs w:val="24"/>
        </w:rPr>
      </w:pPr>
      <w:r>
        <w:rPr>
          <w:rFonts w:hint="eastAsia" w:ascii="宋体" w:hAnsi="宋体" w:cs="宋体"/>
          <w:sz w:val="24"/>
          <w:szCs w:val="24"/>
        </w:rPr>
        <w:t>1、磋商小组依据相关法规，遵循“公开、公平、公正、择优、信用”的原则进行磋商评审。</w:t>
      </w:r>
    </w:p>
    <w:p w14:paraId="6B9A494C">
      <w:pPr>
        <w:snapToGrid w:val="0"/>
        <w:spacing w:line="480" w:lineRule="exact"/>
        <w:ind w:firstLine="484" w:firstLineChars="202"/>
        <w:rPr>
          <w:rFonts w:ascii="宋体" w:hAnsi="宋体" w:cs="宋体"/>
          <w:sz w:val="24"/>
          <w:szCs w:val="24"/>
        </w:rPr>
      </w:pPr>
      <w:r>
        <w:rPr>
          <w:rFonts w:hint="eastAsia" w:ascii="宋体" w:hAnsi="宋体" w:cs="宋体"/>
          <w:sz w:val="24"/>
          <w:szCs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14:paraId="4513FD79">
      <w:pPr>
        <w:snapToGrid w:val="0"/>
        <w:spacing w:line="480" w:lineRule="exact"/>
        <w:ind w:firstLine="484" w:firstLineChars="202"/>
        <w:rPr>
          <w:rFonts w:ascii="宋体" w:hAnsi="宋体" w:cs="宋体"/>
          <w:sz w:val="24"/>
          <w:szCs w:val="24"/>
        </w:rPr>
      </w:pPr>
      <w:r>
        <w:rPr>
          <w:rFonts w:hint="eastAsia" w:ascii="宋体" w:hAnsi="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7E3375D1">
      <w:pPr>
        <w:snapToGrid w:val="0"/>
        <w:spacing w:line="480" w:lineRule="exact"/>
        <w:ind w:firstLine="480" w:firstLineChars="200"/>
        <w:rPr>
          <w:rFonts w:ascii="宋体" w:hAnsi="宋体" w:cs="宋体"/>
          <w:sz w:val="24"/>
          <w:szCs w:val="24"/>
        </w:rPr>
      </w:pPr>
      <w:r>
        <w:rPr>
          <w:rFonts w:hint="eastAsia" w:ascii="宋体" w:hAnsi="宋体" w:cs="宋体"/>
          <w:sz w:val="24"/>
          <w:szCs w:val="24"/>
        </w:rPr>
        <w:t>4、磋商小组所有成员应当集中与单一供应商分别进行磋商，并给予所有参加磋商的供应商平等的磋商机会。</w:t>
      </w:r>
    </w:p>
    <w:p w14:paraId="38DCDFF4">
      <w:pPr>
        <w:snapToGrid w:val="0"/>
        <w:spacing w:line="480" w:lineRule="exact"/>
        <w:ind w:firstLine="480" w:firstLineChars="200"/>
        <w:rPr>
          <w:rFonts w:ascii="宋体" w:hAnsi="宋体" w:cs="宋体"/>
          <w:sz w:val="24"/>
          <w:szCs w:val="24"/>
        </w:rPr>
      </w:pPr>
      <w:r>
        <w:rPr>
          <w:rFonts w:hint="eastAsia" w:ascii="宋体" w:hAnsi="宋体" w:cs="宋体"/>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14:paraId="765ECE73">
      <w:pPr>
        <w:snapToGrid w:val="0"/>
        <w:spacing w:line="480" w:lineRule="exact"/>
        <w:ind w:firstLine="480" w:firstLineChars="200"/>
        <w:rPr>
          <w:rFonts w:ascii="宋体" w:hAnsi="宋体" w:cs="宋体"/>
          <w:sz w:val="24"/>
          <w:szCs w:val="24"/>
        </w:rPr>
      </w:pPr>
      <w:r>
        <w:rPr>
          <w:rFonts w:hint="eastAsia" w:ascii="宋体" w:hAnsi="宋体" w:cs="宋体"/>
          <w:sz w:val="24"/>
          <w:szCs w:val="24"/>
        </w:rPr>
        <w:t>6、对磋商文件作出的实质性变动是磋商文件的有效组成部分，磋商小组应当及时以书面形式同时通知所有参加磋商的供应商。</w:t>
      </w:r>
    </w:p>
    <w:p w14:paraId="7C7032D3">
      <w:pPr>
        <w:snapToGrid w:val="0"/>
        <w:spacing w:line="480" w:lineRule="exact"/>
        <w:ind w:firstLine="480" w:firstLineChars="200"/>
        <w:rPr>
          <w:rFonts w:ascii="宋体" w:hAnsi="宋体" w:cs="宋体"/>
          <w:sz w:val="24"/>
          <w:szCs w:val="24"/>
        </w:rPr>
      </w:pPr>
      <w:r>
        <w:rPr>
          <w:rFonts w:hint="eastAsia" w:ascii="宋体" w:hAnsi="宋体" w:cs="宋体"/>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691BA7C0">
      <w:pPr>
        <w:snapToGrid w:val="0"/>
        <w:spacing w:line="480" w:lineRule="exact"/>
        <w:ind w:firstLine="480" w:firstLineChars="200"/>
        <w:rPr>
          <w:rFonts w:ascii="宋体" w:hAnsi="宋体" w:cs="宋体"/>
          <w:sz w:val="24"/>
          <w:szCs w:val="24"/>
        </w:rPr>
      </w:pPr>
      <w:r>
        <w:rPr>
          <w:rFonts w:hint="eastAsia" w:ascii="宋体" w:hAnsi="宋体" w:cs="宋体"/>
          <w:sz w:val="24"/>
          <w:szCs w:val="24"/>
        </w:rPr>
        <w:t>8、经磋商确定最终采购需求和提交最终报价的供应商：磋商文件能够详细列明采购标的的技术、服务要求的，磋商结束后，磋商小组应当要求所有实质性响应的供应商在规定时间内提交最终报价。</w:t>
      </w:r>
    </w:p>
    <w:p w14:paraId="340855F6">
      <w:pPr>
        <w:snapToGrid w:val="0"/>
        <w:spacing w:line="480" w:lineRule="exact"/>
        <w:ind w:firstLine="480" w:firstLineChars="200"/>
        <w:rPr>
          <w:rFonts w:ascii="宋体" w:hAnsi="宋体" w:cs="宋体"/>
          <w:sz w:val="24"/>
          <w:szCs w:val="24"/>
        </w:rPr>
      </w:pPr>
      <w:r>
        <w:rPr>
          <w:rFonts w:hint="eastAsia" w:ascii="宋体" w:hAnsi="宋体" w:cs="宋体"/>
          <w:sz w:val="24"/>
          <w:szCs w:val="24"/>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12490D65">
      <w:pPr>
        <w:snapToGrid w:val="0"/>
        <w:spacing w:line="480" w:lineRule="exact"/>
        <w:ind w:firstLine="480" w:firstLineChars="200"/>
        <w:rPr>
          <w:rFonts w:ascii="宋体" w:hAnsi="宋体" w:cs="宋体"/>
          <w:sz w:val="24"/>
          <w:szCs w:val="24"/>
        </w:rPr>
      </w:pPr>
      <w:r>
        <w:rPr>
          <w:rFonts w:hint="eastAsia" w:ascii="宋体" w:hAnsi="宋体" w:cs="宋体"/>
          <w:sz w:val="24"/>
          <w:szCs w:val="24"/>
        </w:rPr>
        <w:t>10、除非在磋商中磋商小组对采购单位需求内容作了调整增加，或对采购内容作了实质性变更，否则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1A58E2CD">
      <w:pPr>
        <w:snapToGrid w:val="0"/>
        <w:spacing w:line="480" w:lineRule="exact"/>
        <w:ind w:firstLine="480" w:firstLineChars="200"/>
        <w:rPr>
          <w:rFonts w:ascii="宋体" w:hAnsi="宋体" w:cs="宋体"/>
          <w:sz w:val="24"/>
          <w:szCs w:val="24"/>
        </w:rPr>
      </w:pPr>
      <w:r>
        <w:rPr>
          <w:rFonts w:hint="eastAsia" w:ascii="宋体" w:hAnsi="宋体" w:cs="宋体"/>
          <w:sz w:val="24"/>
          <w:szCs w:val="24"/>
        </w:rPr>
        <w:t>11、对于在磋商顺利开始后至最终报价前，根据磋商情况退出磋商的供应商，须以书面形式说明退出磋商的原因，经磋商小组同意可以退出磋商。</w:t>
      </w:r>
    </w:p>
    <w:p w14:paraId="2419CFCF">
      <w:pPr>
        <w:snapToGrid w:val="0"/>
        <w:spacing w:line="480" w:lineRule="exact"/>
        <w:ind w:firstLine="480" w:firstLineChars="200"/>
        <w:rPr>
          <w:rFonts w:ascii="宋体" w:hAnsi="宋体" w:cs="宋体"/>
          <w:sz w:val="24"/>
          <w:szCs w:val="24"/>
        </w:rPr>
      </w:pPr>
      <w:r>
        <w:rPr>
          <w:rFonts w:hint="eastAsia" w:ascii="宋体" w:hAnsi="宋体" w:cs="宋体"/>
          <w:sz w:val="24"/>
          <w:szCs w:val="24"/>
        </w:rPr>
        <w:t>12、在磋商中，磋商的任何一方不得透露与磋商有关的其他响应磋商的供应商的技术资料、价格及其他信息。</w:t>
      </w:r>
    </w:p>
    <w:p w14:paraId="136B1197">
      <w:pPr>
        <w:snapToGrid w:val="0"/>
        <w:spacing w:line="480" w:lineRule="exact"/>
        <w:ind w:firstLine="480" w:firstLineChars="200"/>
        <w:rPr>
          <w:rFonts w:ascii="宋体" w:hAnsi="宋体" w:cs="宋体"/>
          <w:sz w:val="24"/>
          <w:szCs w:val="24"/>
        </w:rPr>
      </w:pPr>
      <w:r>
        <w:rPr>
          <w:rFonts w:hint="eastAsia" w:ascii="宋体" w:hAnsi="宋体" w:cs="宋体"/>
          <w:sz w:val="24"/>
          <w:szCs w:val="24"/>
        </w:rPr>
        <w:t>13、凡两家或以上公司同一法人代表或其中一家公司为另一家公司单一最大股东的，不能同时参与同一采购项目相同标段的磋商采购活动，一经发现，将视同串标处理。</w:t>
      </w:r>
    </w:p>
    <w:p w14:paraId="37108A1B">
      <w:pPr>
        <w:snapToGrid w:val="0"/>
        <w:spacing w:line="480" w:lineRule="exact"/>
        <w:ind w:firstLine="480" w:firstLineChars="200"/>
        <w:rPr>
          <w:rFonts w:ascii="宋体" w:hAnsi="宋体" w:cs="宋体"/>
          <w:sz w:val="24"/>
          <w:szCs w:val="24"/>
        </w:rPr>
      </w:pPr>
      <w:r>
        <w:rPr>
          <w:rFonts w:hint="eastAsia" w:ascii="宋体" w:hAnsi="宋体" w:cs="宋体"/>
          <w:sz w:val="24"/>
          <w:szCs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14:paraId="58EA05DE">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三、磋商评定结果的方法</w:t>
      </w:r>
    </w:p>
    <w:p w14:paraId="3356F8D6">
      <w:pPr>
        <w:snapToGrid w:val="0"/>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5B4CB07D">
      <w:pPr>
        <w:snapToGrid w:val="0"/>
        <w:spacing w:line="480" w:lineRule="exact"/>
        <w:ind w:firstLine="480" w:firstLineChars="200"/>
        <w:rPr>
          <w:rFonts w:ascii="宋体" w:hAnsi="宋体" w:cs="宋体"/>
          <w:sz w:val="24"/>
          <w:szCs w:val="24"/>
        </w:rPr>
      </w:pPr>
      <w:r>
        <w:rPr>
          <w:rFonts w:hint="eastAsia" w:ascii="宋体" w:hAnsi="宋体" w:cs="宋体"/>
          <w:sz w:val="24"/>
          <w:szCs w:val="24"/>
        </w:rPr>
        <w:t>2、评审时，磋商小组各成员应当独立对每个有效响应的文件进行评价、打分，然后汇总每个供应商每项评分因素的得分（计算结果均四舍五入保留两位小数）。</w:t>
      </w:r>
    </w:p>
    <w:p w14:paraId="76E4F0CA">
      <w:pPr>
        <w:snapToGrid w:val="0"/>
        <w:spacing w:line="480" w:lineRule="exact"/>
        <w:ind w:firstLine="480" w:firstLineChars="200"/>
        <w:rPr>
          <w:rFonts w:ascii="宋体" w:hAnsi="宋体" w:cs="宋体"/>
          <w:sz w:val="24"/>
          <w:szCs w:val="24"/>
        </w:rPr>
      </w:pPr>
      <w:r>
        <w:rPr>
          <w:rFonts w:hint="eastAsia" w:ascii="宋体" w:hAnsi="宋体" w:cs="宋体"/>
          <w:sz w:val="24"/>
          <w:szCs w:val="24"/>
        </w:rPr>
        <w:t>3、本次项目磋商的技术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 xml:space="preserve">评审总分值为100分。两部分评审因素比重如下： </w:t>
      </w:r>
    </w:p>
    <w:p w14:paraId="744BE0A0">
      <w:pPr>
        <w:snapToGrid w:val="0"/>
        <w:spacing w:line="480" w:lineRule="exact"/>
        <w:ind w:firstLine="480" w:firstLineChars="200"/>
        <w:rPr>
          <w:rFonts w:ascii="宋体" w:hAns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 xml:space="preserve"> 70%（权重）</w:t>
      </w:r>
      <w:r>
        <w:rPr>
          <w:rFonts w:hint="eastAsia" w:ascii="宋体" w:hAnsi="宋体" w:cs="宋体"/>
          <w:sz w:val="24"/>
          <w:szCs w:val="24"/>
        </w:rPr>
        <w:t>（四舍五入保留两位小数）；</w:t>
      </w:r>
    </w:p>
    <w:p w14:paraId="7EC855EF">
      <w:pPr>
        <w:snapToGrid w:val="0"/>
        <w:spacing w:line="480" w:lineRule="exact"/>
        <w:ind w:firstLine="480" w:firstLineChars="200"/>
        <w:rPr>
          <w:rFonts w:ascii="宋体" w:hAns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 xml:space="preserve"> 30%（权重） </w:t>
      </w:r>
      <w:r>
        <w:rPr>
          <w:rFonts w:hint="eastAsia" w:ascii="宋体" w:hAnsi="宋体" w:cs="宋体"/>
          <w:sz w:val="24"/>
          <w:szCs w:val="24"/>
        </w:rPr>
        <w:t>（四舍五入保留两位小数）。</w:t>
      </w:r>
    </w:p>
    <w:p w14:paraId="5E68BD17">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rPr>
        <w:t>4、技术</w:t>
      </w:r>
      <w:r>
        <w:rPr>
          <w:rFonts w:hint="eastAsia" w:ascii="宋体" w:hAnsi="宋体" w:cs="宋体"/>
          <w:kern w:val="0"/>
          <w:sz w:val="24"/>
          <w:szCs w:val="24"/>
        </w:rPr>
        <w:t>响应文件分值为所有评委打</w:t>
      </w:r>
      <w:r>
        <w:rPr>
          <w:rFonts w:hint="eastAsia" w:ascii="宋体" w:hAnsi="宋体" w:cs="宋体"/>
          <w:kern w:val="0"/>
          <w:sz w:val="24"/>
          <w:szCs w:val="24"/>
          <w:highlight w:val="none"/>
        </w:rPr>
        <w:t>分的算术平均值，计算</w:t>
      </w:r>
      <w:r>
        <w:rPr>
          <w:rFonts w:hint="eastAsia" w:ascii="宋体" w:hAnsi="宋体" w:cs="宋体"/>
          <w:sz w:val="24"/>
          <w:szCs w:val="24"/>
          <w:highlight w:val="none"/>
        </w:rPr>
        <w:t xml:space="preserve">结果均四舍五入保留两位小数。  </w:t>
      </w:r>
    </w:p>
    <w:p w14:paraId="46E117AF">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5、商务报价</w:t>
      </w:r>
      <w:r>
        <w:rPr>
          <w:rFonts w:hint="eastAsia" w:ascii="宋体" w:hAnsi="宋体" w:cs="宋体"/>
          <w:kern w:val="0"/>
          <w:sz w:val="24"/>
          <w:szCs w:val="24"/>
          <w:highlight w:val="none"/>
        </w:rPr>
        <w:t>响应文件</w:t>
      </w:r>
      <w:r>
        <w:rPr>
          <w:rFonts w:hint="eastAsia" w:ascii="宋体" w:hAnsi="宋体" w:cs="宋体"/>
          <w:sz w:val="24"/>
          <w:szCs w:val="24"/>
          <w:highlight w:val="none"/>
        </w:rPr>
        <w:t>分值统一采用低价优先法计算直接取得，与技术</w:t>
      </w:r>
      <w:r>
        <w:rPr>
          <w:rFonts w:hint="eastAsia" w:ascii="宋体" w:hAnsi="宋体" w:cs="宋体"/>
          <w:kern w:val="0"/>
          <w:sz w:val="24"/>
          <w:szCs w:val="24"/>
          <w:highlight w:val="none"/>
        </w:rPr>
        <w:t>响应文件</w:t>
      </w:r>
      <w:r>
        <w:rPr>
          <w:rFonts w:hint="eastAsia" w:ascii="宋体" w:hAnsi="宋体" w:cs="宋体"/>
          <w:sz w:val="24"/>
          <w:szCs w:val="24"/>
          <w:highlight w:val="none"/>
        </w:rPr>
        <w:t>分值相加为供应商的综合得分（四舍五入保留两位小数）。</w:t>
      </w:r>
    </w:p>
    <w:p w14:paraId="0F03D598">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6、综合得分最高的供应商推荐为项目成交供应商并出具评审磋商报告。</w:t>
      </w:r>
    </w:p>
    <w:p w14:paraId="49B7467B">
      <w:pPr>
        <w:snapToGrid w:val="0"/>
        <w:spacing w:line="48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7、确定成交候选人的特殊情况处理：</w:t>
      </w:r>
    </w:p>
    <w:p w14:paraId="2F5C0F8C">
      <w:pPr>
        <w:snapToGrid w:val="0"/>
        <w:spacing w:line="48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（1）若总分相同，则按技术标得分高者优先中标。</w:t>
      </w:r>
    </w:p>
    <w:p w14:paraId="79C83C6E">
      <w:pPr>
        <w:snapToGrid w:val="0"/>
        <w:spacing w:line="480" w:lineRule="exact"/>
        <w:ind w:firstLine="480" w:firstLineChars="200"/>
        <w:outlineLvl w:val="1"/>
        <w:rPr>
          <w:rFonts w:ascii="宋体" w:hAnsi="宋体" w:cs="宋体"/>
          <w:dstrike/>
          <w:sz w:val="24"/>
          <w:szCs w:val="24"/>
          <w:highlight w:val="none"/>
        </w:rPr>
      </w:pPr>
      <w:r>
        <w:rPr>
          <w:rFonts w:hint="eastAsia" w:ascii="宋体" w:hAnsi="宋体" w:cs="宋体"/>
          <w:sz w:val="24"/>
          <w:szCs w:val="24"/>
          <w:highlight w:val="none"/>
        </w:rPr>
        <w:t>（2）若总分且技术标得分相同，则采购人抽签确定。</w:t>
      </w:r>
    </w:p>
    <w:p w14:paraId="2EF7A882">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8、磋商评审时，评委对评审的细则若有争议，由磋商小组集体讨论确定，并对未尽情况有最终解释权。</w:t>
      </w:r>
    </w:p>
    <w:p w14:paraId="5B26F982">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9、对落标的供应商不做落标原因的解释。</w:t>
      </w:r>
    </w:p>
    <w:p w14:paraId="59B539AE">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四、综合评分评审标准</w:t>
      </w:r>
    </w:p>
    <w:p w14:paraId="4B3FF56D">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（一）技术响应评分：（70分）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80"/>
        <w:gridCol w:w="6642"/>
      </w:tblGrid>
      <w:tr w14:paraId="2BA6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340" w:type="dxa"/>
            <w:tcBorders>
              <w:top w:val="single" w:color="auto" w:sz="4" w:space="0"/>
              <w:left w:val="single" w:color="auto" w:sz="4" w:space="0"/>
              <w:bottom w:val="single" w:color="auto" w:sz="4" w:space="0"/>
              <w:right w:val="single" w:color="auto" w:sz="4" w:space="0"/>
            </w:tcBorders>
            <w:vAlign w:val="center"/>
          </w:tcPr>
          <w:p w14:paraId="057656D1">
            <w:pPr>
              <w:widowControl/>
              <w:adjustRightInd w:val="0"/>
              <w:jc w:val="center"/>
              <w:rPr>
                <w:rFonts w:ascii="宋体" w:hAnsi="宋体" w:cs="宋体"/>
                <w:b/>
                <w:bCs/>
                <w:sz w:val="24"/>
                <w:highlight w:val="none"/>
              </w:rPr>
            </w:pPr>
            <w:r>
              <w:rPr>
                <w:rFonts w:hint="eastAsia" w:ascii="宋体" w:hAnsi="宋体" w:cs="宋体"/>
                <w:b/>
                <w:bCs/>
                <w:sz w:val="24"/>
                <w:highlight w:val="none"/>
              </w:rPr>
              <w:t>评审项目</w:t>
            </w:r>
          </w:p>
        </w:tc>
        <w:tc>
          <w:tcPr>
            <w:tcW w:w="780" w:type="dxa"/>
            <w:tcBorders>
              <w:top w:val="single" w:color="auto" w:sz="4" w:space="0"/>
              <w:left w:val="single" w:color="auto" w:sz="4" w:space="0"/>
              <w:bottom w:val="single" w:color="auto" w:sz="4" w:space="0"/>
              <w:right w:val="single" w:color="auto" w:sz="4" w:space="0"/>
            </w:tcBorders>
            <w:vAlign w:val="center"/>
          </w:tcPr>
          <w:p w14:paraId="3383BB4A">
            <w:pPr>
              <w:widowControl/>
              <w:adjustRightInd w:val="0"/>
              <w:jc w:val="center"/>
              <w:rPr>
                <w:rFonts w:ascii="宋体" w:hAnsi="宋体" w:cs="宋体"/>
                <w:b/>
                <w:bCs/>
                <w:sz w:val="24"/>
                <w:highlight w:val="none"/>
              </w:rPr>
            </w:pPr>
            <w:r>
              <w:rPr>
                <w:rFonts w:hint="eastAsia" w:ascii="宋体" w:hAnsi="宋体" w:cs="宋体"/>
                <w:b/>
                <w:bCs/>
                <w:sz w:val="24"/>
                <w:highlight w:val="none"/>
              </w:rPr>
              <w:t>分值</w:t>
            </w:r>
          </w:p>
        </w:tc>
        <w:tc>
          <w:tcPr>
            <w:tcW w:w="6642" w:type="dxa"/>
            <w:tcBorders>
              <w:top w:val="single" w:color="auto" w:sz="4" w:space="0"/>
              <w:left w:val="single" w:color="auto" w:sz="4" w:space="0"/>
              <w:bottom w:val="single" w:color="auto" w:sz="4" w:space="0"/>
              <w:right w:val="single" w:color="auto" w:sz="4" w:space="0"/>
            </w:tcBorders>
            <w:vAlign w:val="center"/>
          </w:tcPr>
          <w:p w14:paraId="2BA1CBD5">
            <w:pPr>
              <w:widowControl/>
              <w:adjustRightInd w:val="0"/>
              <w:jc w:val="center"/>
              <w:rPr>
                <w:rFonts w:ascii="宋体" w:hAnsi="宋体" w:cs="宋体"/>
                <w:b/>
                <w:bCs/>
                <w:sz w:val="24"/>
                <w:highlight w:val="none"/>
              </w:rPr>
            </w:pPr>
            <w:r>
              <w:rPr>
                <w:rFonts w:hint="eastAsia" w:ascii="宋体" w:hAnsi="宋体" w:cs="宋体"/>
                <w:b/>
                <w:bCs/>
                <w:sz w:val="24"/>
                <w:highlight w:val="none"/>
              </w:rPr>
              <w:t>评分标准</w:t>
            </w:r>
          </w:p>
        </w:tc>
      </w:tr>
      <w:tr w14:paraId="0591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350DDCF4">
            <w:pPr>
              <w:widowControl/>
              <w:adjustRightInd w:val="0"/>
              <w:jc w:val="center"/>
              <w:rPr>
                <w:rFonts w:ascii="宋体" w:hAnsi="宋体" w:cs="宋体"/>
                <w:sz w:val="24"/>
                <w:szCs w:val="24"/>
                <w:highlight w:val="none"/>
              </w:rPr>
            </w:pPr>
            <w:r>
              <w:rPr>
                <w:rFonts w:hint="eastAsia" w:ascii="宋体" w:hAnsi="宋体" w:cs="宋体"/>
                <w:sz w:val="24"/>
                <w:szCs w:val="24"/>
                <w:highlight w:val="none"/>
              </w:rPr>
              <w:t>综合实力</w:t>
            </w:r>
          </w:p>
        </w:tc>
        <w:tc>
          <w:tcPr>
            <w:tcW w:w="780" w:type="dxa"/>
            <w:tcBorders>
              <w:top w:val="single" w:color="auto" w:sz="4" w:space="0"/>
              <w:left w:val="single" w:color="auto" w:sz="4" w:space="0"/>
              <w:bottom w:val="single" w:color="auto" w:sz="4" w:space="0"/>
              <w:right w:val="single" w:color="auto" w:sz="4" w:space="0"/>
            </w:tcBorders>
            <w:vAlign w:val="center"/>
          </w:tcPr>
          <w:p w14:paraId="40A08357">
            <w:pPr>
              <w:widowControl/>
              <w:adjustRightInd w:val="0"/>
              <w:rPr>
                <w:rFonts w:ascii="宋体" w:hAnsi="宋体" w:cs="宋体"/>
                <w:sz w:val="24"/>
                <w:szCs w:val="24"/>
                <w:highlight w:val="none"/>
              </w:rPr>
            </w:pPr>
            <w:r>
              <w:rPr>
                <w:rFonts w:hint="eastAsia" w:ascii="宋体" w:hAnsi="宋体" w:cs="宋体"/>
                <w:sz w:val="24"/>
                <w:szCs w:val="24"/>
                <w:highlight w:val="none"/>
              </w:rPr>
              <w:t>17分</w:t>
            </w:r>
          </w:p>
        </w:tc>
        <w:tc>
          <w:tcPr>
            <w:tcW w:w="6642" w:type="dxa"/>
            <w:tcBorders>
              <w:top w:val="single" w:color="auto" w:sz="4" w:space="0"/>
              <w:left w:val="single" w:color="auto" w:sz="4" w:space="0"/>
              <w:bottom w:val="single" w:color="auto" w:sz="4" w:space="0"/>
              <w:right w:val="single" w:color="auto" w:sz="4" w:space="0"/>
            </w:tcBorders>
            <w:vAlign w:val="center"/>
          </w:tcPr>
          <w:p w14:paraId="23242B98">
            <w:pPr>
              <w:snapToGrid w:val="0"/>
              <w:rPr>
                <w:rFonts w:ascii="宋体" w:hAnsi="宋体" w:cs="宋体"/>
                <w:sz w:val="24"/>
                <w:szCs w:val="24"/>
                <w:highlight w:val="none"/>
              </w:rPr>
            </w:pPr>
            <w:r>
              <w:rPr>
                <w:rFonts w:hint="eastAsia" w:ascii="宋体" w:hAnsi="宋体" w:cs="宋体"/>
                <w:sz w:val="24"/>
                <w:szCs w:val="24"/>
                <w:highlight w:val="none"/>
              </w:rPr>
              <w:t>1、供应商获得省、市相关部门颁发的消防业务荣誉的每项得2分，本项最高4分；提供荣誉证书等证明材料复印件并加盖单位公章。</w:t>
            </w:r>
          </w:p>
          <w:p w14:paraId="3DA75426">
            <w:pPr>
              <w:snapToGrid w:val="0"/>
              <w:rPr>
                <w:rFonts w:ascii="宋体" w:hAnsi="宋体" w:cs="宋体"/>
                <w:sz w:val="24"/>
                <w:szCs w:val="24"/>
                <w:highlight w:val="none"/>
              </w:rPr>
            </w:pPr>
            <w:r>
              <w:rPr>
                <w:rFonts w:hint="eastAsia" w:ascii="宋体" w:hAnsi="宋体" w:cs="宋体"/>
                <w:sz w:val="24"/>
                <w:szCs w:val="24"/>
                <w:highlight w:val="none"/>
              </w:rPr>
              <w:t>2、项目负责人：地级市及以上安委会专家组成员的得4分，县（区）级安委会专家组成员的得2分(能提供安委会专家成员的聘书）；具有对企业安全生产法律法规、安全生产问题研判进行授课的能力得2分（以案例为准），本项最高6分；提供对应证明材料并加盖单位公章。</w:t>
            </w:r>
          </w:p>
          <w:p w14:paraId="0A5FC6E6">
            <w:pPr>
              <w:widowControl/>
              <w:adjustRightInd w:val="0"/>
              <w:jc w:val="left"/>
              <w:rPr>
                <w:rFonts w:ascii="宋体" w:hAnsi="宋体" w:cs="宋体"/>
                <w:sz w:val="24"/>
                <w:szCs w:val="24"/>
                <w:highlight w:val="none"/>
              </w:rPr>
            </w:pPr>
            <w:r>
              <w:rPr>
                <w:rFonts w:hint="eastAsia" w:ascii="宋体" w:hAnsi="宋体" w:cs="宋体"/>
                <w:sz w:val="24"/>
                <w:szCs w:val="24"/>
                <w:highlight w:val="none"/>
              </w:rPr>
              <w:t>3、除项目负责人外、其他项目组成员：</w:t>
            </w:r>
          </w:p>
          <w:p w14:paraId="04A1BB2F">
            <w:pPr>
              <w:widowControl/>
              <w:adjustRightInd w:val="0"/>
              <w:jc w:val="left"/>
              <w:rPr>
                <w:rFonts w:ascii="宋体" w:hAnsi="宋体" w:cs="宋体"/>
                <w:sz w:val="24"/>
                <w:szCs w:val="24"/>
                <w:highlight w:val="none"/>
              </w:rPr>
            </w:pPr>
            <w:r>
              <w:rPr>
                <w:rFonts w:hint="eastAsia" w:ascii="宋体" w:hAnsi="宋体" w:cs="宋体"/>
                <w:sz w:val="24"/>
                <w:szCs w:val="24"/>
                <w:highlight w:val="none"/>
              </w:rPr>
              <w:t>（1）一级消防工程师得2分，最高得4分；</w:t>
            </w:r>
          </w:p>
          <w:p w14:paraId="09079B44">
            <w:pPr>
              <w:widowControl/>
              <w:adjustRightInd w:val="0"/>
              <w:jc w:val="left"/>
              <w:rPr>
                <w:rFonts w:ascii="宋体" w:hAnsi="宋体" w:cs="宋体"/>
                <w:sz w:val="24"/>
                <w:szCs w:val="24"/>
                <w:highlight w:val="none"/>
              </w:rPr>
            </w:pPr>
            <w:r>
              <w:rPr>
                <w:rFonts w:hint="eastAsia" w:ascii="宋体" w:hAnsi="宋体" w:cs="宋体"/>
                <w:sz w:val="24"/>
                <w:szCs w:val="24"/>
                <w:highlight w:val="none"/>
              </w:rPr>
              <w:t>（2）消防设施操作员（中级）及以上证书或原来的建（构）筑物消防员证（四级或更高级别）得1分，最高得3分；</w:t>
            </w:r>
          </w:p>
          <w:p w14:paraId="08B36A7B">
            <w:pPr>
              <w:widowControl/>
              <w:adjustRightInd w:val="0"/>
              <w:ind w:firstLine="480" w:firstLineChars="200"/>
              <w:jc w:val="left"/>
              <w:rPr>
                <w:rFonts w:ascii="宋体" w:hAnsi="宋体" w:cs="宋体"/>
                <w:sz w:val="24"/>
                <w:szCs w:val="24"/>
                <w:highlight w:val="none"/>
              </w:rPr>
            </w:pPr>
            <w:r>
              <w:rPr>
                <w:rFonts w:hint="eastAsia" w:ascii="宋体" w:hAnsi="宋体" w:cs="宋体"/>
                <w:sz w:val="24"/>
                <w:szCs w:val="24"/>
                <w:highlight w:val="none"/>
              </w:rPr>
              <w:t>提供项目组成员相关证书及2024年度5月至7月连续3个月的社保证明</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未提供社保证明的不得分</w:t>
            </w:r>
            <w:r>
              <w:rPr>
                <w:rFonts w:hint="eastAsia" w:ascii="宋体" w:hAnsi="宋体" w:cs="宋体"/>
                <w:sz w:val="24"/>
                <w:szCs w:val="24"/>
                <w:highlight w:val="none"/>
              </w:rPr>
              <w:t>；复印件加盖公章。</w:t>
            </w:r>
          </w:p>
        </w:tc>
      </w:tr>
      <w:tr w14:paraId="6B1F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2939DD8F">
            <w:pPr>
              <w:widowControl/>
              <w:adjustRightInd w:val="0"/>
              <w:jc w:val="center"/>
              <w:rPr>
                <w:rFonts w:ascii="宋体" w:hAnsi="宋体" w:cs="宋体"/>
                <w:sz w:val="24"/>
                <w:szCs w:val="24"/>
                <w:highlight w:val="none"/>
              </w:rPr>
            </w:pPr>
            <w:r>
              <w:rPr>
                <w:rFonts w:hint="eastAsia" w:ascii="宋体" w:hAnsi="宋体" w:cs="宋体"/>
                <w:sz w:val="24"/>
                <w:szCs w:val="24"/>
                <w:highlight w:val="none"/>
              </w:rPr>
              <w:t>案例</w:t>
            </w:r>
          </w:p>
        </w:tc>
        <w:tc>
          <w:tcPr>
            <w:tcW w:w="780" w:type="dxa"/>
            <w:tcBorders>
              <w:top w:val="single" w:color="auto" w:sz="4" w:space="0"/>
              <w:left w:val="single" w:color="auto" w:sz="4" w:space="0"/>
              <w:bottom w:val="single" w:color="auto" w:sz="4" w:space="0"/>
              <w:right w:val="single" w:color="auto" w:sz="4" w:space="0"/>
            </w:tcBorders>
            <w:vAlign w:val="center"/>
          </w:tcPr>
          <w:p w14:paraId="1AA0ADAA">
            <w:pPr>
              <w:widowControl/>
              <w:adjustRightInd w:val="0"/>
              <w:jc w:val="center"/>
              <w:rPr>
                <w:rFonts w:ascii="宋体" w:hAnsi="宋体" w:cs="宋体"/>
                <w:sz w:val="24"/>
                <w:szCs w:val="24"/>
                <w:highlight w:val="none"/>
              </w:rPr>
            </w:pPr>
            <w:r>
              <w:rPr>
                <w:rFonts w:hint="eastAsia" w:ascii="宋体" w:hAnsi="宋体" w:cs="宋体"/>
                <w:sz w:val="24"/>
                <w:szCs w:val="24"/>
                <w:highlight w:val="none"/>
              </w:rPr>
              <w:t>6分</w:t>
            </w:r>
          </w:p>
        </w:tc>
        <w:tc>
          <w:tcPr>
            <w:tcW w:w="6642" w:type="dxa"/>
            <w:tcBorders>
              <w:top w:val="single" w:color="auto" w:sz="4" w:space="0"/>
              <w:left w:val="single" w:color="auto" w:sz="4" w:space="0"/>
              <w:bottom w:val="single" w:color="auto" w:sz="4" w:space="0"/>
              <w:right w:val="single" w:color="auto" w:sz="4" w:space="0"/>
            </w:tcBorders>
            <w:vAlign w:val="center"/>
          </w:tcPr>
          <w:p w14:paraId="2B7B5309">
            <w:pPr>
              <w:snapToGrid w:val="0"/>
              <w:rPr>
                <w:rFonts w:ascii="宋体" w:hAnsi="宋体" w:cs="宋体"/>
                <w:sz w:val="24"/>
                <w:szCs w:val="24"/>
                <w:highlight w:val="none"/>
              </w:rPr>
            </w:pPr>
            <w:r>
              <w:rPr>
                <w:rFonts w:hint="eastAsia" w:ascii="宋体" w:hAnsi="宋体" w:cs="宋体"/>
                <w:sz w:val="24"/>
                <w:szCs w:val="24"/>
                <w:highlight w:val="none"/>
              </w:rPr>
              <w:t>提供自20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月1日（以合同签订时间为准）以来类似消防检测或消防安全评估案例：每个案例得2分，最多6分。</w:t>
            </w:r>
          </w:p>
          <w:p w14:paraId="4C6732B4">
            <w:pPr>
              <w:snapToGrid w:val="0"/>
              <w:rPr>
                <w:rFonts w:ascii="宋体" w:hAnsi="宋体" w:cs="宋体"/>
                <w:sz w:val="24"/>
                <w:szCs w:val="24"/>
                <w:highlight w:val="none"/>
              </w:rPr>
            </w:pPr>
            <w:r>
              <w:rPr>
                <w:rFonts w:hint="eastAsia" w:ascii="宋体" w:hAnsi="宋体" w:cs="宋体"/>
                <w:sz w:val="24"/>
                <w:szCs w:val="24"/>
                <w:highlight w:val="none"/>
              </w:rPr>
              <w:t>须提供合同复印件，并加盖公章。</w:t>
            </w:r>
          </w:p>
        </w:tc>
      </w:tr>
      <w:tr w14:paraId="49CD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1DCF62B4">
            <w:pPr>
              <w:widowControl/>
              <w:adjustRightInd w:val="0"/>
              <w:jc w:val="center"/>
              <w:rPr>
                <w:rFonts w:ascii="宋体" w:hAnsi="宋体" w:cs="宋体"/>
                <w:sz w:val="24"/>
                <w:szCs w:val="24"/>
                <w:highlight w:val="none"/>
              </w:rPr>
            </w:pPr>
            <w:r>
              <w:rPr>
                <w:rFonts w:hint="eastAsia" w:ascii="宋体" w:hAnsi="宋体" w:cs="宋体"/>
                <w:sz w:val="24"/>
                <w:szCs w:val="24"/>
                <w:highlight w:val="none"/>
              </w:rPr>
              <w:t>检测方案</w:t>
            </w:r>
          </w:p>
        </w:tc>
        <w:tc>
          <w:tcPr>
            <w:tcW w:w="780" w:type="dxa"/>
            <w:tcBorders>
              <w:top w:val="single" w:color="auto" w:sz="4" w:space="0"/>
              <w:left w:val="single" w:color="auto" w:sz="4" w:space="0"/>
              <w:bottom w:val="single" w:color="auto" w:sz="4" w:space="0"/>
              <w:right w:val="single" w:color="auto" w:sz="4" w:space="0"/>
            </w:tcBorders>
            <w:vAlign w:val="center"/>
          </w:tcPr>
          <w:p w14:paraId="71AE023D">
            <w:pPr>
              <w:widowControl/>
              <w:adjustRightInd w:val="0"/>
              <w:jc w:val="center"/>
              <w:rPr>
                <w:rFonts w:ascii="宋体" w:hAnsi="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cs="宋体"/>
                <w:sz w:val="24"/>
                <w:szCs w:val="24"/>
                <w:highlight w:val="none"/>
              </w:rPr>
              <w:t>分</w:t>
            </w:r>
          </w:p>
        </w:tc>
        <w:tc>
          <w:tcPr>
            <w:tcW w:w="6642" w:type="dxa"/>
            <w:tcBorders>
              <w:top w:val="single" w:color="auto" w:sz="4" w:space="0"/>
              <w:left w:val="single" w:color="auto" w:sz="4" w:space="0"/>
              <w:bottom w:val="single" w:color="auto" w:sz="4" w:space="0"/>
              <w:right w:val="single" w:color="auto" w:sz="4" w:space="0"/>
            </w:tcBorders>
            <w:vAlign w:val="center"/>
          </w:tcPr>
          <w:p w14:paraId="4D8632B7">
            <w:pPr>
              <w:snapToGrid w:val="0"/>
              <w:rPr>
                <w:rFonts w:ascii="宋体" w:hAnsi="宋体" w:cs="宋体"/>
                <w:sz w:val="24"/>
                <w:szCs w:val="24"/>
                <w:highlight w:val="none"/>
              </w:rPr>
            </w:pPr>
            <w:r>
              <w:rPr>
                <w:rFonts w:hint="eastAsia" w:ascii="宋体" w:hAnsi="宋体" w:cs="宋体"/>
                <w:sz w:val="24"/>
                <w:szCs w:val="24"/>
                <w:highlight w:val="none"/>
              </w:rPr>
              <w:t>1、检测方案符合规范标准、工作思路和技术方法合理、创新，对重点、难点分析合理、准确，对关键问题的梳理及其解决的思路清晰准确的得</w:t>
            </w:r>
            <w:r>
              <w:rPr>
                <w:rFonts w:hint="eastAsia" w:ascii="宋体" w:hAnsi="宋体" w:cs="宋体"/>
                <w:sz w:val="24"/>
                <w:szCs w:val="24"/>
                <w:highlight w:val="none"/>
                <w:lang w:val="en-US" w:eastAsia="zh-CN"/>
              </w:rPr>
              <w:t>21</w:t>
            </w:r>
            <w:r>
              <w:rPr>
                <w:rFonts w:hint="eastAsia" w:ascii="宋体" w:hAnsi="宋体" w:cs="宋体"/>
                <w:sz w:val="24"/>
                <w:szCs w:val="24"/>
                <w:highlight w:val="none"/>
              </w:rPr>
              <w:t>（不含）-</w:t>
            </w:r>
            <w:r>
              <w:rPr>
                <w:rFonts w:hint="eastAsia" w:ascii="宋体" w:hAnsi="宋体" w:cs="宋体"/>
                <w:sz w:val="24"/>
                <w:szCs w:val="24"/>
                <w:highlight w:val="none"/>
                <w:lang w:val="en-US" w:eastAsia="zh-CN"/>
              </w:rPr>
              <w:t>31</w:t>
            </w:r>
            <w:r>
              <w:rPr>
                <w:rFonts w:hint="eastAsia" w:ascii="宋体" w:hAnsi="宋体" w:cs="宋体"/>
                <w:sz w:val="24"/>
                <w:szCs w:val="24"/>
                <w:highlight w:val="none"/>
              </w:rPr>
              <w:t>（含）分；</w:t>
            </w:r>
          </w:p>
          <w:p w14:paraId="218BF4AD">
            <w:pPr>
              <w:snapToGrid w:val="0"/>
              <w:rPr>
                <w:rFonts w:ascii="宋体" w:hAnsi="宋体" w:cs="宋体"/>
                <w:sz w:val="24"/>
                <w:szCs w:val="24"/>
                <w:highlight w:val="none"/>
              </w:rPr>
            </w:pPr>
            <w:r>
              <w:rPr>
                <w:rFonts w:hint="eastAsia" w:ascii="宋体" w:hAnsi="宋体" w:cs="宋体"/>
                <w:sz w:val="24"/>
                <w:szCs w:val="24"/>
                <w:highlight w:val="none"/>
              </w:rPr>
              <w:t>2、检测方案符合规范标准、工作思路和技术方法一般，对重点、难点分析一般，对关键问题的梳理及其解决的思路一般的得1</w:t>
            </w:r>
            <w:r>
              <w:rPr>
                <w:rFonts w:hint="eastAsia" w:ascii="宋体" w:hAnsi="宋体" w:cs="宋体"/>
                <w:sz w:val="24"/>
                <w:szCs w:val="24"/>
                <w:highlight w:val="none"/>
                <w:lang w:val="en-US" w:eastAsia="zh-CN"/>
              </w:rPr>
              <w:t>1</w:t>
            </w:r>
            <w:r>
              <w:rPr>
                <w:rFonts w:hint="eastAsia" w:ascii="宋体" w:hAnsi="宋体" w:cs="宋体"/>
                <w:sz w:val="24"/>
                <w:szCs w:val="24"/>
                <w:highlight w:val="none"/>
              </w:rPr>
              <w:t>（不含）-</w:t>
            </w:r>
            <w:r>
              <w:rPr>
                <w:rFonts w:hint="eastAsia" w:ascii="宋体" w:hAnsi="宋体" w:cs="宋体"/>
                <w:sz w:val="24"/>
                <w:szCs w:val="24"/>
                <w:highlight w:val="none"/>
                <w:lang w:val="en-US" w:eastAsia="zh-CN"/>
              </w:rPr>
              <w:t>20</w:t>
            </w:r>
            <w:r>
              <w:rPr>
                <w:rFonts w:hint="eastAsia" w:ascii="宋体" w:hAnsi="宋体" w:cs="宋体"/>
                <w:sz w:val="24"/>
                <w:szCs w:val="24"/>
                <w:highlight w:val="none"/>
              </w:rPr>
              <w:t>（含）分；</w:t>
            </w:r>
          </w:p>
          <w:p w14:paraId="6F8BF95C">
            <w:pPr>
              <w:snapToGrid w:val="0"/>
              <w:rPr>
                <w:rFonts w:ascii="宋体" w:hAnsi="宋体" w:cs="宋体"/>
                <w:sz w:val="24"/>
                <w:szCs w:val="24"/>
                <w:highlight w:val="none"/>
              </w:rPr>
            </w:pPr>
            <w:r>
              <w:rPr>
                <w:rFonts w:hint="eastAsia" w:ascii="宋体" w:hAnsi="宋体" w:cs="宋体"/>
                <w:sz w:val="24"/>
                <w:szCs w:val="24"/>
                <w:highlight w:val="none"/>
              </w:rPr>
              <w:t>3、检测方案不符合规范标准、工作思路不清晰、技术方法欠缺，未掌握重点、难点，未能准确梳理关键问题、未提供解决思路的得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（含）-</w:t>
            </w:r>
            <w:r>
              <w:rPr>
                <w:rFonts w:hint="eastAsia" w:ascii="宋体" w:hAnsi="宋体" w:cs="宋体"/>
                <w:sz w:val="24"/>
                <w:szCs w:val="24"/>
                <w:highlight w:val="none"/>
                <w:lang w:val="en-US" w:eastAsia="zh-CN"/>
              </w:rPr>
              <w:t>10</w:t>
            </w:r>
            <w:r>
              <w:rPr>
                <w:rFonts w:hint="eastAsia" w:ascii="宋体" w:hAnsi="宋体" w:cs="宋体"/>
                <w:sz w:val="24"/>
                <w:szCs w:val="24"/>
                <w:highlight w:val="none"/>
              </w:rPr>
              <w:t>（含）分；</w:t>
            </w:r>
          </w:p>
          <w:p w14:paraId="6E7DF247">
            <w:pPr>
              <w:snapToGrid w:val="0"/>
              <w:rPr>
                <w:rFonts w:ascii="宋体" w:hAnsi="宋体" w:cs="宋体"/>
                <w:sz w:val="24"/>
                <w:szCs w:val="24"/>
                <w:highlight w:val="none"/>
              </w:rPr>
            </w:pPr>
            <w:r>
              <w:rPr>
                <w:rFonts w:hint="eastAsia" w:ascii="宋体" w:hAnsi="宋体" w:cs="宋体"/>
                <w:sz w:val="24"/>
                <w:szCs w:val="24"/>
                <w:highlight w:val="none"/>
              </w:rPr>
              <w:t>4、未提供检测方案的不得分。</w:t>
            </w:r>
          </w:p>
        </w:tc>
      </w:tr>
      <w:tr w14:paraId="3B42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6EF97F69">
            <w:pPr>
              <w:widowControl/>
              <w:adjustRightInd w:val="0"/>
              <w:jc w:val="center"/>
              <w:rPr>
                <w:rFonts w:ascii="宋体" w:hAnsi="宋体" w:cs="宋体"/>
                <w:sz w:val="24"/>
                <w:szCs w:val="24"/>
                <w:highlight w:val="none"/>
              </w:rPr>
            </w:pPr>
            <w:r>
              <w:rPr>
                <w:rFonts w:hint="eastAsia" w:ascii="宋体" w:hAnsi="宋体" w:cs="宋体"/>
                <w:sz w:val="24"/>
                <w:szCs w:val="24"/>
                <w:highlight w:val="none"/>
              </w:rPr>
              <w:t>仪器设备</w:t>
            </w:r>
          </w:p>
        </w:tc>
        <w:tc>
          <w:tcPr>
            <w:tcW w:w="780" w:type="dxa"/>
            <w:tcBorders>
              <w:top w:val="single" w:color="auto" w:sz="4" w:space="0"/>
              <w:left w:val="single" w:color="auto" w:sz="4" w:space="0"/>
              <w:bottom w:val="single" w:color="auto" w:sz="4" w:space="0"/>
              <w:right w:val="single" w:color="auto" w:sz="4" w:space="0"/>
            </w:tcBorders>
            <w:vAlign w:val="center"/>
          </w:tcPr>
          <w:p w14:paraId="4FC90AE4">
            <w:pPr>
              <w:widowControl/>
              <w:adjustRightInd w:val="0"/>
              <w:jc w:val="center"/>
              <w:rPr>
                <w:rFonts w:ascii="宋体" w:hAnsi="宋体" w:cs="宋体"/>
                <w:sz w:val="24"/>
                <w:szCs w:val="24"/>
                <w:highlight w:val="none"/>
              </w:rPr>
            </w:pPr>
            <w:r>
              <w:rPr>
                <w:rFonts w:hint="eastAsia" w:ascii="宋体" w:hAnsi="宋体" w:cs="宋体"/>
                <w:sz w:val="24"/>
                <w:szCs w:val="24"/>
                <w:highlight w:val="none"/>
              </w:rPr>
              <w:t>6分</w:t>
            </w:r>
          </w:p>
        </w:tc>
        <w:tc>
          <w:tcPr>
            <w:tcW w:w="6642" w:type="dxa"/>
            <w:tcBorders>
              <w:top w:val="single" w:color="auto" w:sz="4" w:space="0"/>
              <w:left w:val="single" w:color="auto" w:sz="4" w:space="0"/>
              <w:bottom w:val="single" w:color="auto" w:sz="4" w:space="0"/>
              <w:right w:val="single" w:color="auto" w:sz="4" w:space="0"/>
            </w:tcBorders>
            <w:vAlign w:val="center"/>
          </w:tcPr>
          <w:p w14:paraId="2F2469DC">
            <w:pPr>
              <w:snapToGrid w:val="0"/>
              <w:rPr>
                <w:rFonts w:ascii="宋体" w:hAnsi="宋体" w:cs="宋体"/>
                <w:sz w:val="24"/>
                <w:szCs w:val="24"/>
                <w:highlight w:val="none"/>
              </w:rPr>
            </w:pPr>
            <w:r>
              <w:rPr>
                <w:rFonts w:hint="eastAsia" w:ascii="宋体" w:hAnsi="宋体" w:cs="宋体"/>
                <w:sz w:val="24"/>
                <w:szCs w:val="24"/>
                <w:highlight w:val="none"/>
              </w:rPr>
              <w:t>评标委员会根据投标单位拟投入本项目仪器设备的配套性、先进性，是否能满足日后开展工作的需要，在0-6分酌情给分。</w:t>
            </w:r>
          </w:p>
        </w:tc>
      </w:tr>
      <w:tr w14:paraId="22DA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69725827">
            <w:pPr>
              <w:widowControl/>
              <w:adjustRightInd w:val="0"/>
              <w:jc w:val="center"/>
              <w:rPr>
                <w:rFonts w:ascii="宋体" w:hAnsi="宋体" w:cs="宋体"/>
                <w:sz w:val="24"/>
                <w:szCs w:val="24"/>
                <w:highlight w:val="none"/>
              </w:rPr>
            </w:pPr>
            <w:r>
              <w:rPr>
                <w:rFonts w:hint="eastAsia" w:ascii="宋体" w:hAnsi="宋体" w:cs="宋体"/>
                <w:sz w:val="24"/>
                <w:szCs w:val="24"/>
                <w:highlight w:val="none"/>
              </w:rPr>
              <w:t>保证措施</w:t>
            </w:r>
          </w:p>
        </w:tc>
        <w:tc>
          <w:tcPr>
            <w:tcW w:w="780" w:type="dxa"/>
            <w:tcBorders>
              <w:top w:val="single" w:color="auto" w:sz="4" w:space="0"/>
              <w:left w:val="single" w:color="auto" w:sz="4" w:space="0"/>
              <w:bottom w:val="single" w:color="auto" w:sz="4" w:space="0"/>
              <w:right w:val="single" w:color="auto" w:sz="4" w:space="0"/>
            </w:tcBorders>
            <w:vAlign w:val="center"/>
          </w:tcPr>
          <w:p w14:paraId="41C520D3">
            <w:pPr>
              <w:widowControl/>
              <w:adjustRightInd w:val="0"/>
              <w:jc w:val="center"/>
              <w:rPr>
                <w:rFonts w:ascii="宋体" w:hAnsi="宋体" w:cs="宋体"/>
                <w:sz w:val="24"/>
                <w:szCs w:val="24"/>
                <w:highlight w:val="none"/>
              </w:rPr>
            </w:pPr>
            <w:r>
              <w:rPr>
                <w:rFonts w:hint="eastAsia" w:ascii="宋体" w:hAnsi="宋体" w:cs="宋体"/>
                <w:sz w:val="24"/>
                <w:szCs w:val="24"/>
                <w:highlight w:val="none"/>
              </w:rPr>
              <w:t>10分</w:t>
            </w:r>
          </w:p>
        </w:tc>
        <w:tc>
          <w:tcPr>
            <w:tcW w:w="6642" w:type="dxa"/>
            <w:tcBorders>
              <w:top w:val="single" w:color="auto" w:sz="4" w:space="0"/>
              <w:left w:val="single" w:color="auto" w:sz="4" w:space="0"/>
              <w:bottom w:val="single" w:color="auto" w:sz="4" w:space="0"/>
              <w:right w:val="single" w:color="auto" w:sz="4" w:space="0"/>
            </w:tcBorders>
            <w:vAlign w:val="center"/>
          </w:tcPr>
          <w:p w14:paraId="53A028DD">
            <w:pPr>
              <w:snapToGrid w:val="0"/>
              <w:rPr>
                <w:rFonts w:ascii="宋体" w:hAnsi="宋体" w:cs="宋体"/>
                <w:sz w:val="24"/>
                <w:szCs w:val="24"/>
                <w:highlight w:val="none"/>
              </w:rPr>
            </w:pPr>
            <w:r>
              <w:rPr>
                <w:rFonts w:hint="eastAsia" w:ascii="宋体" w:hAnsi="宋体" w:cs="宋体"/>
                <w:sz w:val="24"/>
                <w:szCs w:val="24"/>
                <w:highlight w:val="none"/>
              </w:rPr>
              <w:t>工作质量、进度、安全保证措施等详细合理，内容齐全，科学可靠，可实施性强得6（不含）-10（含）分；措施不合理，可实施性不强得1（不含）-6（含）分；无保证措施的不得分。</w:t>
            </w:r>
          </w:p>
        </w:tc>
      </w:tr>
    </w:tbl>
    <w:p w14:paraId="14A379AA">
      <w:pPr>
        <w:snapToGrid w:val="0"/>
        <w:spacing w:line="480" w:lineRule="exact"/>
        <w:ind w:firstLine="487" w:firstLineChars="202"/>
        <w:outlineLvl w:val="2"/>
        <w:rPr>
          <w:rFonts w:ascii="宋体" w:hAnsi="宋体" w:cs="宋体"/>
          <w:b/>
          <w:sz w:val="24"/>
          <w:szCs w:val="24"/>
          <w:highlight w:val="none"/>
        </w:rPr>
      </w:pPr>
      <w:r>
        <w:rPr>
          <w:rFonts w:hint="eastAsia" w:ascii="宋体" w:hAnsi="宋体" w:cs="宋体"/>
          <w:b/>
          <w:sz w:val="24"/>
          <w:szCs w:val="24"/>
          <w:highlight w:val="none"/>
        </w:rPr>
        <w:t>注：以上资料如为复印件，均需加盖单位公章。</w:t>
      </w:r>
    </w:p>
    <w:p w14:paraId="7270CB66">
      <w:pPr>
        <w:snapToGrid w:val="0"/>
        <w:spacing w:line="480" w:lineRule="exact"/>
        <w:ind w:firstLine="487" w:firstLineChars="202"/>
        <w:outlineLvl w:val="2"/>
        <w:rPr>
          <w:rFonts w:ascii="宋体" w:hAnsi="宋体" w:cs="宋体"/>
          <w:b/>
          <w:sz w:val="24"/>
          <w:szCs w:val="24"/>
          <w:highlight w:val="none"/>
        </w:rPr>
      </w:pPr>
      <w:r>
        <w:rPr>
          <w:rFonts w:hint="eastAsia" w:ascii="宋体" w:hAnsi="宋体" w:cs="宋体"/>
          <w:b/>
          <w:sz w:val="24"/>
          <w:szCs w:val="24"/>
          <w:highlight w:val="none"/>
        </w:rPr>
        <w:t>（二）商务报价响应评分：（30分）</w:t>
      </w:r>
    </w:p>
    <w:p w14:paraId="59FF5060">
      <w:pPr>
        <w:adjustRightInd w:val="0"/>
        <w:snapToGrid w:val="0"/>
        <w:spacing w:line="480" w:lineRule="exact"/>
        <w:ind w:firstLine="200"/>
        <w:rPr>
          <w:rFonts w:ascii="宋体" w:hAnsi="宋体" w:cs="宋体"/>
          <w:sz w:val="24"/>
          <w:szCs w:val="24"/>
          <w:highlight w:val="none"/>
        </w:rPr>
      </w:pPr>
      <w:r>
        <w:rPr>
          <w:rFonts w:hint="eastAsia" w:ascii="宋体" w:hAnsi="宋体" w:cs="宋体"/>
          <w:sz w:val="24"/>
          <w:szCs w:val="24"/>
          <w:highlight w:val="none"/>
        </w:rPr>
        <w:t xml:space="preserve">   1、</w:t>
      </w:r>
      <w:r>
        <w:rPr>
          <w:rFonts w:hint="eastAsia" w:ascii="宋体" w:hAnsi="宋体" w:cs="宋体"/>
          <w:b/>
          <w:sz w:val="24"/>
          <w:szCs w:val="24"/>
          <w:highlight w:val="none"/>
        </w:rPr>
        <w:t>本次项目最高限价：12万元，超过限价作无效标处理</w:t>
      </w:r>
      <w:r>
        <w:rPr>
          <w:rFonts w:hint="eastAsia" w:ascii="宋体" w:hAnsi="宋体" w:cs="宋体"/>
          <w:sz w:val="24"/>
          <w:szCs w:val="24"/>
          <w:highlight w:val="none"/>
        </w:rPr>
        <w:t>。</w:t>
      </w:r>
    </w:p>
    <w:p w14:paraId="07A8D512">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2、满足磋商文件要求且最终报价最低的供应商的价格为磋商基准价，其商务报价</w:t>
      </w:r>
      <w:r>
        <w:rPr>
          <w:rFonts w:hint="eastAsia" w:ascii="宋体" w:hAnsi="宋体" w:cs="宋体"/>
          <w:kern w:val="0"/>
          <w:sz w:val="24"/>
          <w:szCs w:val="24"/>
          <w:highlight w:val="none"/>
        </w:rPr>
        <w:t>响应</w:t>
      </w:r>
      <w:r>
        <w:rPr>
          <w:rFonts w:hint="eastAsia" w:ascii="宋体" w:hAnsi="宋体" w:cs="宋体"/>
          <w:sz w:val="24"/>
          <w:szCs w:val="24"/>
          <w:highlight w:val="none"/>
        </w:rPr>
        <w:t>分为满分30分。其他供应商的商务报价</w:t>
      </w:r>
      <w:r>
        <w:rPr>
          <w:rFonts w:hint="eastAsia" w:ascii="宋体" w:hAnsi="宋体" w:cs="宋体"/>
          <w:kern w:val="0"/>
          <w:sz w:val="24"/>
          <w:szCs w:val="24"/>
          <w:highlight w:val="none"/>
        </w:rPr>
        <w:t>响应</w:t>
      </w:r>
      <w:r>
        <w:rPr>
          <w:rFonts w:hint="eastAsia" w:ascii="宋体" w:hAnsi="宋体" w:cs="宋体"/>
          <w:sz w:val="24"/>
          <w:szCs w:val="24"/>
          <w:highlight w:val="none"/>
        </w:rPr>
        <w:t>分统一按照下列公式计算：</w:t>
      </w:r>
    </w:p>
    <w:p w14:paraId="32BB37C4">
      <w:pPr>
        <w:snapToGrid w:val="0"/>
        <w:spacing w:line="48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商务报价</w:t>
      </w:r>
      <w:r>
        <w:rPr>
          <w:rFonts w:hint="eastAsia" w:ascii="宋体" w:hAnsi="宋体" w:cs="宋体"/>
          <w:b/>
          <w:kern w:val="0"/>
          <w:sz w:val="24"/>
          <w:szCs w:val="24"/>
          <w:highlight w:val="none"/>
        </w:rPr>
        <w:t>响应</w:t>
      </w:r>
      <w:r>
        <w:rPr>
          <w:rFonts w:hint="eastAsia" w:ascii="宋体" w:hAnsi="宋体" w:cs="宋体"/>
          <w:b/>
          <w:sz w:val="24"/>
          <w:szCs w:val="24"/>
          <w:highlight w:val="none"/>
        </w:rPr>
        <w:t>分 =（磋商基准价/最后磋商报价）×30%×100</w:t>
      </w:r>
    </w:p>
    <w:p w14:paraId="6A8B4A7B">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五、出现下列情形之一的，作无效标处理</w:t>
      </w:r>
    </w:p>
    <w:p w14:paraId="0C60E13D">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1、响应文件未按磋商文件要求装订、密封、签署、盖章及主要资料不齐全的；</w:t>
      </w:r>
    </w:p>
    <w:p w14:paraId="336F7BCE">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2、响应文件的资料有虚报或者谎报的；</w:t>
      </w:r>
    </w:p>
    <w:p w14:paraId="5169E754">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3、响应文件中资格审查文件及技术响应文件出现磋商报价的内容；</w:t>
      </w:r>
    </w:p>
    <w:p w14:paraId="165B57A2">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4、不具备磋商文件规定的资格要求的；</w:t>
      </w:r>
    </w:p>
    <w:p w14:paraId="14514783">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5、响应文件有重大漏项或重大不合理的；</w:t>
      </w:r>
    </w:p>
    <w:p w14:paraId="33B5D3A9">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6、项目技术、方案不满足项目需求中的要求，有重大偏离或保留的；</w:t>
      </w:r>
    </w:p>
    <w:p w14:paraId="5A0D3015">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7、磋商响应报价超出项目预算的；</w:t>
      </w:r>
    </w:p>
    <w:p w14:paraId="7B89BA5F">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8、被认定为低于成本报价磋商竞标的；</w:t>
      </w:r>
    </w:p>
    <w:p w14:paraId="1CFA4D2A">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9、供应商的磋商报价高于自己前一轮的；</w:t>
      </w:r>
    </w:p>
    <w:p w14:paraId="5F6EBF6D">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10、不符合法律、法规和磋商文件中规定的其他实质性响应要求的；</w:t>
      </w:r>
    </w:p>
    <w:p w14:paraId="5FA6BBA8">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11、磋商小组依据法律法规可以认定为无效投标的其他情况。</w:t>
      </w:r>
    </w:p>
    <w:p w14:paraId="09C68664">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六、出现下列情形之一的，作废标处理</w:t>
      </w:r>
    </w:p>
    <w:p w14:paraId="15E5EB0B">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1、供应商的报价均超出了采购预算，采购单位不能支付的；</w:t>
      </w:r>
    </w:p>
    <w:p w14:paraId="5D5B3AA7">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2、因情况变化，不再符合规定的竞争性磋商采购方式所适用情形的；</w:t>
      </w:r>
    </w:p>
    <w:p w14:paraId="2141EB88">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3、出现影响采购公正的违法、违规行为的；</w:t>
      </w:r>
    </w:p>
    <w:p w14:paraId="7BF11C86">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4、因重大变故，采购任务取消的；</w:t>
      </w:r>
    </w:p>
    <w:p w14:paraId="5B730499">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5、磋商小组依据法律法规可以认定为废标的其他情况。</w:t>
      </w:r>
    </w:p>
    <w:p w14:paraId="4D16E6E3">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七、成交通知</w:t>
      </w:r>
    </w:p>
    <w:p w14:paraId="68F5CA00">
      <w:pPr>
        <w:spacing w:line="480" w:lineRule="exact"/>
        <w:ind w:firstLine="480" w:firstLineChars="200"/>
        <w:rPr>
          <w:rFonts w:ascii="宋体" w:hAnsi="宋体" w:cs="宋体"/>
          <w:kern w:val="0"/>
          <w:sz w:val="24"/>
          <w:szCs w:val="24"/>
          <w:highlight w:val="none"/>
        </w:rPr>
      </w:pPr>
      <w:r>
        <w:rPr>
          <w:rFonts w:hint="eastAsia"/>
          <w:kern w:val="0"/>
          <w:sz w:val="24"/>
          <w:szCs w:val="24"/>
          <w:highlight w:val="none"/>
        </w:rPr>
        <w:t>成交结果在</w:t>
      </w:r>
      <w:r>
        <w:rPr>
          <w:rFonts w:ascii="宋体" w:hAnsi="宋体" w:cs="宋体"/>
          <w:sz w:val="24"/>
          <w:szCs w:val="24"/>
          <w:highlight w:val="none"/>
        </w:rPr>
        <w:t xml:space="preserve"> “南通文化广电和旅游局</w:t>
      </w:r>
      <w:r>
        <w:rPr>
          <w:highlight w:val="none"/>
        </w:rPr>
        <w:fldChar w:fldCharType="begin"/>
      </w:r>
      <w:r>
        <w:rPr>
          <w:highlight w:val="none"/>
        </w:rPr>
        <w:instrText xml:space="preserve"> HYPERLINK "http://wglj.nantong.gov.cn/" </w:instrText>
      </w:r>
      <w:r>
        <w:rPr>
          <w:highlight w:val="none"/>
        </w:rPr>
        <w:fldChar w:fldCharType="separate"/>
      </w:r>
      <w:r>
        <w:rPr>
          <w:rStyle w:val="53"/>
          <w:rFonts w:ascii="宋体" w:hAnsi="宋体" w:cs="宋体"/>
          <w:sz w:val="24"/>
          <w:szCs w:val="24"/>
          <w:highlight w:val="none"/>
        </w:rPr>
        <w:t>http://wglj.nantong.gov.cn/</w:t>
      </w:r>
      <w:r>
        <w:rPr>
          <w:rStyle w:val="53"/>
          <w:rFonts w:ascii="宋体" w:hAnsi="宋体" w:cs="宋体"/>
          <w:sz w:val="24"/>
          <w:szCs w:val="24"/>
          <w:highlight w:val="none"/>
        </w:rPr>
        <w:fldChar w:fldCharType="end"/>
      </w:r>
      <w:r>
        <w:rPr>
          <w:rFonts w:ascii="宋体" w:hAnsi="宋体" w:cs="宋体"/>
          <w:sz w:val="24"/>
          <w:szCs w:val="24"/>
          <w:highlight w:val="none"/>
        </w:rPr>
        <w:t>”</w:t>
      </w:r>
      <w:r>
        <w:rPr>
          <w:rFonts w:hint="eastAsia"/>
          <w:kern w:val="0"/>
          <w:sz w:val="24"/>
          <w:szCs w:val="24"/>
          <w:highlight w:val="none"/>
        </w:rPr>
        <w:t>公示</w:t>
      </w:r>
      <w:r>
        <w:rPr>
          <w:rFonts w:hint="eastAsia"/>
          <w:b/>
          <w:kern w:val="0"/>
          <w:sz w:val="24"/>
          <w:szCs w:val="24"/>
          <w:highlight w:val="none"/>
          <w:u w:val="single"/>
        </w:rPr>
        <w:t xml:space="preserve">1 </w:t>
      </w:r>
      <w:r>
        <w:rPr>
          <w:rFonts w:hint="eastAsia"/>
          <w:kern w:val="0"/>
          <w:sz w:val="24"/>
          <w:szCs w:val="24"/>
          <w:highlight w:val="none"/>
        </w:rPr>
        <w:t>个工作日。《成交通知书》一经发出，采购单位改变成交结果，或者中标人放弃成交的，各自承担相应的法律责任。《成交通知书》是采购合同的组成部分。</w:t>
      </w:r>
    </w:p>
    <w:bookmarkEnd w:id="50"/>
    <w:bookmarkEnd w:id="51"/>
    <w:bookmarkEnd w:id="52"/>
    <w:bookmarkEnd w:id="53"/>
    <w:bookmarkEnd w:id="54"/>
    <w:bookmarkEnd w:id="55"/>
    <w:bookmarkEnd w:id="56"/>
    <w:bookmarkEnd w:id="57"/>
    <w:p w14:paraId="01B61D38">
      <w:pPr>
        <w:pStyle w:val="2"/>
        <w:keepNext w:val="0"/>
        <w:keepLines w:val="0"/>
        <w:numPr>
          <w:ilvl w:val="0"/>
          <w:numId w:val="0"/>
        </w:numPr>
        <w:snapToGrid w:val="0"/>
        <w:spacing w:before="0" w:after="0" w:line="360" w:lineRule="auto"/>
        <w:jc w:val="center"/>
        <w:rPr>
          <w:rFonts w:ascii="宋体" w:hAnsi="宋体" w:cs="宋体"/>
          <w:sz w:val="24"/>
          <w:szCs w:val="24"/>
          <w:highlight w:val="none"/>
        </w:rPr>
      </w:pPr>
      <w:bookmarkStart w:id="59" w:name="_Toc363573858"/>
      <w:bookmarkStart w:id="60" w:name="_Toc94585343"/>
    </w:p>
    <w:p w14:paraId="4800D2A8">
      <w:pPr>
        <w:pStyle w:val="22"/>
        <w:tabs>
          <w:tab w:val="left" w:pos="1050"/>
          <w:tab w:val="right" w:leader="dot" w:pos="9402"/>
        </w:tabs>
        <w:spacing w:line="520" w:lineRule="exact"/>
        <w:ind w:left="0"/>
        <w:jc w:val="center"/>
        <w:outlineLvl w:val="0"/>
        <w:rPr>
          <w:rFonts w:ascii="宋体" w:hAnsi="宋体" w:cs="宋体"/>
          <w:b/>
          <w:i w:val="0"/>
          <w:iCs/>
          <w:w w:val="80"/>
          <w:sz w:val="44"/>
          <w:szCs w:val="44"/>
          <w:highlight w:val="none"/>
        </w:rPr>
      </w:pPr>
      <w:r>
        <w:rPr>
          <w:rFonts w:ascii="宋体" w:hAnsi="宋体" w:cs="宋体"/>
          <w:b/>
          <w:i w:val="0"/>
          <w:iCs/>
          <w:w w:val="80"/>
          <w:sz w:val="44"/>
          <w:szCs w:val="44"/>
          <w:highlight w:val="none"/>
        </w:rPr>
        <w:br w:type="page"/>
      </w:r>
      <w:r>
        <w:rPr>
          <w:rFonts w:hint="eastAsia" w:ascii="宋体" w:hAnsi="宋体" w:cs="宋体"/>
          <w:b/>
          <w:i w:val="0"/>
          <w:iCs/>
          <w:w w:val="80"/>
          <w:sz w:val="44"/>
          <w:szCs w:val="44"/>
          <w:highlight w:val="none"/>
        </w:rPr>
        <w:t>第五章   合同授予</w:t>
      </w:r>
    </w:p>
    <w:p w14:paraId="311E2F46">
      <w:pPr>
        <w:spacing w:line="520" w:lineRule="exact"/>
        <w:ind w:firstLine="484" w:firstLineChars="202"/>
        <w:rPr>
          <w:rFonts w:ascii="宋体" w:hAnsi="宋体" w:cs="宋体"/>
          <w:kern w:val="0"/>
          <w:sz w:val="28"/>
          <w:szCs w:val="28"/>
          <w:highlight w:val="none"/>
        </w:rPr>
      </w:pPr>
      <w:r>
        <w:rPr>
          <w:rFonts w:hint="eastAsia" w:ascii="宋体" w:hAnsi="宋体" w:cs="宋体"/>
          <w:sz w:val="24"/>
          <w:szCs w:val="24"/>
          <w:highlight w:val="none"/>
        </w:rPr>
        <w:t>一、</w:t>
      </w:r>
      <w:r>
        <w:rPr>
          <w:rFonts w:hint="eastAsia" w:ascii="宋体" w:hAnsi="宋体" w:cs="宋体"/>
          <w:kern w:val="0"/>
          <w:sz w:val="24"/>
          <w:szCs w:val="24"/>
          <w:highlight w:val="none"/>
        </w:rPr>
        <w:t>成交供应商在《成交通知书》发出</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 xml:space="preserve">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背离磋商文件实质性内容的协议。 </w:t>
      </w:r>
    </w:p>
    <w:p w14:paraId="1A7998EA">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14:paraId="752EF835">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2E80D">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四、成交供应商出现违约情形，应当及时纠正或补偿；造成损失的，按合同约定追究违约责任；发现有假冒、伪劣、走私产品、商业贿赂等违法情形的，应由采购单位移交工商、质监、公安等行政执法部门依法查处。</w:t>
      </w:r>
    </w:p>
    <w:p w14:paraId="54A8D4DC">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五、按采购合同约定支付的货款，实行财政直接支付。</w:t>
      </w:r>
    </w:p>
    <w:p w14:paraId="71F0DDE3">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六、不响应付款方式的，视同响应文件无效，按无效响应文件处理。</w:t>
      </w:r>
    </w:p>
    <w:p w14:paraId="2E5CE077">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七、付款方式详见磋商文件第二章磋商供应商须知。</w:t>
      </w:r>
    </w:p>
    <w:p w14:paraId="154EDEE8">
      <w:pPr>
        <w:snapToGrid w:val="0"/>
        <w:spacing w:line="480" w:lineRule="exact"/>
        <w:ind w:firstLine="573"/>
        <w:rPr>
          <w:rFonts w:ascii="宋体" w:hAnsi="宋体" w:cs="宋体"/>
          <w:sz w:val="24"/>
          <w:szCs w:val="24"/>
          <w:highlight w:val="none"/>
        </w:rPr>
      </w:pPr>
      <w:r>
        <w:rPr>
          <w:rFonts w:hint="eastAsia" w:ascii="宋体" w:hAnsi="宋体" w:cs="宋体"/>
          <w:sz w:val="24"/>
          <w:szCs w:val="24"/>
          <w:highlight w:val="none"/>
        </w:rPr>
        <w:t>八、以上项目款的支付不计息。</w:t>
      </w:r>
    </w:p>
    <w:p w14:paraId="0A48143D">
      <w:pPr>
        <w:jc w:val="center"/>
        <w:outlineLvl w:val="0"/>
        <w:rPr>
          <w:rFonts w:ascii="宋体" w:hAnsi="宋体" w:cs="宋体"/>
          <w:sz w:val="24"/>
          <w:szCs w:val="24"/>
          <w:highlight w:val="none"/>
        </w:rPr>
      </w:pPr>
    </w:p>
    <w:p w14:paraId="21902E50">
      <w:pPr>
        <w:jc w:val="center"/>
        <w:outlineLvl w:val="0"/>
        <w:rPr>
          <w:rFonts w:ascii="宋体" w:hAnsi="宋体" w:cs="宋体"/>
          <w:sz w:val="24"/>
          <w:szCs w:val="24"/>
          <w:highlight w:val="none"/>
        </w:rPr>
      </w:pPr>
    </w:p>
    <w:p w14:paraId="09FACFB9">
      <w:pPr>
        <w:jc w:val="center"/>
        <w:outlineLvl w:val="0"/>
        <w:rPr>
          <w:rFonts w:ascii="宋体" w:hAnsi="宋体" w:cs="宋体"/>
          <w:sz w:val="24"/>
          <w:szCs w:val="24"/>
          <w:highlight w:val="none"/>
        </w:rPr>
      </w:pPr>
    </w:p>
    <w:p w14:paraId="5B7EB6E6">
      <w:pPr>
        <w:jc w:val="center"/>
        <w:outlineLvl w:val="0"/>
        <w:rPr>
          <w:rFonts w:ascii="宋体" w:hAnsi="宋体" w:cs="宋体"/>
          <w:sz w:val="24"/>
          <w:szCs w:val="24"/>
          <w:highlight w:val="none"/>
        </w:rPr>
      </w:pPr>
    </w:p>
    <w:p w14:paraId="36F6D0FE">
      <w:pPr>
        <w:jc w:val="center"/>
        <w:outlineLvl w:val="0"/>
        <w:rPr>
          <w:rFonts w:ascii="宋体" w:hAnsi="宋体" w:cs="宋体"/>
          <w:sz w:val="24"/>
          <w:szCs w:val="24"/>
          <w:highlight w:val="none"/>
        </w:rPr>
      </w:pPr>
    </w:p>
    <w:p w14:paraId="50510C21">
      <w:pPr>
        <w:jc w:val="center"/>
        <w:outlineLvl w:val="0"/>
        <w:rPr>
          <w:rFonts w:ascii="宋体" w:hAnsi="宋体" w:cs="宋体"/>
          <w:sz w:val="24"/>
          <w:szCs w:val="24"/>
          <w:highlight w:val="none"/>
        </w:rPr>
      </w:pPr>
    </w:p>
    <w:p w14:paraId="75312039">
      <w:pPr>
        <w:jc w:val="center"/>
        <w:outlineLvl w:val="0"/>
        <w:rPr>
          <w:rFonts w:ascii="宋体" w:hAnsi="宋体" w:cs="宋体"/>
          <w:sz w:val="24"/>
          <w:szCs w:val="24"/>
          <w:highlight w:val="none"/>
        </w:rPr>
      </w:pPr>
    </w:p>
    <w:p w14:paraId="4E7319A3">
      <w:pPr>
        <w:jc w:val="center"/>
        <w:outlineLvl w:val="0"/>
        <w:rPr>
          <w:rFonts w:ascii="宋体" w:hAnsi="宋体" w:cs="宋体"/>
          <w:sz w:val="24"/>
          <w:szCs w:val="24"/>
          <w:highlight w:val="none"/>
        </w:rPr>
      </w:pPr>
    </w:p>
    <w:p w14:paraId="2776C2C3">
      <w:pPr>
        <w:jc w:val="center"/>
        <w:outlineLvl w:val="0"/>
        <w:rPr>
          <w:rFonts w:ascii="宋体" w:hAnsi="宋体" w:cs="宋体"/>
          <w:sz w:val="24"/>
          <w:szCs w:val="24"/>
          <w:highlight w:val="none"/>
        </w:rPr>
      </w:pPr>
    </w:p>
    <w:p w14:paraId="67C92688">
      <w:pPr>
        <w:jc w:val="center"/>
        <w:outlineLvl w:val="0"/>
        <w:rPr>
          <w:rFonts w:ascii="宋体" w:hAnsi="宋体" w:cs="宋体"/>
          <w:sz w:val="24"/>
          <w:szCs w:val="24"/>
          <w:highlight w:val="none"/>
        </w:rPr>
      </w:pPr>
    </w:p>
    <w:p w14:paraId="35FFCC3F">
      <w:pPr>
        <w:jc w:val="center"/>
        <w:outlineLvl w:val="0"/>
        <w:rPr>
          <w:rFonts w:ascii="宋体" w:hAnsi="宋体" w:cs="宋体"/>
          <w:sz w:val="24"/>
          <w:szCs w:val="24"/>
          <w:highlight w:val="none"/>
        </w:rPr>
      </w:pPr>
    </w:p>
    <w:p w14:paraId="0D441E5B">
      <w:pPr>
        <w:jc w:val="center"/>
        <w:outlineLvl w:val="0"/>
        <w:rPr>
          <w:rFonts w:ascii="宋体" w:hAnsi="宋体" w:cs="宋体"/>
          <w:sz w:val="24"/>
          <w:szCs w:val="24"/>
          <w:highlight w:val="none"/>
        </w:rPr>
      </w:pPr>
    </w:p>
    <w:p w14:paraId="65249C50">
      <w:pPr>
        <w:jc w:val="center"/>
        <w:outlineLvl w:val="0"/>
        <w:rPr>
          <w:rFonts w:ascii="宋体" w:hAnsi="宋体" w:cs="宋体"/>
          <w:sz w:val="24"/>
          <w:szCs w:val="24"/>
          <w:highlight w:val="none"/>
        </w:rPr>
      </w:pPr>
    </w:p>
    <w:p w14:paraId="4C88877F">
      <w:pPr>
        <w:jc w:val="center"/>
        <w:outlineLvl w:val="0"/>
        <w:rPr>
          <w:rFonts w:ascii="宋体" w:hAnsi="宋体" w:cs="宋体"/>
          <w:sz w:val="24"/>
          <w:szCs w:val="24"/>
          <w:highlight w:val="none"/>
        </w:rPr>
      </w:pPr>
    </w:p>
    <w:bookmarkEnd w:id="59"/>
    <w:bookmarkEnd w:id="60"/>
    <w:p w14:paraId="456FD887">
      <w:pPr>
        <w:pStyle w:val="2"/>
        <w:keepNext w:val="0"/>
        <w:keepLines w:val="0"/>
        <w:numPr>
          <w:ilvl w:val="0"/>
          <w:numId w:val="0"/>
        </w:numPr>
        <w:snapToGrid w:val="0"/>
        <w:spacing w:before="0" w:afterLines="50" w:line="520" w:lineRule="exact"/>
        <w:ind w:left="420"/>
        <w:jc w:val="center"/>
        <w:rPr>
          <w:rFonts w:ascii="宋体" w:hAnsi="宋体" w:cs="宋体"/>
          <w:szCs w:val="44"/>
          <w:highlight w:val="none"/>
        </w:rPr>
      </w:pPr>
      <w:bookmarkStart w:id="61" w:name="_Toc363573860"/>
      <w:r>
        <w:rPr>
          <w:rFonts w:hint="eastAsia" w:ascii="宋体" w:hAnsi="宋体" w:cs="宋体"/>
          <w:w w:val="80"/>
          <w:szCs w:val="44"/>
          <w:highlight w:val="none"/>
        </w:rPr>
        <w:t>第六章响应文件组成及格式</w:t>
      </w:r>
      <w:bookmarkEnd w:id="61"/>
    </w:p>
    <w:p w14:paraId="2EB9A52A">
      <w:pPr>
        <w:adjustRightInd w:val="0"/>
        <w:snapToGrid w:val="0"/>
        <w:spacing w:line="48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2347013D">
      <w:pPr>
        <w:adjustRightInd w:val="0"/>
        <w:snapToGrid w:val="0"/>
        <w:spacing w:line="48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一、资格审查文件（单独密封）：</w:t>
      </w:r>
    </w:p>
    <w:p w14:paraId="6272F65A">
      <w:pPr>
        <w:spacing w:line="480" w:lineRule="exact"/>
        <w:ind w:firstLine="480" w:firstLineChars="200"/>
        <w:rPr>
          <w:rFonts w:ascii="宋体" w:hAnsi="宋体" w:cs="宋体"/>
          <w:bCs/>
          <w:sz w:val="24"/>
          <w:szCs w:val="24"/>
          <w:highlight w:val="none"/>
        </w:rPr>
      </w:pPr>
      <w:r>
        <w:rPr>
          <w:rFonts w:hint="eastAsia" w:ascii="宋体" w:hAnsi="宋体" w:cs="宋体"/>
          <w:sz w:val="24"/>
          <w:szCs w:val="24"/>
          <w:highlight w:val="none"/>
        </w:rPr>
        <w:t>1</w:t>
      </w:r>
      <w:r>
        <w:rPr>
          <w:rFonts w:hint="eastAsia" w:ascii="宋体" w:hAnsi="宋体" w:cs="宋体"/>
          <w:bCs/>
          <w:sz w:val="24"/>
          <w:szCs w:val="24"/>
          <w:highlight w:val="none"/>
        </w:rPr>
        <w:t>、投标供应商的营业执照（副本）及税务登记证（副本）复印件；或者是三证合一的营业执照（副本）复印件。</w:t>
      </w:r>
    </w:p>
    <w:p w14:paraId="2AF0663E">
      <w:pPr>
        <w:snapToGrid w:val="0"/>
        <w:spacing w:line="480" w:lineRule="exact"/>
        <w:ind w:firstLine="560"/>
        <w:rPr>
          <w:rFonts w:ascii="宋体" w:hAnsi="宋体" w:cs="宋体"/>
          <w:bCs/>
          <w:sz w:val="24"/>
          <w:szCs w:val="24"/>
          <w:highlight w:val="none"/>
        </w:rPr>
      </w:pPr>
      <w:r>
        <w:rPr>
          <w:rFonts w:hint="eastAsia" w:ascii="宋体" w:hAnsi="宋体" w:cs="宋体"/>
          <w:sz w:val="24"/>
          <w:szCs w:val="24"/>
          <w:highlight w:val="none"/>
        </w:rPr>
        <w:t>2、</w:t>
      </w:r>
      <w:r>
        <w:rPr>
          <w:rFonts w:hint="eastAsia" w:ascii="宋体" w:hAnsi="宋体" w:cs="宋体"/>
          <w:bCs/>
          <w:sz w:val="24"/>
          <w:szCs w:val="24"/>
          <w:highlight w:val="none"/>
        </w:rPr>
        <w:t>法定代表人参加投标的，必须提供法定代表人身份证明及法定代表人本人身份证复印件；非法定代表人参加投标的，必须提供法定代表人签字或盖章的授权委托书及被授权人本人身份证复印件。（格式参见第</w:t>
      </w:r>
      <w:r>
        <w:rPr>
          <w:rFonts w:hint="eastAsia" w:ascii="宋体" w:hAnsi="宋体" w:cs="宋体"/>
          <w:sz w:val="24"/>
          <w:szCs w:val="24"/>
          <w:highlight w:val="none"/>
        </w:rPr>
        <w:t>六</w:t>
      </w:r>
      <w:r>
        <w:rPr>
          <w:rFonts w:hint="eastAsia" w:ascii="宋体" w:hAnsi="宋体" w:cs="宋体"/>
          <w:bCs/>
          <w:sz w:val="24"/>
          <w:szCs w:val="24"/>
          <w:highlight w:val="none"/>
        </w:rPr>
        <w:t>章）</w:t>
      </w:r>
    </w:p>
    <w:p w14:paraId="79F911DA">
      <w:pPr>
        <w:snapToGrid w:val="0"/>
        <w:spacing w:line="480" w:lineRule="exact"/>
        <w:ind w:firstLine="560"/>
        <w:rPr>
          <w:rFonts w:hint="eastAsia" w:ascii="宋体" w:hAnsi="宋体"/>
          <w:sz w:val="24"/>
          <w:szCs w:val="24"/>
          <w:highlight w:val="none"/>
        </w:rPr>
      </w:pPr>
      <w:r>
        <w:rPr>
          <w:rFonts w:hint="eastAsia" w:ascii="宋体" w:hAnsi="宋体" w:cs="宋体"/>
          <w:bCs/>
          <w:sz w:val="24"/>
          <w:szCs w:val="24"/>
          <w:highlight w:val="none"/>
        </w:rPr>
        <w:t>3、</w:t>
      </w:r>
      <w:r>
        <w:rPr>
          <w:rFonts w:hint="eastAsia" w:ascii="宋体" w:hAnsi="宋体"/>
          <w:sz w:val="24"/>
          <w:szCs w:val="24"/>
          <w:highlight w:val="none"/>
        </w:rPr>
        <w:t>供应商在社会消防技术服务信息系统</w:t>
      </w:r>
    </w:p>
    <w:p w14:paraId="09223786">
      <w:pPr>
        <w:snapToGrid w:val="0"/>
        <w:spacing w:line="480" w:lineRule="exact"/>
        <w:ind w:firstLine="56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https://shhxf.119.gov.cn/templet/index_7.jsp</w:t>
      </w:r>
      <w:r>
        <w:rPr>
          <w:rFonts w:hint="eastAsia" w:ascii="宋体" w:hAnsi="宋体"/>
          <w:sz w:val="24"/>
          <w:szCs w:val="24"/>
          <w:highlight w:val="none"/>
        </w:rPr>
        <w:t>）中本单位基本信息已满足要求（单位类型为消防设施维护保养检测或消防安全评估）的截图证明，并加盖</w:t>
      </w:r>
      <w:r>
        <w:rPr>
          <w:rFonts w:hint="eastAsia" w:ascii="宋体" w:hAnsi="宋体"/>
          <w:sz w:val="24"/>
          <w:szCs w:val="24"/>
          <w:highlight w:val="none"/>
          <w:lang w:val="en-US" w:eastAsia="zh-CN"/>
        </w:rPr>
        <w:t>投标</w:t>
      </w:r>
      <w:r>
        <w:rPr>
          <w:rFonts w:hint="eastAsia" w:ascii="宋体" w:hAnsi="宋体"/>
          <w:sz w:val="24"/>
          <w:szCs w:val="24"/>
          <w:highlight w:val="none"/>
        </w:rPr>
        <w:t>单位公章。</w:t>
      </w:r>
    </w:p>
    <w:p w14:paraId="5F058D9C">
      <w:pPr>
        <w:snapToGrid w:val="0"/>
        <w:spacing w:line="480" w:lineRule="exact"/>
        <w:ind w:firstLine="560"/>
        <w:rPr>
          <w:rFonts w:ascii="宋体" w:hAnsi="宋体" w:cs="宋体"/>
          <w:bCs/>
          <w:sz w:val="24"/>
          <w:szCs w:val="24"/>
          <w:highlight w:val="none"/>
        </w:rPr>
      </w:pPr>
      <w:r>
        <w:rPr>
          <w:rFonts w:hint="eastAsia" w:ascii="宋体" w:hAnsi="宋体"/>
          <w:sz w:val="24"/>
          <w:szCs w:val="24"/>
          <w:highlight w:val="none"/>
        </w:rPr>
        <w:t>4、</w:t>
      </w:r>
      <w:r>
        <w:rPr>
          <w:rFonts w:hint="eastAsia" w:ascii="宋体" w:hAnsi="宋体" w:cs="宋体"/>
          <w:sz w:val="24"/>
          <w:szCs w:val="24"/>
          <w:highlight w:val="none"/>
        </w:rPr>
        <w:t>拟派项目</w:t>
      </w:r>
      <w:r>
        <w:rPr>
          <w:rFonts w:hint="eastAsia" w:ascii="宋体" w:hAnsi="宋体"/>
          <w:bCs/>
          <w:sz w:val="24"/>
          <w:szCs w:val="24"/>
          <w:highlight w:val="none"/>
        </w:rPr>
        <w:t>负责人注册证书、与供应商的</w:t>
      </w:r>
      <w:r>
        <w:rPr>
          <w:rFonts w:hint="eastAsia" w:ascii="宋体" w:hAnsi="宋体"/>
          <w:bCs/>
          <w:sz w:val="24"/>
          <w:szCs w:val="24"/>
          <w:highlight w:val="none"/>
          <w:lang w:val="en-US" w:eastAsia="zh-CN"/>
        </w:rPr>
        <w:t>签订的有效</w:t>
      </w:r>
      <w:r>
        <w:rPr>
          <w:rFonts w:hint="eastAsia" w:ascii="宋体" w:hAnsi="宋体"/>
          <w:bCs/>
          <w:sz w:val="24"/>
          <w:szCs w:val="24"/>
          <w:highlight w:val="none"/>
        </w:rPr>
        <w:t>劳动合同复印件。</w:t>
      </w:r>
    </w:p>
    <w:p w14:paraId="557D12AC">
      <w:pPr>
        <w:snapToGrid w:val="0"/>
        <w:spacing w:line="480" w:lineRule="exact"/>
        <w:ind w:firstLine="56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5、202</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年度财务报表</w:t>
      </w:r>
      <w:r>
        <w:rPr>
          <w:rFonts w:hint="eastAsia" w:ascii="宋体" w:hAnsi="宋体" w:cs="宋体"/>
          <w:bCs/>
          <w:sz w:val="24"/>
          <w:szCs w:val="24"/>
          <w:highlight w:val="none"/>
          <w:lang w:val="en-US" w:eastAsia="zh-CN"/>
        </w:rPr>
        <w:t>或财务审计报告</w:t>
      </w:r>
      <w:r>
        <w:rPr>
          <w:rFonts w:hint="eastAsia" w:ascii="宋体" w:hAnsi="宋体" w:cs="宋体"/>
          <w:bCs/>
          <w:sz w:val="24"/>
          <w:szCs w:val="24"/>
          <w:highlight w:val="none"/>
        </w:rPr>
        <w:t>（复印件，成立不满一年不需提供）。</w:t>
      </w:r>
      <w:r>
        <w:rPr>
          <w:rFonts w:hint="eastAsia" w:ascii="宋体" w:hAnsi="宋体" w:cs="宋体"/>
          <w:bCs/>
          <w:sz w:val="24"/>
          <w:szCs w:val="24"/>
          <w:highlight w:val="none"/>
          <w:lang w:val="en-US" w:eastAsia="zh-CN"/>
        </w:rPr>
        <w:t xml:space="preserve"> </w:t>
      </w:r>
    </w:p>
    <w:p w14:paraId="3B844695">
      <w:pPr>
        <w:snapToGrid w:val="0"/>
        <w:spacing w:line="480" w:lineRule="exact"/>
        <w:ind w:firstLine="560"/>
        <w:rPr>
          <w:rFonts w:ascii="宋体" w:hAnsi="宋体" w:cs="宋体"/>
          <w:bCs/>
          <w:color w:val="000000"/>
          <w:sz w:val="24"/>
          <w:szCs w:val="24"/>
          <w:highlight w:val="none"/>
        </w:rPr>
      </w:pPr>
      <w:r>
        <w:rPr>
          <w:rFonts w:hint="eastAsia" w:ascii="宋体" w:hAnsi="宋体" w:cs="宋体"/>
          <w:bCs/>
          <w:sz w:val="24"/>
          <w:szCs w:val="24"/>
          <w:highlight w:val="none"/>
        </w:rPr>
        <w:t>6、</w:t>
      </w:r>
      <w:r>
        <w:rPr>
          <w:rFonts w:hint="eastAsia" w:ascii="宋体" w:hAnsi="宋体"/>
          <w:sz w:val="24"/>
          <w:szCs w:val="24"/>
          <w:highlight w:val="none"/>
        </w:rPr>
        <w:t>提供投标供应商近三个月中任意一个月份</w:t>
      </w:r>
      <w:r>
        <w:rPr>
          <w:rFonts w:ascii="宋体" w:hAnsi="宋体"/>
          <w:sz w:val="24"/>
          <w:szCs w:val="24"/>
          <w:highlight w:val="none"/>
        </w:rPr>
        <w:t>(</w:t>
      </w:r>
      <w:r>
        <w:rPr>
          <w:rFonts w:hint="eastAsia" w:ascii="宋体" w:hAnsi="宋体"/>
          <w:sz w:val="24"/>
          <w:szCs w:val="24"/>
          <w:highlight w:val="none"/>
        </w:rPr>
        <w:t>不含投标当月</w:t>
      </w:r>
      <w:r>
        <w:rPr>
          <w:rFonts w:ascii="宋体" w:hAnsi="宋体"/>
          <w:sz w:val="24"/>
          <w:szCs w:val="24"/>
          <w:highlight w:val="none"/>
        </w:rPr>
        <w:t>)</w:t>
      </w:r>
      <w:r>
        <w:rPr>
          <w:rFonts w:hint="eastAsia" w:ascii="宋体" w:hAnsi="宋体"/>
          <w:sz w:val="24"/>
          <w:szCs w:val="24"/>
          <w:highlight w:val="none"/>
        </w:rPr>
        <w:t>的依法缴纳税收、缴纳社会保障资金的相关材料（提供相关主管部门证明或银行代扣证明）复印件</w:t>
      </w:r>
      <w:r>
        <w:rPr>
          <w:rFonts w:hint="eastAsia" w:ascii="宋体" w:hAnsi="宋体" w:cs="宋体"/>
          <w:bCs/>
          <w:sz w:val="24"/>
          <w:szCs w:val="24"/>
          <w:highlight w:val="none"/>
        </w:rPr>
        <w:t>（原件备查）</w:t>
      </w:r>
      <w:r>
        <w:rPr>
          <w:rFonts w:hint="eastAsia" w:ascii="宋体" w:hAnsi="宋体"/>
          <w:sz w:val="24"/>
          <w:szCs w:val="24"/>
          <w:highlight w:val="none"/>
        </w:rPr>
        <w:t>。</w:t>
      </w:r>
      <w:r>
        <w:rPr>
          <w:rFonts w:hint="eastAsia" w:ascii="宋体" w:hAnsi="宋体" w:cs="宋体"/>
          <w:bCs/>
          <w:color w:val="000000"/>
          <w:sz w:val="24"/>
          <w:szCs w:val="24"/>
          <w:highlight w:val="none"/>
        </w:rPr>
        <w:t>依法免税或不需要缴纳社会保障资金的供应商，应提供相应证明文件。</w:t>
      </w:r>
    </w:p>
    <w:p w14:paraId="26102D1E">
      <w:pPr>
        <w:snapToGrid w:val="0"/>
        <w:spacing w:line="480" w:lineRule="exact"/>
        <w:ind w:firstLine="560"/>
        <w:rPr>
          <w:rFonts w:ascii="宋体" w:cs="宋体"/>
          <w:sz w:val="24"/>
          <w:szCs w:val="24"/>
          <w:highlight w:val="none"/>
        </w:rPr>
      </w:pPr>
      <w:r>
        <w:rPr>
          <w:rFonts w:hint="eastAsia" w:ascii="宋体" w:hAnsi="宋体" w:cs="宋体"/>
          <w:bCs/>
          <w:color w:val="000000"/>
          <w:sz w:val="24"/>
          <w:szCs w:val="24"/>
          <w:highlight w:val="none"/>
        </w:rPr>
        <w:t>7、供应商具有履行合同所必需的设备和专业技术能力。（提供承诺书，格式参加第六章）</w:t>
      </w:r>
    </w:p>
    <w:p w14:paraId="7AEC1661">
      <w:pPr>
        <w:snapToGrid w:val="0"/>
        <w:spacing w:line="480" w:lineRule="exact"/>
        <w:ind w:firstLine="560"/>
        <w:rPr>
          <w:rFonts w:ascii="宋体" w:hAnsi="宋体" w:cs="宋体"/>
          <w:sz w:val="24"/>
          <w:szCs w:val="24"/>
          <w:highlight w:val="none"/>
        </w:rPr>
      </w:pPr>
      <w:r>
        <w:rPr>
          <w:rFonts w:hint="eastAsia" w:ascii="宋体" w:hAnsi="宋体" w:cs="宋体"/>
          <w:sz w:val="24"/>
          <w:szCs w:val="24"/>
          <w:highlight w:val="none"/>
        </w:rPr>
        <w:t>8、参加本次采购活动前 3 年内在经营活动中没有重大违法记录的书面声明（原件）。</w:t>
      </w:r>
    </w:p>
    <w:p w14:paraId="7DD2920A">
      <w:pPr>
        <w:snapToGrid w:val="0"/>
        <w:spacing w:line="480" w:lineRule="exact"/>
        <w:ind w:firstLine="560"/>
        <w:rPr>
          <w:rFonts w:ascii="宋体" w:hAnsi="宋体" w:cs="宋体"/>
          <w:sz w:val="24"/>
          <w:szCs w:val="24"/>
          <w:highlight w:val="none"/>
        </w:rPr>
      </w:pPr>
      <w:r>
        <w:rPr>
          <w:rFonts w:hint="eastAsia" w:ascii="宋体" w:hAnsi="宋体" w:cs="宋体"/>
          <w:sz w:val="24"/>
          <w:szCs w:val="24"/>
          <w:highlight w:val="none"/>
        </w:rPr>
        <w:t>9、资格声明函（原件）。</w:t>
      </w:r>
    </w:p>
    <w:p w14:paraId="3063A4D6">
      <w:pPr>
        <w:adjustRightInd w:val="0"/>
        <w:snapToGrid w:val="0"/>
        <w:spacing w:line="48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注：以上材料如为复印件均需加盖单位公章。</w:t>
      </w:r>
    </w:p>
    <w:p w14:paraId="56F360E9">
      <w:pPr>
        <w:numPr>
          <w:ilvl w:val="0"/>
          <w:numId w:val="3"/>
        </w:numPr>
        <w:adjustRightInd w:val="0"/>
        <w:snapToGrid w:val="0"/>
        <w:spacing w:line="480" w:lineRule="exact"/>
        <w:ind w:firstLine="482" w:firstLineChars="200"/>
        <w:jc w:val="left"/>
        <w:rPr>
          <w:rFonts w:ascii="宋体" w:hAnsi="宋体" w:cs="宋体"/>
          <w:bCs/>
          <w:sz w:val="24"/>
          <w:szCs w:val="24"/>
          <w:highlight w:val="none"/>
        </w:rPr>
      </w:pPr>
      <w:r>
        <w:rPr>
          <w:rFonts w:hint="eastAsia" w:ascii="宋体" w:hAnsi="宋体" w:cs="宋体"/>
          <w:b/>
          <w:bCs/>
          <w:sz w:val="24"/>
          <w:szCs w:val="24"/>
          <w:highlight w:val="none"/>
        </w:rPr>
        <w:t>技术响应文件（单独密封）：</w:t>
      </w:r>
    </w:p>
    <w:p w14:paraId="6A169889">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1、竞争性磋商响应函；（格式参见第六章）</w:t>
      </w:r>
    </w:p>
    <w:p w14:paraId="26590D85">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2、供应商一般情况表；（格式参见第六章）</w:t>
      </w:r>
    </w:p>
    <w:p w14:paraId="151AA832">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3、评标办法中所涉及的事项需提供的所有资料；</w:t>
      </w:r>
    </w:p>
    <w:p w14:paraId="162BD496">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4、评分办法中未涉及的事项，投标供应商认为需要提交的其他资料。</w:t>
      </w:r>
    </w:p>
    <w:p w14:paraId="04CA0AFF">
      <w:pPr>
        <w:snapToGrid w:val="0"/>
        <w:spacing w:line="480" w:lineRule="exact"/>
        <w:ind w:firstLine="480" w:firstLineChars="200"/>
        <w:rPr>
          <w:rFonts w:ascii="宋体" w:hAnsi="宋体" w:cs="宋体"/>
          <w:bCs/>
          <w:sz w:val="24"/>
          <w:szCs w:val="24"/>
          <w:highlight w:val="none"/>
        </w:rPr>
      </w:pPr>
      <w:r>
        <w:rPr>
          <w:rFonts w:hint="eastAsia" w:ascii="宋体" w:hAnsi="宋体" w:cs="宋体"/>
          <w:sz w:val="24"/>
          <w:szCs w:val="24"/>
          <w:highlight w:val="none"/>
        </w:rPr>
        <w:t>注：为方便评委评审，请投标供应商按评标办法中所涉及的事项顺序进行编制，可以补充相关材料；</w:t>
      </w:r>
    </w:p>
    <w:p w14:paraId="764734DD">
      <w:pPr>
        <w:snapToGrid w:val="0"/>
        <w:spacing w:line="520" w:lineRule="exact"/>
        <w:ind w:firstLine="482" w:firstLineChars="200"/>
        <w:rPr>
          <w:rFonts w:ascii="宋体" w:hAnsi="宋体" w:cs="宋体"/>
          <w:b/>
          <w:sz w:val="24"/>
          <w:szCs w:val="24"/>
          <w:highlight w:val="none"/>
        </w:rPr>
      </w:pPr>
      <w:r>
        <w:rPr>
          <w:rFonts w:hint="eastAsia" w:ascii="宋体" w:hAnsi="宋体" w:cs="宋体"/>
          <w:b/>
          <w:bCs/>
          <w:sz w:val="24"/>
          <w:szCs w:val="24"/>
          <w:highlight w:val="none"/>
        </w:rPr>
        <w:t>特别提醒：“资格审查文件”、“技术响应文件”所须提供的材料（须加盖投标供应商公章）按磋商文件要求装订，密封，递交。</w:t>
      </w:r>
    </w:p>
    <w:p w14:paraId="062D9E86">
      <w:pPr>
        <w:adjustRightInd w:val="0"/>
        <w:snapToGrid w:val="0"/>
        <w:spacing w:line="480" w:lineRule="exact"/>
        <w:ind w:firstLine="482" w:firstLineChars="200"/>
        <w:jc w:val="left"/>
        <w:rPr>
          <w:rFonts w:ascii="宋体" w:hAnsi="宋体" w:cs="宋体"/>
          <w:b/>
          <w:sz w:val="24"/>
          <w:szCs w:val="24"/>
          <w:highlight w:val="none"/>
          <w:lang w:val="zh-CN"/>
        </w:rPr>
      </w:pPr>
      <w:r>
        <w:rPr>
          <w:rFonts w:hint="eastAsia" w:ascii="宋体" w:hAnsi="宋体" w:cs="宋体"/>
          <w:b/>
          <w:sz w:val="24"/>
          <w:szCs w:val="24"/>
          <w:highlight w:val="none"/>
          <w:lang w:val="zh-CN"/>
        </w:rPr>
        <w:t>三、</w:t>
      </w:r>
      <w:r>
        <w:rPr>
          <w:rFonts w:hint="eastAsia" w:ascii="宋体" w:hAnsi="宋体" w:cs="宋体"/>
          <w:b/>
          <w:bCs/>
          <w:sz w:val="24"/>
          <w:szCs w:val="24"/>
          <w:highlight w:val="none"/>
        </w:rPr>
        <w:t>商务报价响应文件</w:t>
      </w:r>
      <w:r>
        <w:rPr>
          <w:rFonts w:hint="eastAsia" w:ascii="宋体" w:hAnsi="宋体" w:cs="宋体"/>
          <w:b/>
          <w:sz w:val="24"/>
          <w:szCs w:val="24"/>
          <w:highlight w:val="none"/>
          <w:lang w:val="zh-CN"/>
        </w:rPr>
        <w:t>（单独装订密封）</w:t>
      </w:r>
    </w:p>
    <w:p w14:paraId="4947034B">
      <w:pPr>
        <w:adjustRightInd w:val="0"/>
        <w:snapToGrid w:val="0"/>
        <w:spacing w:line="480" w:lineRule="exact"/>
        <w:ind w:firstLine="480" w:firstLineChars="200"/>
        <w:jc w:val="left"/>
        <w:rPr>
          <w:rFonts w:ascii="宋体" w:hAnsi="宋体" w:cs="宋体"/>
          <w:bCs/>
          <w:sz w:val="24"/>
          <w:szCs w:val="24"/>
          <w:highlight w:val="none"/>
          <w:lang w:val="zh-CN"/>
        </w:rPr>
      </w:pPr>
      <w:r>
        <w:rPr>
          <w:rFonts w:hint="eastAsia" w:ascii="宋体" w:hAnsi="宋体" w:cs="宋体"/>
          <w:bCs/>
          <w:sz w:val="24"/>
          <w:szCs w:val="24"/>
          <w:highlight w:val="none"/>
          <w:lang w:val="zh-CN"/>
        </w:rPr>
        <w:t>1、</w:t>
      </w:r>
      <w:r>
        <w:rPr>
          <w:rFonts w:hint="eastAsia" w:ascii="宋体" w:hAnsi="宋体" w:cs="宋体"/>
          <w:sz w:val="24"/>
          <w:szCs w:val="24"/>
          <w:highlight w:val="none"/>
        </w:rPr>
        <w:t>磋商响应报价总表；（格式参见第六章）</w:t>
      </w:r>
    </w:p>
    <w:p w14:paraId="1A7EF92F">
      <w:pPr>
        <w:adjustRightInd w:val="0"/>
        <w:snapToGrid w:val="0"/>
        <w:spacing w:line="480" w:lineRule="exact"/>
        <w:ind w:firstLine="480" w:firstLineChars="200"/>
        <w:jc w:val="left"/>
        <w:rPr>
          <w:rFonts w:ascii="宋体" w:hAnsi="宋体" w:cs="宋体"/>
          <w:bCs/>
          <w:sz w:val="24"/>
          <w:szCs w:val="24"/>
          <w:highlight w:val="none"/>
          <w:lang w:val="zh-CN"/>
        </w:rPr>
      </w:pPr>
      <w:r>
        <w:rPr>
          <w:rFonts w:hint="eastAsia" w:ascii="宋体" w:hAnsi="宋体" w:cs="宋体"/>
          <w:bCs/>
          <w:sz w:val="24"/>
          <w:szCs w:val="24"/>
          <w:highlight w:val="none"/>
          <w:lang w:val="zh-CN"/>
        </w:rPr>
        <w:t>2、</w:t>
      </w:r>
      <w:r>
        <w:rPr>
          <w:rFonts w:hint="eastAsia" w:ascii="宋体" w:hAnsi="宋体" w:cs="宋体"/>
          <w:sz w:val="24"/>
          <w:szCs w:val="24"/>
          <w:highlight w:val="none"/>
        </w:rPr>
        <w:t>磋商响应报价明细表（格式自拟）</w:t>
      </w:r>
      <w:r>
        <w:rPr>
          <w:rFonts w:hint="eastAsia" w:ascii="宋体" w:hAnsi="宋体" w:cs="宋体"/>
          <w:bCs/>
          <w:sz w:val="24"/>
          <w:szCs w:val="24"/>
          <w:highlight w:val="none"/>
          <w:lang w:val="zh-CN"/>
        </w:rPr>
        <w:t>。</w:t>
      </w:r>
    </w:p>
    <w:p w14:paraId="62E954C8">
      <w:pPr>
        <w:adjustRightInd w:val="0"/>
        <w:snapToGrid w:val="0"/>
        <w:spacing w:line="480" w:lineRule="exact"/>
        <w:ind w:firstLine="480" w:firstLineChars="200"/>
        <w:jc w:val="left"/>
        <w:rPr>
          <w:rFonts w:ascii="宋体" w:hAnsi="宋体" w:cs="宋体"/>
          <w:bCs/>
          <w:sz w:val="24"/>
          <w:szCs w:val="24"/>
          <w:highlight w:val="none"/>
        </w:rPr>
      </w:pPr>
    </w:p>
    <w:p w14:paraId="0B152883">
      <w:pPr>
        <w:snapToGrid w:val="0"/>
        <w:spacing w:line="520" w:lineRule="exact"/>
        <w:ind w:firstLine="562" w:firstLineChars="200"/>
        <w:rPr>
          <w:rFonts w:ascii="宋体" w:hAnsi="宋体" w:cs="宋体"/>
          <w:b/>
          <w:bCs/>
          <w:sz w:val="28"/>
          <w:szCs w:val="28"/>
        </w:rPr>
      </w:pPr>
      <w:r>
        <w:rPr>
          <w:rFonts w:hint="eastAsia" w:ascii="宋体" w:hAnsi="宋体" w:cs="宋体"/>
          <w:b/>
          <w:sz w:val="28"/>
          <w:szCs w:val="28"/>
          <w:highlight w:val="none"/>
        </w:rPr>
        <w:br w:type="page"/>
      </w:r>
      <w:r>
        <w:rPr>
          <w:rFonts w:hint="eastAsia" w:ascii="宋体" w:hAnsi="宋体" w:cs="宋体"/>
          <w:b/>
          <w:sz w:val="28"/>
          <w:szCs w:val="28"/>
        </w:rPr>
        <w:t>附件：</w:t>
      </w:r>
    </w:p>
    <w:p w14:paraId="319410D5">
      <w:pPr>
        <w:snapToGrid w:val="0"/>
        <w:spacing w:line="520" w:lineRule="exact"/>
        <w:jc w:val="center"/>
        <w:outlineLvl w:val="3"/>
        <w:rPr>
          <w:rFonts w:ascii="宋体" w:hAnsi="宋体" w:cs="宋体"/>
          <w:b/>
          <w:sz w:val="28"/>
          <w:szCs w:val="28"/>
        </w:rPr>
      </w:pPr>
      <w:r>
        <w:rPr>
          <w:rFonts w:hint="eastAsia" w:ascii="宋体" w:hAnsi="宋体" w:cs="宋体"/>
          <w:b/>
          <w:sz w:val="28"/>
          <w:szCs w:val="28"/>
        </w:rPr>
        <w:t>1、法定代表人身份证明</w:t>
      </w:r>
    </w:p>
    <w:p w14:paraId="54697038">
      <w:pPr>
        <w:snapToGrid w:val="0"/>
        <w:spacing w:line="520" w:lineRule="exact"/>
        <w:jc w:val="center"/>
        <w:rPr>
          <w:rFonts w:ascii="宋体" w:hAnsi="宋体" w:cs="宋体"/>
          <w:sz w:val="24"/>
          <w:szCs w:val="24"/>
        </w:rPr>
      </w:pPr>
      <w:r>
        <w:rPr>
          <w:rFonts w:hint="eastAsia" w:ascii="宋体" w:hAnsi="宋体" w:cs="宋体"/>
          <w:sz w:val="24"/>
          <w:szCs w:val="24"/>
        </w:rPr>
        <w:t>（如法定代表人参加磋商，须出示此证明）</w:t>
      </w:r>
    </w:p>
    <w:p w14:paraId="64AD70DB">
      <w:pPr>
        <w:snapToGrid w:val="0"/>
        <w:spacing w:line="520" w:lineRule="exact"/>
        <w:jc w:val="center"/>
        <w:rPr>
          <w:rFonts w:ascii="宋体" w:hAnsi="宋体" w:cs="宋体"/>
          <w:sz w:val="24"/>
          <w:szCs w:val="24"/>
        </w:rPr>
      </w:pPr>
    </w:p>
    <w:p w14:paraId="33066EBF">
      <w:pPr>
        <w:snapToGrid w:val="0"/>
        <w:spacing w:line="520" w:lineRule="exact"/>
        <w:jc w:val="left"/>
        <w:rPr>
          <w:rFonts w:ascii="宋体" w:hAnsi="宋体" w:cs="宋体"/>
          <w:sz w:val="24"/>
          <w:szCs w:val="24"/>
          <w:u w:val="single"/>
        </w:rPr>
      </w:pPr>
      <w:r>
        <w:rPr>
          <w:rFonts w:hint="eastAsia" w:ascii="宋体" w:hAnsi="宋体" w:cs="宋体"/>
          <w:sz w:val="24"/>
          <w:szCs w:val="24"/>
          <w:u w:val="single"/>
        </w:rPr>
        <w:t>南通市文化广电和旅游局:</w:t>
      </w:r>
    </w:p>
    <w:p w14:paraId="4CE0BC69">
      <w:pPr>
        <w:snapToGrid w:val="0"/>
        <w:spacing w:line="520" w:lineRule="exact"/>
        <w:ind w:firstLine="480" w:firstLineChars="200"/>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xml:space="preserve">     　　</w:t>
      </w:r>
      <w:r>
        <w:rPr>
          <w:rFonts w:hint="eastAsia" w:ascii="宋体" w:hAnsi="宋体" w:cs="宋体"/>
          <w:sz w:val="24"/>
          <w:szCs w:val="24"/>
        </w:rPr>
        <w:t>参加贵单位组织的</w:t>
      </w:r>
      <w:r>
        <w:rPr>
          <w:rFonts w:hint="eastAsia" w:ascii="宋体" w:hAnsi="宋体" w:cs="宋体"/>
          <w:sz w:val="24"/>
          <w:szCs w:val="24"/>
          <w:u w:val="single"/>
        </w:rPr>
        <w:t>（竞争性磋商项目名称)</w:t>
      </w:r>
      <w:r>
        <w:rPr>
          <w:rFonts w:hint="eastAsia" w:ascii="宋体" w:hAnsi="宋体" w:cs="宋体"/>
          <w:sz w:val="24"/>
          <w:szCs w:val="24"/>
        </w:rPr>
        <w:t>项目的磋商活动，全权代表我公司处理竞争性磋商的有关事宜。</w:t>
      </w:r>
    </w:p>
    <w:p w14:paraId="41B0EA2C">
      <w:pPr>
        <w:snapToGrid w:val="0"/>
        <w:spacing w:line="520" w:lineRule="exact"/>
        <w:rPr>
          <w:rFonts w:ascii="宋体" w:hAnsi="宋体" w:cs="宋体"/>
          <w:sz w:val="24"/>
          <w:szCs w:val="24"/>
        </w:rPr>
      </w:pPr>
    </w:p>
    <w:p w14:paraId="19661E3F">
      <w:pPr>
        <w:snapToGrid w:val="0"/>
        <w:spacing w:line="520" w:lineRule="exact"/>
        <w:rPr>
          <w:rFonts w:ascii="宋体" w:hAnsi="宋体" w:cs="宋体"/>
          <w:sz w:val="24"/>
          <w:szCs w:val="24"/>
        </w:rPr>
      </w:pPr>
      <w:r>
        <w:rPr>
          <w:rFonts w:hint="eastAsia" w:ascii="宋体" w:hAnsi="宋体" w:cs="宋体"/>
          <w:sz w:val="24"/>
          <w:szCs w:val="24"/>
        </w:rPr>
        <w:t>附：法定代表人情况：</w:t>
      </w:r>
    </w:p>
    <w:p w14:paraId="60196E02">
      <w:pPr>
        <w:snapToGrid w:val="0"/>
        <w:spacing w:line="520" w:lineRule="exac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46F7C841">
      <w:pPr>
        <w:snapToGrid w:val="0"/>
        <w:spacing w:line="520" w:lineRule="exact"/>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14B1A9B9">
      <w:pPr>
        <w:snapToGrid w:val="0"/>
        <w:spacing w:line="520" w:lineRule="exact"/>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14:paraId="1B32D5C1">
      <w:pPr>
        <w:snapToGrid w:val="0"/>
        <w:spacing w:line="520" w:lineRule="exact"/>
        <w:rPr>
          <w:rFonts w:ascii="宋体" w:hAnsi="宋体" w:cs="宋体"/>
          <w:sz w:val="24"/>
          <w:szCs w:val="24"/>
        </w:rPr>
      </w:pPr>
      <w:r>
        <w:rPr>
          <w:rFonts w:hint="eastAsia" w:ascii="宋体" w:hAnsi="宋体" w:cs="宋体"/>
          <w:sz w:val="24"/>
          <w:szCs w:val="24"/>
        </w:rPr>
        <w:t> </w:t>
      </w:r>
    </w:p>
    <w:p w14:paraId="39E4D2D1">
      <w:pPr>
        <w:snapToGrid w:val="0"/>
        <w:spacing w:line="520" w:lineRule="exact"/>
        <w:rPr>
          <w:rFonts w:ascii="宋体" w:hAnsi="宋体" w:cs="宋体"/>
          <w:sz w:val="24"/>
          <w:szCs w:val="24"/>
        </w:rPr>
      </w:pPr>
    </w:p>
    <w:p w14:paraId="2C187995">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14:paraId="73B24347">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14:paraId="7DB2A7ED">
      <w:pPr>
        <w:snapToGrid w:val="0"/>
        <w:spacing w:line="520" w:lineRule="exact"/>
        <w:rPr>
          <w:rFonts w:ascii="宋体" w:hAnsi="宋体" w:cs="宋体"/>
          <w:sz w:val="24"/>
          <w:szCs w:val="24"/>
        </w:rPr>
      </w:pPr>
    </w:p>
    <w:p w14:paraId="764408DE">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14:paraId="45D9C1A2">
      <w:pPr>
        <w:snapToGrid w:val="0"/>
        <w:spacing w:line="520" w:lineRule="exact"/>
        <w:rPr>
          <w:rFonts w:ascii="宋体" w:hAnsi="宋体" w:cs="宋体"/>
          <w:sz w:val="24"/>
          <w:szCs w:val="24"/>
        </w:rPr>
      </w:pPr>
    </w:p>
    <w:p w14:paraId="33AD4730">
      <w:pPr>
        <w:snapToGrid w:val="0"/>
        <w:spacing w:line="520" w:lineRule="exact"/>
        <w:ind w:firstLine="2280" w:firstLineChars="950"/>
        <w:rPr>
          <w:rFonts w:ascii="宋体" w:hAnsi="宋体" w:cs="宋体"/>
          <w:sz w:val="24"/>
          <w:szCs w:val="24"/>
        </w:rPr>
      </w:pPr>
      <w:r>
        <w:rPr>
          <w:rFonts w:hint="eastAsia" w:ascii="宋体" w:hAnsi="宋体" w:cs="宋体"/>
          <w:sz w:val="24"/>
          <w:szCs w:val="24"/>
        </w:rPr>
        <w:t>（粘贴此处）</w:t>
      </w:r>
    </w:p>
    <w:p w14:paraId="0335520F">
      <w:pPr>
        <w:snapToGrid w:val="0"/>
        <w:spacing w:line="520" w:lineRule="exact"/>
        <w:ind w:firstLine="482" w:firstLineChars="200"/>
        <w:rPr>
          <w:rFonts w:ascii="宋体" w:hAnsi="宋体" w:cs="宋体"/>
          <w:b/>
          <w:bCs/>
          <w:sz w:val="24"/>
          <w:szCs w:val="24"/>
        </w:rPr>
      </w:pPr>
      <w:r>
        <w:rPr>
          <w:rFonts w:hint="eastAsia" w:ascii="宋体" w:hAnsi="宋体" w:cs="宋体"/>
          <w:b/>
          <w:bCs/>
          <w:sz w:val="24"/>
          <w:szCs w:val="24"/>
        </w:rPr>
        <w:t>注:参加磋商时法定代表人将身份证原件带至磋商现场备查。</w:t>
      </w:r>
    </w:p>
    <w:p w14:paraId="195D8281">
      <w:pPr>
        <w:snapToGrid w:val="0"/>
        <w:spacing w:line="520" w:lineRule="exact"/>
        <w:jc w:val="center"/>
        <w:outlineLvl w:val="3"/>
        <w:rPr>
          <w:rFonts w:ascii="宋体" w:hAnsi="宋体" w:cs="宋体"/>
          <w:b/>
          <w:sz w:val="28"/>
          <w:szCs w:val="28"/>
        </w:rPr>
      </w:pPr>
      <w:r>
        <w:rPr>
          <w:rFonts w:hint="eastAsia" w:ascii="宋体" w:hAnsi="宋体" w:cs="宋体"/>
          <w:b/>
          <w:sz w:val="24"/>
          <w:szCs w:val="24"/>
        </w:rPr>
        <w:br w:type="page"/>
      </w:r>
      <w:r>
        <w:rPr>
          <w:rFonts w:hint="eastAsia" w:ascii="宋体" w:hAnsi="宋体" w:cs="宋体"/>
          <w:b/>
          <w:sz w:val="28"/>
          <w:szCs w:val="28"/>
        </w:rPr>
        <w:t>2、授权委托书</w:t>
      </w:r>
    </w:p>
    <w:p w14:paraId="6AF42960">
      <w:pPr>
        <w:snapToGrid w:val="0"/>
        <w:spacing w:line="520" w:lineRule="exact"/>
        <w:jc w:val="center"/>
        <w:rPr>
          <w:rFonts w:ascii="宋体" w:hAnsi="宋体" w:cs="宋体"/>
          <w:bCs/>
          <w:sz w:val="24"/>
          <w:szCs w:val="24"/>
        </w:rPr>
      </w:pPr>
      <w:r>
        <w:rPr>
          <w:rFonts w:hint="eastAsia" w:ascii="宋体" w:hAnsi="宋体" w:cs="宋体"/>
          <w:bCs/>
          <w:sz w:val="24"/>
          <w:szCs w:val="24"/>
        </w:rPr>
        <w:t>（如被授权人参加磋商，须出示此证明）</w:t>
      </w:r>
    </w:p>
    <w:p w14:paraId="3C26A498">
      <w:pPr>
        <w:snapToGrid w:val="0"/>
        <w:spacing w:line="520" w:lineRule="exact"/>
        <w:jc w:val="center"/>
        <w:rPr>
          <w:rFonts w:ascii="宋体" w:hAnsi="宋体" w:cs="宋体"/>
          <w:bCs/>
          <w:sz w:val="24"/>
          <w:szCs w:val="24"/>
        </w:rPr>
      </w:pPr>
    </w:p>
    <w:p w14:paraId="5193AC98">
      <w:pPr>
        <w:snapToGrid w:val="0"/>
        <w:spacing w:line="520" w:lineRule="exact"/>
        <w:jc w:val="left"/>
        <w:rPr>
          <w:rFonts w:ascii="宋体" w:hAnsi="宋体" w:cs="宋体"/>
          <w:sz w:val="24"/>
          <w:szCs w:val="24"/>
          <w:u w:val="single"/>
        </w:rPr>
      </w:pPr>
      <w:r>
        <w:rPr>
          <w:rFonts w:hint="eastAsia" w:ascii="宋体" w:hAnsi="宋体" w:cs="宋体"/>
          <w:sz w:val="24"/>
          <w:szCs w:val="24"/>
          <w:u w:val="single"/>
        </w:rPr>
        <w:t>南通市文化广电和旅游局:</w:t>
      </w:r>
    </w:p>
    <w:p w14:paraId="18343755">
      <w:pPr>
        <w:snapToGrid w:val="0"/>
        <w:spacing w:line="480" w:lineRule="exact"/>
        <w:ind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（被授权人的姓名）</w:t>
      </w:r>
      <w:r>
        <w:rPr>
          <w:rFonts w:hint="eastAsia" w:hAnsi="宋体" w:cs="宋体"/>
          <w:sz w:val="24"/>
          <w:szCs w:val="24"/>
        </w:rPr>
        <w:t>代表我公司参加</w:t>
      </w:r>
      <w:r>
        <w:rPr>
          <w:rFonts w:hint="eastAsia" w:hAnsi="宋体" w:cs="宋体"/>
          <w:sz w:val="24"/>
          <w:szCs w:val="24"/>
          <w:u w:val="single"/>
        </w:rPr>
        <w:t>（</w:t>
      </w:r>
      <w:r>
        <w:rPr>
          <w:rFonts w:hint="eastAsia" w:ascii="宋体" w:hAnsi="宋体" w:cs="宋体"/>
          <w:sz w:val="24"/>
          <w:szCs w:val="24"/>
          <w:u w:val="single"/>
        </w:rPr>
        <w:t>竞争性磋商项目名称</w:t>
      </w:r>
      <w:r>
        <w:rPr>
          <w:rFonts w:hint="eastAsia" w:hAnsi="宋体" w:cs="宋体"/>
          <w:sz w:val="24"/>
          <w:szCs w:val="24"/>
          <w:u w:val="single"/>
        </w:rPr>
        <w:t>)</w:t>
      </w:r>
      <w:r>
        <w:rPr>
          <w:rFonts w:hint="eastAsia" w:hAnsi="宋体" w:cs="宋体"/>
          <w:sz w:val="24"/>
          <w:szCs w:val="24"/>
        </w:rPr>
        <w:t>项目的采购活动，全权处理一切与该项目招标有关的事务。其在办理上述事宜过程中所签署的所有文件我公司均予以承认。</w:t>
      </w:r>
    </w:p>
    <w:p w14:paraId="29EB316A">
      <w:pPr>
        <w:pStyle w:val="23"/>
        <w:adjustRightInd w:val="0"/>
        <w:snapToGrid w:val="0"/>
        <w:spacing w:line="500" w:lineRule="exact"/>
        <w:ind w:firstLine="480" w:firstLineChars="200"/>
        <w:jc w:val="left"/>
        <w:rPr>
          <w:rFonts w:hAnsi="宋体" w:cs="宋体"/>
          <w:kern w:val="0"/>
          <w:sz w:val="24"/>
          <w:szCs w:val="24"/>
        </w:rPr>
      </w:pPr>
    </w:p>
    <w:p w14:paraId="18AD8694">
      <w:pPr>
        <w:pStyle w:val="23"/>
        <w:adjustRightInd w:val="0"/>
        <w:snapToGrid w:val="0"/>
        <w:spacing w:line="500" w:lineRule="exact"/>
        <w:ind w:firstLine="480" w:firstLineChars="200"/>
        <w:jc w:val="left"/>
        <w:rPr>
          <w:rFonts w:hAnsi="宋体" w:cs="宋体"/>
          <w:kern w:val="0"/>
          <w:sz w:val="24"/>
          <w:szCs w:val="24"/>
        </w:rPr>
      </w:pPr>
      <w:r>
        <w:rPr>
          <w:rFonts w:hint="eastAsia" w:hAnsi="宋体" w:cs="宋体"/>
          <w:kern w:val="0"/>
          <w:sz w:val="24"/>
          <w:szCs w:val="24"/>
        </w:rPr>
        <w:t>被授权人无转委托权，特此委托。</w:t>
      </w:r>
    </w:p>
    <w:p w14:paraId="7C82A476">
      <w:pPr>
        <w:pStyle w:val="23"/>
        <w:adjustRightInd w:val="0"/>
        <w:snapToGrid w:val="0"/>
        <w:spacing w:line="500" w:lineRule="exact"/>
        <w:ind w:firstLine="480" w:firstLineChars="200"/>
        <w:jc w:val="left"/>
        <w:rPr>
          <w:rFonts w:hAnsi="宋体" w:cs="宋体"/>
          <w:kern w:val="0"/>
          <w:sz w:val="24"/>
          <w:szCs w:val="24"/>
        </w:rPr>
      </w:pPr>
    </w:p>
    <w:p w14:paraId="54896B98">
      <w:pPr>
        <w:spacing w:line="480" w:lineRule="exact"/>
        <w:rPr>
          <w:rFonts w:hAnsi="宋体" w:cs="宋体"/>
          <w:sz w:val="24"/>
          <w:szCs w:val="24"/>
        </w:rPr>
      </w:pPr>
      <w:r>
        <w:rPr>
          <w:rFonts w:hint="eastAsia" w:hAnsi="宋体" w:cs="宋体"/>
          <w:sz w:val="24"/>
          <w:szCs w:val="24"/>
        </w:rPr>
        <w:t>附：被授权人情况：</w:t>
      </w:r>
    </w:p>
    <w:p w14:paraId="0ED8080D">
      <w:pPr>
        <w:spacing w:line="480" w:lineRule="exact"/>
        <w:rPr>
          <w:rFonts w:hAnsi="宋体" w:cs="宋体"/>
          <w:sz w:val="24"/>
          <w:szCs w:val="24"/>
          <w:u w:val="single"/>
        </w:rPr>
      </w:pPr>
      <w:r>
        <w:rPr>
          <w:rFonts w:hint="eastAsia" w:hAnsi="宋体" w:cs="宋体"/>
          <w:sz w:val="24"/>
          <w:szCs w:val="24"/>
        </w:rPr>
        <w:t>姓名：</w:t>
      </w:r>
      <w:r>
        <w:rPr>
          <w:rFonts w:hint="eastAsia" w:ascii="宋体" w:hAnsi="宋体" w:cs="宋体"/>
          <w:sz w:val="24"/>
          <w:szCs w:val="24"/>
          <w:u w:val="single"/>
        </w:rPr>
        <w:t xml:space="preserve">     　　</w:t>
      </w:r>
      <w:r>
        <w:rPr>
          <w:rFonts w:hint="eastAsia" w:hAnsi="宋体" w:cs="宋体"/>
          <w:sz w:val="24"/>
          <w:szCs w:val="24"/>
        </w:rPr>
        <w:t xml:space="preserve"> 性别：</w:t>
      </w:r>
      <w:r>
        <w:rPr>
          <w:rFonts w:hint="eastAsia" w:ascii="宋体" w:hAnsi="宋体" w:cs="宋体"/>
          <w:sz w:val="24"/>
          <w:szCs w:val="24"/>
          <w:u w:val="single"/>
        </w:rPr>
        <w:t xml:space="preserve">     　　</w:t>
      </w:r>
      <w:r>
        <w:rPr>
          <w:rFonts w:hint="eastAsia" w:hAnsi="宋体" w:cs="宋体"/>
          <w:sz w:val="24"/>
          <w:szCs w:val="24"/>
        </w:rPr>
        <w:t>年龄：</w:t>
      </w:r>
      <w:r>
        <w:rPr>
          <w:rFonts w:hint="eastAsia" w:ascii="宋体" w:hAnsi="宋体" w:cs="宋体"/>
          <w:sz w:val="24"/>
          <w:szCs w:val="24"/>
          <w:u w:val="single"/>
        </w:rPr>
        <w:t xml:space="preserve">     　　</w:t>
      </w:r>
      <w:r>
        <w:rPr>
          <w:rFonts w:hint="eastAsia" w:hAnsi="宋体" w:cs="宋体"/>
          <w:sz w:val="24"/>
          <w:szCs w:val="24"/>
        </w:rPr>
        <w:t>职务：</w:t>
      </w:r>
      <w:r>
        <w:rPr>
          <w:rFonts w:hint="eastAsia" w:ascii="宋体" w:hAnsi="宋体" w:cs="宋体"/>
          <w:sz w:val="24"/>
          <w:szCs w:val="24"/>
          <w:u w:val="single"/>
        </w:rPr>
        <w:t xml:space="preserve">     　　</w:t>
      </w:r>
    </w:p>
    <w:p w14:paraId="56D0306D">
      <w:pPr>
        <w:spacing w:line="480" w:lineRule="exact"/>
        <w:rPr>
          <w:rFonts w:hAnsi="宋体" w:cs="宋体"/>
          <w:sz w:val="24"/>
          <w:szCs w:val="24"/>
        </w:rPr>
      </w:pPr>
      <w:r>
        <w:rPr>
          <w:rFonts w:hint="eastAsia" w:hAnsi="宋体" w:cs="宋体"/>
          <w:sz w:val="24"/>
          <w:szCs w:val="24"/>
        </w:rPr>
        <w:t>身份证号码：</w:t>
      </w:r>
      <w:r>
        <w:rPr>
          <w:rFonts w:hint="eastAsia" w:ascii="宋体" w:hAnsi="宋体" w:cs="宋体"/>
          <w:sz w:val="24"/>
          <w:szCs w:val="24"/>
          <w:u w:val="single"/>
        </w:rPr>
        <w:t xml:space="preserve">     　　</w:t>
      </w:r>
    </w:p>
    <w:p w14:paraId="653FDDBF">
      <w:pPr>
        <w:spacing w:line="480" w:lineRule="exact"/>
        <w:rPr>
          <w:rFonts w:hAnsi="宋体" w:cs="宋体"/>
          <w:sz w:val="24"/>
          <w:szCs w:val="24"/>
        </w:rPr>
      </w:pPr>
      <w:r>
        <w:rPr>
          <w:rFonts w:hint="eastAsia" w:hAnsi="宋体" w:cs="宋体"/>
          <w:sz w:val="24"/>
          <w:szCs w:val="24"/>
        </w:rPr>
        <w:t>手机：</w:t>
      </w:r>
      <w:r>
        <w:rPr>
          <w:rFonts w:hint="eastAsia" w:ascii="宋体" w:hAnsi="宋体" w:cs="宋体"/>
          <w:sz w:val="24"/>
          <w:szCs w:val="24"/>
          <w:u w:val="single"/>
        </w:rPr>
        <w:t xml:space="preserve">     　　</w:t>
      </w:r>
      <w:r>
        <w:rPr>
          <w:rFonts w:hint="eastAsia" w:hAnsi="宋体" w:cs="宋体"/>
          <w:sz w:val="24"/>
          <w:szCs w:val="24"/>
        </w:rPr>
        <w:t>传真：</w:t>
      </w:r>
      <w:r>
        <w:rPr>
          <w:rFonts w:hint="eastAsia" w:ascii="宋体" w:hAnsi="宋体" w:cs="宋体"/>
          <w:sz w:val="24"/>
          <w:szCs w:val="24"/>
          <w:u w:val="single"/>
        </w:rPr>
        <w:t xml:space="preserve">     　　</w:t>
      </w:r>
    </w:p>
    <w:p w14:paraId="73400A38">
      <w:pPr>
        <w:spacing w:line="480" w:lineRule="exact"/>
        <w:rPr>
          <w:rFonts w:hAnsi="宋体" w:cs="宋体"/>
          <w:sz w:val="24"/>
          <w:szCs w:val="24"/>
        </w:rPr>
      </w:pPr>
    </w:p>
    <w:p w14:paraId="06E37CC9">
      <w:pPr>
        <w:spacing w:line="480" w:lineRule="exact"/>
        <w:rPr>
          <w:rFonts w:hAnsi="宋体" w:cs="宋体"/>
          <w:sz w:val="24"/>
          <w:szCs w:val="24"/>
        </w:rPr>
      </w:pPr>
    </w:p>
    <w:p w14:paraId="2E684E7C">
      <w:pPr>
        <w:spacing w:line="480" w:lineRule="exact"/>
        <w:rPr>
          <w:rFonts w:hAnsi="宋体" w:cs="宋体"/>
          <w:sz w:val="24"/>
          <w:szCs w:val="24"/>
        </w:rPr>
      </w:pPr>
      <w:r>
        <w:rPr>
          <w:rFonts w:hint="eastAsia" w:hAnsi="宋体" w:cs="宋体"/>
          <w:sz w:val="24"/>
          <w:szCs w:val="24"/>
        </w:rPr>
        <w:t>单位名称（公章）             法定代表人（签字或盖章）</w:t>
      </w:r>
    </w:p>
    <w:p w14:paraId="075A4503">
      <w:pPr>
        <w:spacing w:line="480" w:lineRule="exact"/>
        <w:ind w:firstLine="1200" w:firstLineChars="500"/>
        <w:rPr>
          <w:rFonts w:hAnsi="宋体" w:cs="宋体"/>
          <w:sz w:val="24"/>
          <w:szCs w:val="24"/>
        </w:rPr>
      </w:pPr>
    </w:p>
    <w:p w14:paraId="16BCDAFF">
      <w:pPr>
        <w:spacing w:line="480" w:lineRule="exact"/>
        <w:ind w:firstLine="1200" w:firstLineChars="500"/>
        <w:rPr>
          <w:rFonts w:hAnsi="宋体" w:cs="宋体"/>
          <w:sz w:val="24"/>
          <w:szCs w:val="24"/>
        </w:rPr>
      </w:pPr>
    </w:p>
    <w:p w14:paraId="5EBF6FEC">
      <w:pPr>
        <w:spacing w:line="480" w:lineRule="exact"/>
        <w:ind w:firstLine="1200" w:firstLineChars="500"/>
        <w:rPr>
          <w:rFonts w:hAnsi="宋体" w:cs="宋体"/>
          <w:sz w:val="24"/>
          <w:szCs w:val="24"/>
        </w:rPr>
      </w:pPr>
      <w:r>
        <w:rPr>
          <w:rFonts w:hint="eastAsia" w:hAnsi="宋体" w:cs="宋体"/>
          <w:sz w:val="24"/>
          <w:szCs w:val="24"/>
        </w:rPr>
        <w:t xml:space="preserve">年   月   日                 年   月    日  </w:t>
      </w:r>
    </w:p>
    <w:p w14:paraId="77D65AD6">
      <w:pPr>
        <w:spacing w:line="480" w:lineRule="exact"/>
        <w:rPr>
          <w:rFonts w:hAnsi="宋体" w:cs="宋体"/>
          <w:sz w:val="24"/>
          <w:szCs w:val="24"/>
        </w:rPr>
      </w:pPr>
    </w:p>
    <w:p w14:paraId="2144BEAA">
      <w:pPr>
        <w:spacing w:line="480" w:lineRule="exact"/>
        <w:rPr>
          <w:rFonts w:hAnsi="宋体" w:cs="宋体"/>
          <w:sz w:val="24"/>
          <w:szCs w:val="24"/>
        </w:rPr>
      </w:pPr>
    </w:p>
    <w:p w14:paraId="3799C553">
      <w:pPr>
        <w:spacing w:line="480" w:lineRule="exact"/>
        <w:rPr>
          <w:rFonts w:hAnsi="宋体" w:cs="宋体"/>
          <w:sz w:val="24"/>
          <w:szCs w:val="24"/>
        </w:rPr>
      </w:pPr>
      <w:r>
        <w:rPr>
          <w:rFonts w:hint="eastAsia" w:hAnsi="宋体" w:cs="宋体"/>
          <w:sz w:val="24"/>
          <w:szCs w:val="24"/>
        </w:rPr>
        <w:t>被授权人身份证复印件</w:t>
      </w:r>
    </w:p>
    <w:p w14:paraId="23AB20B8">
      <w:pPr>
        <w:spacing w:line="480" w:lineRule="exact"/>
        <w:rPr>
          <w:rFonts w:hAnsi="宋体" w:cs="宋体"/>
          <w:sz w:val="24"/>
          <w:szCs w:val="24"/>
        </w:rPr>
      </w:pPr>
    </w:p>
    <w:p w14:paraId="76B69C79">
      <w:pPr>
        <w:spacing w:line="480" w:lineRule="exact"/>
        <w:ind w:firstLine="2280" w:firstLineChars="950"/>
        <w:rPr>
          <w:rFonts w:hAnsi="宋体" w:cs="宋体"/>
          <w:b/>
          <w:bCs/>
          <w:sz w:val="24"/>
          <w:szCs w:val="24"/>
        </w:rPr>
      </w:pPr>
      <w:r>
        <w:rPr>
          <w:rFonts w:hint="eastAsia" w:hAnsi="宋体" w:cs="宋体"/>
          <w:sz w:val="24"/>
          <w:szCs w:val="24"/>
        </w:rPr>
        <w:t>（粘贴此处）</w:t>
      </w:r>
    </w:p>
    <w:p w14:paraId="39B14D62">
      <w:pPr>
        <w:spacing w:line="480" w:lineRule="exact"/>
        <w:ind w:firstLine="482" w:firstLineChars="200"/>
        <w:rPr>
          <w:rFonts w:hAnsi="宋体" w:cs="宋体"/>
          <w:b/>
          <w:bCs/>
          <w:sz w:val="24"/>
          <w:szCs w:val="24"/>
        </w:rPr>
      </w:pPr>
      <w:r>
        <w:rPr>
          <w:rFonts w:hint="eastAsia" w:hAnsi="宋体" w:cs="宋体"/>
          <w:b/>
          <w:bCs/>
          <w:sz w:val="24"/>
          <w:szCs w:val="24"/>
        </w:rPr>
        <w:t>注:参加磋商时被授权人将身份证原件带至磋商现场备查。</w:t>
      </w:r>
    </w:p>
    <w:p w14:paraId="515B209D">
      <w:pPr>
        <w:spacing w:line="480" w:lineRule="exact"/>
        <w:ind w:firstLine="482" w:firstLineChars="200"/>
        <w:rPr>
          <w:rFonts w:hAnsi="宋体" w:cs="宋体"/>
          <w:b/>
          <w:bCs/>
          <w:sz w:val="24"/>
          <w:szCs w:val="24"/>
        </w:rPr>
      </w:pPr>
    </w:p>
    <w:p w14:paraId="75563FBD">
      <w:pPr>
        <w:spacing w:line="480" w:lineRule="exact"/>
        <w:ind w:firstLine="482" w:firstLineChars="200"/>
        <w:rPr>
          <w:rFonts w:hAnsi="宋体" w:cs="宋体"/>
          <w:b/>
          <w:bCs/>
          <w:sz w:val="24"/>
          <w:szCs w:val="24"/>
        </w:rPr>
      </w:pPr>
    </w:p>
    <w:p w14:paraId="4A099E3E">
      <w:pPr>
        <w:snapToGrid w:val="0"/>
        <w:spacing w:line="520" w:lineRule="exact"/>
        <w:jc w:val="center"/>
        <w:outlineLvl w:val="3"/>
        <w:rPr>
          <w:rFonts w:ascii="宋体" w:hAnsi="宋体" w:cs="宋体"/>
          <w:b/>
          <w:color w:val="000000"/>
          <w:sz w:val="28"/>
          <w:szCs w:val="28"/>
        </w:rPr>
      </w:pPr>
    </w:p>
    <w:p w14:paraId="1A0EDE54">
      <w:pPr>
        <w:snapToGrid w:val="0"/>
        <w:spacing w:line="520" w:lineRule="exact"/>
        <w:jc w:val="center"/>
        <w:outlineLvl w:val="4"/>
        <w:rPr>
          <w:rFonts w:ascii="宋体" w:cs="宋体"/>
          <w:b/>
          <w:color w:val="000000"/>
          <w:sz w:val="24"/>
          <w:szCs w:val="24"/>
        </w:rPr>
      </w:pPr>
    </w:p>
    <w:p w14:paraId="767A6136">
      <w:pPr>
        <w:snapToGrid w:val="0"/>
        <w:spacing w:line="520" w:lineRule="exact"/>
        <w:jc w:val="center"/>
        <w:outlineLvl w:val="4"/>
        <w:rPr>
          <w:b/>
          <w:bCs/>
          <w:sz w:val="28"/>
          <w:szCs w:val="28"/>
        </w:rPr>
      </w:pPr>
      <w:r>
        <w:rPr>
          <w:rFonts w:hint="eastAsia" w:ascii="宋体" w:cs="宋体"/>
          <w:b/>
          <w:color w:val="000000"/>
          <w:sz w:val="24"/>
          <w:szCs w:val="24"/>
        </w:rPr>
        <w:t>3、</w:t>
      </w:r>
      <w:r>
        <w:rPr>
          <w:rFonts w:hint="eastAsia"/>
          <w:b/>
          <w:bCs/>
          <w:sz w:val="28"/>
          <w:szCs w:val="28"/>
        </w:rPr>
        <w:t>履行合同所必需的设备和专业技术能力承诺函</w:t>
      </w:r>
    </w:p>
    <w:p w14:paraId="52D95028">
      <w:pPr>
        <w:snapToGrid w:val="0"/>
        <w:spacing w:line="520" w:lineRule="exact"/>
        <w:jc w:val="center"/>
        <w:outlineLvl w:val="4"/>
        <w:rPr>
          <w:b/>
          <w:bCs/>
          <w:sz w:val="28"/>
          <w:szCs w:val="28"/>
        </w:rPr>
      </w:pPr>
    </w:p>
    <w:p w14:paraId="1CF2160D">
      <w:pPr>
        <w:rPr>
          <w:sz w:val="24"/>
          <w:szCs w:val="24"/>
          <w:u w:val="single"/>
          <w:lang w:val="en-GB"/>
        </w:rPr>
      </w:pPr>
      <w:r>
        <w:rPr>
          <w:rFonts w:hint="eastAsia" w:ascii="宋体" w:hAnsi="宋体" w:cs="宋体"/>
          <w:sz w:val="24"/>
          <w:szCs w:val="24"/>
          <w:u w:val="single"/>
        </w:rPr>
        <w:t>南通市文化广电和旅游局</w:t>
      </w:r>
      <w:r>
        <w:rPr>
          <w:rFonts w:hint="eastAsia"/>
          <w:sz w:val="24"/>
          <w:szCs w:val="24"/>
          <w:u w:val="single"/>
          <w:lang w:val="en-GB"/>
        </w:rPr>
        <w:t>：</w:t>
      </w:r>
    </w:p>
    <w:p w14:paraId="01507B4A">
      <w:pPr>
        <w:ind w:firstLine="720" w:firstLineChars="300"/>
        <w:rPr>
          <w:sz w:val="24"/>
          <w:szCs w:val="24"/>
          <w:u w:val="single"/>
          <w:lang w:val="en-GB"/>
        </w:rPr>
      </w:pPr>
    </w:p>
    <w:p w14:paraId="45DE52AE">
      <w:pPr>
        <w:ind w:firstLine="560"/>
        <w:jc w:val="left"/>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（供应商名称）</w:t>
      </w:r>
      <w:r>
        <w:rPr>
          <w:rFonts w:hint="eastAsia" w:ascii="宋体" w:hAnsi="宋体" w:cs="宋体"/>
          <w:sz w:val="24"/>
          <w:szCs w:val="24"/>
        </w:rPr>
        <w:t>郑重承诺：</w:t>
      </w:r>
    </w:p>
    <w:p w14:paraId="58FFDE0E">
      <w:pPr>
        <w:ind w:firstLine="560"/>
        <w:jc w:val="left"/>
        <w:rPr>
          <w:rFonts w:ascii="宋体" w:hAnsi="宋体" w:cs="宋体"/>
          <w:sz w:val="24"/>
          <w:szCs w:val="24"/>
        </w:rPr>
      </w:pPr>
    </w:p>
    <w:p w14:paraId="220C7B06">
      <w:pPr>
        <w:spacing w:line="480" w:lineRule="auto"/>
        <w:ind w:firstLine="561"/>
        <w:jc w:val="left"/>
        <w:rPr>
          <w:rFonts w:ascii="宋体" w:hAnsi="宋体" w:cs="宋体"/>
          <w:sz w:val="28"/>
          <w:szCs w:val="28"/>
        </w:rPr>
      </w:pPr>
      <w:r>
        <w:rPr>
          <w:rFonts w:hint="eastAsia" w:ascii="宋体" w:hAnsi="宋体" w:cs="宋体"/>
          <w:sz w:val="24"/>
          <w:szCs w:val="24"/>
        </w:rPr>
        <w:t>贵方组织的</w:t>
      </w:r>
      <w:r>
        <w:rPr>
          <w:rFonts w:hint="eastAsia" w:ascii="宋体" w:hAnsi="宋体" w:cs="宋体"/>
          <w:sz w:val="24"/>
          <w:szCs w:val="24"/>
          <w:u w:val="single"/>
        </w:rPr>
        <w:t>(项目名称）</w:t>
      </w:r>
      <w:r>
        <w:rPr>
          <w:rFonts w:hint="eastAsia" w:ascii="宋体" w:hAnsi="宋体" w:cs="宋体"/>
          <w:sz w:val="24"/>
          <w:szCs w:val="24"/>
        </w:rPr>
        <w:t>，我单位</w:t>
      </w:r>
      <w:r>
        <w:rPr>
          <w:rFonts w:hint="eastAsia" w:ascii="宋体" w:hAnsi="宋体" w:cs="宋体"/>
          <w:sz w:val="24"/>
          <w:szCs w:val="24"/>
          <w:u w:val="single"/>
        </w:rPr>
        <w:t>(在下划线上如实填写：有或没有）</w:t>
      </w:r>
      <w:r>
        <w:rPr>
          <w:rFonts w:hint="eastAsia" w:ascii="宋体" w:hAnsi="宋体" w:cs="宋体"/>
          <w:sz w:val="24"/>
          <w:szCs w:val="24"/>
        </w:rPr>
        <w:t>履行合同所必需的设备和专业技术能力</w:t>
      </w:r>
      <w:r>
        <w:rPr>
          <w:rFonts w:hint="eastAsia" w:ascii="宋体" w:hAnsi="宋体" w:cs="宋体"/>
          <w:sz w:val="28"/>
          <w:szCs w:val="28"/>
        </w:rPr>
        <w:t>。</w:t>
      </w:r>
    </w:p>
    <w:p w14:paraId="785AD278">
      <w:pPr>
        <w:ind w:firstLine="560"/>
        <w:jc w:val="left"/>
        <w:rPr>
          <w:rFonts w:ascii="宋体" w:hAnsi="宋体" w:cs="宋体"/>
          <w:sz w:val="24"/>
          <w:szCs w:val="24"/>
        </w:rPr>
      </w:pPr>
    </w:p>
    <w:p w14:paraId="6D48E94F">
      <w:pPr>
        <w:ind w:firstLine="560"/>
        <w:jc w:val="left"/>
        <w:rPr>
          <w:rFonts w:ascii="宋体" w:hAnsi="宋体" w:cs="宋体"/>
          <w:sz w:val="28"/>
          <w:szCs w:val="28"/>
        </w:rPr>
      </w:pPr>
    </w:p>
    <w:p w14:paraId="49864F90">
      <w:pPr>
        <w:ind w:firstLine="560"/>
        <w:jc w:val="left"/>
        <w:rPr>
          <w:rFonts w:ascii="宋体" w:hAnsi="宋体" w:cs="宋体"/>
          <w:sz w:val="28"/>
          <w:szCs w:val="28"/>
        </w:rPr>
      </w:pPr>
      <w:r>
        <w:rPr>
          <w:rFonts w:hint="eastAsia" w:ascii="宋体" w:hAnsi="宋体" w:cs="宋体"/>
          <w:sz w:val="28"/>
          <w:szCs w:val="28"/>
        </w:rPr>
        <w:t xml:space="preserve">                                  承诺人：（公章）</w:t>
      </w:r>
    </w:p>
    <w:p w14:paraId="6AD80289">
      <w:pPr>
        <w:ind w:firstLine="560"/>
        <w:jc w:val="left"/>
        <w:rPr>
          <w:rFonts w:ascii="宋体" w:hAnsi="宋体" w:cs="宋体"/>
          <w:sz w:val="28"/>
          <w:szCs w:val="28"/>
        </w:rPr>
      </w:pPr>
    </w:p>
    <w:p w14:paraId="36E86B90">
      <w:pPr>
        <w:ind w:firstLine="560"/>
        <w:jc w:val="left"/>
        <w:rPr>
          <w:rFonts w:ascii="宋体" w:hAnsi="宋体" w:cs="宋体"/>
          <w:sz w:val="28"/>
          <w:szCs w:val="28"/>
        </w:rPr>
      </w:pPr>
    </w:p>
    <w:p w14:paraId="30AD0AEC">
      <w:pPr>
        <w:spacing w:line="380" w:lineRule="exact"/>
        <w:jc w:val="center"/>
        <w:rPr>
          <w:rFonts w:ascii="宋体" w:hAnsi="宋体" w:cs="宋体"/>
          <w:b/>
          <w:sz w:val="24"/>
          <w:szCs w:val="24"/>
        </w:rPr>
      </w:pPr>
      <w:r>
        <w:rPr>
          <w:rFonts w:hint="eastAsia" w:ascii="宋体" w:hAnsi="宋体" w:cs="宋体"/>
          <w:sz w:val="28"/>
          <w:szCs w:val="28"/>
        </w:rPr>
        <w:t xml:space="preserve">                           年    月   日</w:t>
      </w:r>
    </w:p>
    <w:p w14:paraId="61790F6A">
      <w:pPr>
        <w:snapToGrid w:val="0"/>
        <w:spacing w:line="520" w:lineRule="exact"/>
        <w:jc w:val="center"/>
        <w:outlineLvl w:val="3"/>
        <w:rPr>
          <w:rFonts w:ascii="宋体" w:hAnsi="宋体" w:cs="宋体"/>
          <w:b/>
          <w:color w:val="000000"/>
          <w:sz w:val="28"/>
          <w:szCs w:val="28"/>
        </w:rPr>
      </w:pPr>
    </w:p>
    <w:p w14:paraId="5EA1C067">
      <w:pPr>
        <w:snapToGrid w:val="0"/>
        <w:spacing w:line="520" w:lineRule="exact"/>
        <w:jc w:val="center"/>
        <w:outlineLvl w:val="3"/>
        <w:rPr>
          <w:rFonts w:ascii="宋体" w:hAnsi="宋体" w:cs="宋体"/>
          <w:b/>
          <w:color w:val="000000"/>
          <w:sz w:val="28"/>
          <w:szCs w:val="28"/>
        </w:rPr>
      </w:pPr>
    </w:p>
    <w:p w14:paraId="15C48908">
      <w:pPr>
        <w:snapToGrid w:val="0"/>
        <w:spacing w:line="520" w:lineRule="exact"/>
        <w:jc w:val="center"/>
        <w:outlineLvl w:val="3"/>
        <w:rPr>
          <w:rFonts w:ascii="黑体" w:hAnsi="黑体" w:eastAsia="黑体"/>
          <w:bCs/>
          <w:sz w:val="24"/>
          <w:szCs w:val="24"/>
        </w:rPr>
      </w:pPr>
      <w:r>
        <w:rPr>
          <w:rFonts w:hint="eastAsia" w:ascii="宋体" w:hAnsi="宋体" w:cs="宋体"/>
          <w:b/>
          <w:color w:val="000000"/>
          <w:sz w:val="28"/>
          <w:szCs w:val="28"/>
        </w:rPr>
        <w:t>4、无重大违法记录声明</w:t>
      </w:r>
    </w:p>
    <w:p w14:paraId="39C48ACF">
      <w:pPr>
        <w:snapToGrid w:val="0"/>
        <w:spacing w:line="520" w:lineRule="exact"/>
        <w:jc w:val="left"/>
        <w:rPr>
          <w:rFonts w:ascii="宋体" w:hAnsi="宋体" w:cs="宋体"/>
          <w:sz w:val="24"/>
          <w:szCs w:val="24"/>
          <w:u w:val="single"/>
        </w:rPr>
      </w:pPr>
      <w:r>
        <w:rPr>
          <w:rFonts w:hint="eastAsia" w:ascii="宋体" w:hAnsi="宋体" w:cs="宋体"/>
          <w:sz w:val="24"/>
          <w:szCs w:val="24"/>
          <w:u w:val="single"/>
        </w:rPr>
        <w:t>南通市文化广电和旅游局:</w:t>
      </w:r>
    </w:p>
    <w:p w14:paraId="7D446AA3">
      <w:pPr>
        <w:spacing w:line="520" w:lineRule="exact"/>
        <w:rPr>
          <w:rFonts w:ascii="宋体" w:hAnsi="宋体"/>
          <w:color w:val="000000"/>
          <w:sz w:val="24"/>
          <w:szCs w:val="24"/>
        </w:rPr>
      </w:pPr>
      <w:r>
        <w:rPr>
          <w:rFonts w:hint="eastAsia" w:ascii="宋体" w:hAnsi="宋体"/>
          <w:color w:val="000000"/>
          <w:sz w:val="24"/>
          <w:szCs w:val="24"/>
        </w:rPr>
        <w:t xml:space="preserve"> 我单位</w:t>
      </w:r>
      <w:r>
        <w:rPr>
          <w:rFonts w:hint="eastAsia" w:ascii="宋体" w:hAnsi="宋体"/>
          <w:color w:val="000000"/>
          <w:sz w:val="24"/>
          <w:szCs w:val="24"/>
          <w:u w:val="single"/>
        </w:rPr>
        <w:t>（投标人名称）</w:t>
      </w:r>
      <w:r>
        <w:rPr>
          <w:rFonts w:hint="eastAsia" w:ascii="宋体" w:hAnsi="宋体"/>
          <w:color w:val="000000"/>
          <w:sz w:val="24"/>
          <w:szCs w:val="24"/>
        </w:rPr>
        <w:t>郑重声明：</w:t>
      </w:r>
    </w:p>
    <w:p w14:paraId="3502A9BD">
      <w:pPr>
        <w:spacing w:line="520" w:lineRule="exact"/>
        <w:rPr>
          <w:rFonts w:ascii="宋体" w:hAnsi="宋体"/>
          <w:color w:val="000000"/>
          <w:sz w:val="24"/>
          <w:szCs w:val="24"/>
        </w:rPr>
      </w:pPr>
      <w:r>
        <w:rPr>
          <w:rFonts w:hint="eastAsia" w:ascii="宋体" w:hAnsi="宋体"/>
          <w:color w:val="000000"/>
          <w:sz w:val="24"/>
          <w:szCs w:val="24"/>
        </w:rPr>
        <w:t xml:space="preserve">  参加本次采购活动前3年内在经营活动中</w:t>
      </w:r>
      <w:r>
        <w:rPr>
          <w:rFonts w:hint="eastAsia" w:ascii="宋体" w:hAnsi="宋体"/>
          <w:color w:val="000000"/>
          <w:sz w:val="24"/>
          <w:szCs w:val="24"/>
          <w:u w:val="single"/>
        </w:rPr>
        <w:t>（在下划线上如实填写：有或没有）</w:t>
      </w:r>
      <w:r>
        <w:rPr>
          <w:rFonts w:hint="eastAsia" w:ascii="宋体" w:hAnsi="宋体"/>
          <w:color w:val="000000"/>
          <w:sz w:val="24"/>
          <w:szCs w:val="24"/>
        </w:rPr>
        <w:t>重大违法记录。</w:t>
      </w:r>
    </w:p>
    <w:p w14:paraId="37146F90">
      <w:pPr>
        <w:spacing w:line="520" w:lineRule="exact"/>
        <w:ind w:firstLine="480"/>
        <w:rPr>
          <w:rFonts w:ascii="宋体" w:hAnsi="宋体"/>
          <w:color w:val="000000"/>
          <w:sz w:val="24"/>
          <w:szCs w:val="24"/>
        </w:rPr>
      </w:pPr>
      <w:r>
        <w:rPr>
          <w:rFonts w:hint="eastAsia" w:ascii="宋体" w:hAnsi="宋体"/>
          <w:color w:val="000000"/>
          <w:sz w:val="24"/>
          <w:szCs w:val="24"/>
        </w:rPr>
        <w:t>（说明：所称重大违法记录，是指供应商因违法经营受到刑事处罚或者责令停产停业、吊销许可证或者执照、较大数额罚款等行政处罚。）</w:t>
      </w:r>
    </w:p>
    <w:p w14:paraId="1F78D1EF">
      <w:pPr>
        <w:spacing w:line="520" w:lineRule="exact"/>
        <w:ind w:firstLine="480"/>
        <w:rPr>
          <w:rFonts w:ascii="宋体" w:hAnsi="宋体"/>
          <w:color w:val="000000"/>
          <w:sz w:val="24"/>
          <w:szCs w:val="24"/>
        </w:rPr>
      </w:pPr>
    </w:p>
    <w:p w14:paraId="1B889629">
      <w:pPr>
        <w:spacing w:line="520" w:lineRule="exact"/>
        <w:rPr>
          <w:rFonts w:ascii="宋体" w:hAnsi="宋体"/>
          <w:color w:val="000000"/>
          <w:sz w:val="24"/>
          <w:szCs w:val="24"/>
        </w:rPr>
      </w:pPr>
      <w:r>
        <w:rPr>
          <w:rFonts w:hint="eastAsia" w:ascii="宋体" w:hAnsi="宋体"/>
          <w:color w:val="000000"/>
          <w:sz w:val="24"/>
          <w:szCs w:val="24"/>
        </w:rPr>
        <w:t xml:space="preserve">                                                        声明人：（公章）</w:t>
      </w:r>
    </w:p>
    <w:p w14:paraId="48D109C8">
      <w:pPr>
        <w:spacing w:line="520" w:lineRule="exact"/>
        <w:jc w:val="right"/>
        <w:rPr>
          <w:rFonts w:ascii="宋体" w:hAnsi="宋体"/>
          <w:color w:val="000000"/>
          <w:sz w:val="24"/>
          <w:szCs w:val="24"/>
        </w:rPr>
      </w:pPr>
      <w:r>
        <w:rPr>
          <w:rFonts w:hint="eastAsia" w:ascii="宋体" w:hAnsi="宋体"/>
          <w:color w:val="000000"/>
          <w:sz w:val="24"/>
          <w:szCs w:val="24"/>
        </w:rPr>
        <w:t>年     月    日</w:t>
      </w:r>
    </w:p>
    <w:p w14:paraId="26AEFFEA">
      <w:pPr>
        <w:snapToGrid w:val="0"/>
        <w:spacing w:line="520" w:lineRule="exact"/>
        <w:jc w:val="center"/>
        <w:rPr>
          <w:rFonts w:ascii="黑体" w:hAnsi="黑体" w:eastAsia="黑体"/>
          <w:bCs/>
          <w:sz w:val="24"/>
          <w:szCs w:val="24"/>
        </w:rPr>
      </w:pPr>
    </w:p>
    <w:p w14:paraId="11D12547">
      <w:pPr>
        <w:snapToGrid w:val="0"/>
        <w:spacing w:line="420" w:lineRule="exact"/>
        <w:jc w:val="center"/>
        <w:rPr>
          <w:rFonts w:ascii="黑体" w:hAnsi="黑体" w:eastAsia="黑体"/>
          <w:bCs/>
          <w:sz w:val="24"/>
          <w:szCs w:val="24"/>
        </w:rPr>
      </w:pPr>
    </w:p>
    <w:p w14:paraId="1EC4D398">
      <w:pPr>
        <w:snapToGrid w:val="0"/>
        <w:spacing w:line="520" w:lineRule="exact"/>
        <w:jc w:val="center"/>
        <w:outlineLvl w:val="3"/>
        <w:rPr>
          <w:rFonts w:ascii="宋体" w:hAnsi="宋体" w:cs="宋体"/>
          <w:b/>
          <w:color w:val="000000"/>
          <w:sz w:val="28"/>
          <w:szCs w:val="28"/>
        </w:rPr>
      </w:pPr>
    </w:p>
    <w:p w14:paraId="4CE108D7">
      <w:pPr>
        <w:snapToGrid w:val="0"/>
        <w:spacing w:line="520" w:lineRule="exact"/>
        <w:jc w:val="center"/>
        <w:outlineLvl w:val="3"/>
        <w:rPr>
          <w:rFonts w:ascii="宋体" w:hAnsi="宋体" w:cs="宋体"/>
          <w:b/>
          <w:color w:val="000000"/>
          <w:sz w:val="28"/>
          <w:szCs w:val="28"/>
        </w:rPr>
      </w:pPr>
      <w:r>
        <w:rPr>
          <w:rFonts w:hint="eastAsia" w:ascii="宋体" w:hAnsi="宋体" w:cs="宋体"/>
          <w:b/>
          <w:color w:val="000000"/>
          <w:sz w:val="28"/>
          <w:szCs w:val="28"/>
        </w:rPr>
        <w:t>5、关于资格文件的声明函</w:t>
      </w:r>
    </w:p>
    <w:p w14:paraId="13927A8D">
      <w:pPr>
        <w:snapToGrid w:val="0"/>
        <w:spacing w:line="520" w:lineRule="exact"/>
        <w:jc w:val="left"/>
        <w:rPr>
          <w:rFonts w:ascii="宋体" w:hAnsi="宋体" w:cs="宋体"/>
          <w:sz w:val="24"/>
          <w:szCs w:val="24"/>
          <w:u w:val="single"/>
        </w:rPr>
      </w:pPr>
      <w:r>
        <w:rPr>
          <w:rFonts w:hint="eastAsia" w:ascii="宋体" w:hAnsi="宋体" w:cs="宋体"/>
          <w:sz w:val="24"/>
          <w:szCs w:val="24"/>
          <w:u w:val="single"/>
        </w:rPr>
        <w:t>南通市文化广电和旅游局:</w:t>
      </w:r>
    </w:p>
    <w:p w14:paraId="3BF4BCE6">
      <w:pPr>
        <w:overflowPunct w:val="0"/>
        <w:adjustRightInd w:val="0"/>
        <w:spacing w:line="520" w:lineRule="exact"/>
        <w:ind w:firstLine="660"/>
        <w:jc w:val="left"/>
        <w:textAlignment w:val="baseline"/>
        <w:rPr>
          <w:rFonts w:ascii="宋体" w:hAnsi="宋体"/>
          <w:sz w:val="24"/>
          <w:szCs w:val="24"/>
        </w:rPr>
      </w:pPr>
      <w:r>
        <w:rPr>
          <w:rFonts w:hint="eastAsia" w:ascii="宋体" w:hAnsi="宋体"/>
          <w:sz w:val="24"/>
          <w:szCs w:val="24"/>
        </w:rPr>
        <w:t>本公司愿就由贵公司组织实施的项目名称为</w:t>
      </w:r>
      <w:r>
        <w:rPr>
          <w:rFonts w:hint="eastAsia" w:ascii="宋体" w:hAnsi="宋体" w:cs="宋体"/>
          <w:sz w:val="24"/>
          <w:szCs w:val="24"/>
          <w:u w:val="single"/>
        </w:rPr>
        <w:t xml:space="preserve">     　　</w:t>
      </w:r>
      <w:r>
        <w:rPr>
          <w:rFonts w:hint="eastAsia" w:ascii="宋体" w:hAnsi="宋体"/>
          <w:sz w:val="24"/>
          <w:szCs w:val="24"/>
        </w:rPr>
        <w:t>的招标活动进行投标。本公司所提交的投标文件中所有关于投标资格的文件、证明和陈述均是真实的、准确的。若与真实情况不符，本公司愿意承担由此而产生的一切后果。</w:t>
      </w:r>
    </w:p>
    <w:p w14:paraId="7408B916">
      <w:pPr>
        <w:overflowPunct w:val="0"/>
        <w:adjustRightInd w:val="0"/>
        <w:spacing w:line="520" w:lineRule="exact"/>
        <w:ind w:firstLine="420"/>
        <w:jc w:val="right"/>
        <w:textAlignment w:val="baseline"/>
        <w:rPr>
          <w:rFonts w:ascii="宋体" w:hAnsi="宋体"/>
          <w:sz w:val="24"/>
          <w:szCs w:val="24"/>
        </w:rPr>
      </w:pPr>
    </w:p>
    <w:p w14:paraId="3006CABA">
      <w:pPr>
        <w:overflowPunct w:val="0"/>
        <w:adjustRightInd w:val="0"/>
        <w:spacing w:line="520" w:lineRule="exact"/>
        <w:ind w:firstLine="420"/>
        <w:jc w:val="right"/>
        <w:textAlignment w:val="baseline"/>
        <w:rPr>
          <w:rFonts w:ascii="宋体" w:hAnsi="宋体"/>
          <w:sz w:val="24"/>
          <w:szCs w:val="24"/>
        </w:rPr>
      </w:pPr>
    </w:p>
    <w:p w14:paraId="5E6CE54D">
      <w:pPr>
        <w:overflowPunct w:val="0"/>
        <w:adjustRightInd w:val="0"/>
        <w:spacing w:line="520" w:lineRule="exact"/>
        <w:ind w:firstLine="420"/>
        <w:jc w:val="right"/>
        <w:textAlignment w:val="baseline"/>
        <w:rPr>
          <w:rFonts w:ascii="宋体" w:hAnsi="宋体"/>
          <w:sz w:val="24"/>
          <w:szCs w:val="24"/>
        </w:rPr>
      </w:pPr>
      <w:r>
        <w:rPr>
          <w:rFonts w:hint="eastAsia" w:ascii="宋体" w:hAnsi="宋体"/>
          <w:sz w:val="24"/>
          <w:szCs w:val="24"/>
        </w:rPr>
        <w:t>法定代表人或被委托受权人（签字或盖章）：</w:t>
      </w:r>
    </w:p>
    <w:p w14:paraId="5F689795">
      <w:pPr>
        <w:overflowPunct w:val="0"/>
        <w:adjustRightInd w:val="0"/>
        <w:spacing w:line="520" w:lineRule="exact"/>
        <w:ind w:left="1700" w:firstLine="425"/>
        <w:jc w:val="left"/>
        <w:textAlignment w:val="baseline"/>
        <w:rPr>
          <w:rFonts w:ascii="宋体" w:hAnsi="宋体"/>
          <w:sz w:val="24"/>
          <w:szCs w:val="24"/>
        </w:rPr>
      </w:pPr>
      <w:r>
        <w:rPr>
          <w:rFonts w:ascii="宋体" w:hAnsi="宋体"/>
          <w:sz w:val="24"/>
          <w:szCs w:val="24"/>
        </w:rPr>
        <w:t xml:space="preserve">                               单位名称（</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3C082CB0">
      <w:pPr>
        <w:overflowPunct w:val="0"/>
        <w:adjustRightInd w:val="0"/>
        <w:spacing w:line="520" w:lineRule="exact"/>
        <w:ind w:firstLine="420"/>
        <w:jc w:val="right"/>
        <w:textAlignment w:val="baseline"/>
        <w:rPr>
          <w:rFonts w:ascii="宋体" w:hAnsi="宋体"/>
          <w:sz w:val="24"/>
          <w:szCs w:val="24"/>
        </w:rPr>
      </w:pPr>
      <w:r>
        <w:rPr>
          <w:rFonts w:hint="eastAsia" w:ascii="宋体" w:hAnsi="宋体"/>
          <w:sz w:val="24"/>
          <w:szCs w:val="24"/>
        </w:rPr>
        <w:t>年</w:t>
      </w:r>
      <w:r>
        <w:rPr>
          <w:rFonts w:hint="eastAsia" w:ascii="宋体" w:hAnsi="宋体"/>
          <w:sz w:val="24"/>
          <w:szCs w:val="24"/>
        </w:rPr>
        <w:tab/>
      </w:r>
      <w:r>
        <w:rPr>
          <w:rFonts w:hint="eastAsia" w:ascii="宋体" w:hAnsi="宋体"/>
          <w:sz w:val="24"/>
          <w:szCs w:val="24"/>
        </w:rPr>
        <w:t xml:space="preserve"> 月 </w:t>
      </w:r>
      <w:r>
        <w:rPr>
          <w:rFonts w:hint="eastAsia" w:ascii="宋体" w:hAnsi="宋体"/>
          <w:sz w:val="24"/>
          <w:szCs w:val="24"/>
        </w:rPr>
        <w:tab/>
      </w:r>
      <w:r>
        <w:rPr>
          <w:rFonts w:hint="eastAsia" w:ascii="宋体" w:hAnsi="宋体"/>
          <w:sz w:val="24"/>
          <w:szCs w:val="24"/>
        </w:rPr>
        <w:t>日</w:t>
      </w:r>
    </w:p>
    <w:p w14:paraId="72884803">
      <w:pPr>
        <w:spacing w:line="480" w:lineRule="exact"/>
        <w:ind w:firstLine="482" w:firstLineChars="200"/>
        <w:rPr>
          <w:rFonts w:hAnsi="宋体" w:cs="宋体"/>
          <w:b/>
          <w:bCs/>
          <w:sz w:val="24"/>
          <w:szCs w:val="24"/>
        </w:rPr>
      </w:pPr>
    </w:p>
    <w:p w14:paraId="56E1A84E">
      <w:pPr>
        <w:snapToGrid w:val="0"/>
        <w:spacing w:line="520" w:lineRule="exact"/>
        <w:jc w:val="center"/>
        <w:outlineLvl w:val="3"/>
        <w:rPr>
          <w:rFonts w:ascii="宋体" w:hAnsi="宋体" w:cs="宋体"/>
          <w:b/>
          <w:bCs/>
          <w:sz w:val="28"/>
          <w:szCs w:val="28"/>
        </w:rPr>
      </w:pPr>
      <w:r>
        <w:rPr>
          <w:rFonts w:ascii="宋体" w:hAnsi="宋体" w:cs="宋体"/>
          <w:b/>
          <w:sz w:val="24"/>
          <w:szCs w:val="24"/>
        </w:rPr>
        <w:br w:type="page"/>
      </w:r>
      <w:r>
        <w:rPr>
          <w:rFonts w:hint="eastAsia" w:ascii="宋体" w:hAnsi="宋体" w:cs="宋体"/>
          <w:b/>
          <w:sz w:val="28"/>
          <w:szCs w:val="28"/>
        </w:rPr>
        <w:t>6</w:t>
      </w:r>
      <w:r>
        <w:rPr>
          <w:rFonts w:hint="eastAsia" w:ascii="宋体" w:hAnsi="宋体" w:cs="宋体"/>
          <w:b/>
          <w:bCs/>
          <w:sz w:val="28"/>
          <w:szCs w:val="28"/>
        </w:rPr>
        <w:t>、竞争性磋商响应函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14:paraId="45D41859">
      <w:pPr>
        <w:snapToGrid w:val="0"/>
        <w:spacing w:line="520" w:lineRule="exact"/>
        <w:jc w:val="left"/>
        <w:rPr>
          <w:rFonts w:ascii="宋体" w:hAnsi="宋体" w:cs="宋体"/>
          <w:sz w:val="24"/>
          <w:szCs w:val="24"/>
          <w:u w:val="single"/>
        </w:rPr>
      </w:pPr>
      <w:r>
        <w:rPr>
          <w:rFonts w:hint="eastAsia" w:ascii="宋体" w:hAnsi="宋体" w:cs="宋体"/>
          <w:sz w:val="24"/>
          <w:szCs w:val="24"/>
          <w:u w:val="single"/>
        </w:rPr>
        <w:t>南通市文化广电和旅游局:</w:t>
      </w:r>
    </w:p>
    <w:p w14:paraId="44826BF9">
      <w:pPr>
        <w:snapToGrid w:val="0"/>
        <w:spacing w:line="520" w:lineRule="exact"/>
        <w:ind w:firstLine="480" w:firstLineChars="200"/>
        <w:rPr>
          <w:rFonts w:ascii="宋体" w:hAnsi="宋体" w:cs="宋体"/>
          <w:sz w:val="24"/>
          <w:szCs w:val="24"/>
        </w:rPr>
      </w:pPr>
      <w:r>
        <w:rPr>
          <w:rFonts w:hint="eastAsia" w:ascii="宋体" w:hAnsi="宋体" w:cs="宋体"/>
          <w:sz w:val="24"/>
          <w:szCs w:val="24"/>
        </w:rPr>
        <w:t>依据贵单位委托代理机构组织的</w:t>
      </w:r>
      <w:r>
        <w:rPr>
          <w:rFonts w:hint="eastAsia" w:ascii="宋体" w:hAnsi="宋体" w:cs="宋体"/>
          <w:sz w:val="24"/>
          <w:szCs w:val="24"/>
          <w:u w:val="single"/>
        </w:rPr>
        <w:t>（磋商项目名称)</w:t>
      </w:r>
      <w:r>
        <w:rPr>
          <w:rFonts w:hint="eastAsia" w:ascii="宋体" w:hAnsi="宋体" w:cs="宋体"/>
          <w:sz w:val="24"/>
          <w:szCs w:val="24"/>
        </w:rPr>
        <w:t>项目竞争性磋商的邀请，我方授权</w:t>
      </w:r>
      <w:r>
        <w:rPr>
          <w:rFonts w:hint="eastAsia" w:ascii="宋体" w:hAnsi="宋体" w:cs="宋体"/>
          <w:sz w:val="24"/>
          <w:szCs w:val="24"/>
          <w:u w:val="single"/>
        </w:rPr>
        <w:t>（姓名）（职务）</w:t>
      </w:r>
      <w:r>
        <w:rPr>
          <w:rFonts w:hint="eastAsia" w:ascii="宋体" w:hAnsi="宋体" w:cs="宋体"/>
          <w:sz w:val="24"/>
          <w:szCs w:val="24"/>
        </w:rPr>
        <w:t>为全权代表参加该项目的磋商工作，全权处理本次竞争性磋商的有关事宜。同时，我公司声明如下：</w:t>
      </w:r>
    </w:p>
    <w:p w14:paraId="05E79F53">
      <w:pPr>
        <w:snapToGrid w:val="0"/>
        <w:spacing w:line="520" w:lineRule="exact"/>
        <w:ind w:firstLine="480" w:firstLineChars="200"/>
        <w:rPr>
          <w:rFonts w:ascii="宋体" w:hAnsi="宋体" w:cs="宋体"/>
          <w:sz w:val="24"/>
          <w:szCs w:val="24"/>
        </w:rPr>
      </w:pPr>
      <w:r>
        <w:rPr>
          <w:rFonts w:hint="eastAsia" w:ascii="宋体" w:hAnsi="宋体" w:cs="宋体"/>
          <w:sz w:val="24"/>
          <w:szCs w:val="24"/>
        </w:rPr>
        <w:t>1、同意并接受竞争性磋商文件的各项要求，遵守竞争性磋商文件中的各项规定，按竞争性磋商文件的要求提供报价。</w:t>
      </w:r>
    </w:p>
    <w:p w14:paraId="5F5765FC">
      <w:pPr>
        <w:snapToGrid w:val="0"/>
        <w:spacing w:line="520" w:lineRule="exact"/>
        <w:ind w:firstLine="480" w:firstLineChars="200"/>
        <w:rPr>
          <w:rFonts w:ascii="宋体" w:hAnsi="宋体" w:cs="宋体"/>
          <w:sz w:val="24"/>
          <w:szCs w:val="24"/>
        </w:rPr>
      </w:pPr>
      <w:r>
        <w:rPr>
          <w:rFonts w:hint="eastAsia" w:ascii="宋体" w:hAnsi="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5CEF749C">
      <w:pPr>
        <w:snapToGrid w:val="0"/>
        <w:spacing w:line="520" w:lineRule="exact"/>
        <w:ind w:firstLine="480" w:firstLineChars="200"/>
        <w:rPr>
          <w:rFonts w:ascii="宋体" w:hAnsi="宋体" w:cs="宋体"/>
          <w:sz w:val="24"/>
          <w:szCs w:val="24"/>
        </w:rPr>
      </w:pPr>
      <w:r>
        <w:rPr>
          <w:rFonts w:hint="eastAsia" w:ascii="宋体" w:hAnsi="宋体" w:cs="宋体"/>
          <w:sz w:val="24"/>
          <w:szCs w:val="24"/>
        </w:rPr>
        <w:t>3、我公司已毫无保留地向贵方提供一切所需的证明材料。</w:t>
      </w:r>
    </w:p>
    <w:p w14:paraId="22112C21">
      <w:pPr>
        <w:snapToGrid w:val="0"/>
        <w:spacing w:line="520" w:lineRule="exact"/>
        <w:ind w:firstLine="480" w:firstLineChars="200"/>
        <w:rPr>
          <w:rFonts w:ascii="宋体" w:hAnsi="宋体" w:cs="宋体"/>
          <w:sz w:val="24"/>
          <w:szCs w:val="24"/>
        </w:rPr>
      </w:pPr>
      <w:r>
        <w:rPr>
          <w:rFonts w:hint="eastAsia" w:ascii="宋体" w:hAnsi="宋体" w:cs="宋体"/>
          <w:sz w:val="24"/>
          <w:szCs w:val="24"/>
        </w:rPr>
        <w:t>4、我公司承诺在本次磋商响应中提供的一切文件，无论是原件还是复印件均真实有效，绝无任何虚假、伪造和夸大的成份。否则，愿承担相应的后果和法律责任。</w:t>
      </w:r>
    </w:p>
    <w:p w14:paraId="6A693874">
      <w:pPr>
        <w:snapToGrid w:val="0"/>
        <w:spacing w:line="520" w:lineRule="exact"/>
        <w:ind w:firstLine="480" w:firstLineChars="200"/>
        <w:rPr>
          <w:rFonts w:ascii="宋体" w:hAnsi="宋体" w:cs="宋体"/>
          <w:sz w:val="24"/>
          <w:szCs w:val="24"/>
        </w:rPr>
      </w:pPr>
      <w:r>
        <w:rPr>
          <w:rFonts w:hint="eastAsia" w:ascii="宋体" w:hAnsi="宋体" w:cs="宋体"/>
          <w:sz w:val="24"/>
          <w:szCs w:val="24"/>
        </w:rPr>
        <w:t>5、一旦成交，我方承诺无正当理由拒绝签订合同，将被贵方取消成交资格，同意贵方将磋商保证金作为违约金全额不予退还的处理。</w:t>
      </w:r>
    </w:p>
    <w:p w14:paraId="2206A5BC">
      <w:pPr>
        <w:snapToGrid w:val="0"/>
        <w:spacing w:line="520" w:lineRule="exact"/>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6844D728">
      <w:pPr>
        <w:snapToGrid w:val="0"/>
        <w:spacing w:line="520" w:lineRule="exact"/>
        <w:ind w:firstLine="480" w:firstLineChars="200"/>
        <w:rPr>
          <w:rFonts w:ascii="宋体" w:hAnsi="宋体" w:cs="宋体"/>
          <w:sz w:val="24"/>
          <w:szCs w:val="24"/>
        </w:rPr>
      </w:pPr>
    </w:p>
    <w:p w14:paraId="14E60D29">
      <w:pPr>
        <w:snapToGrid w:val="0"/>
        <w:spacing w:line="520" w:lineRule="exact"/>
        <w:jc w:val="right"/>
        <w:rPr>
          <w:rFonts w:ascii="宋体" w:hAnsi="宋体" w:cs="宋体"/>
          <w:sz w:val="24"/>
          <w:szCs w:val="24"/>
        </w:rPr>
      </w:pPr>
      <w:r>
        <w:rPr>
          <w:rFonts w:hint="eastAsia" w:ascii="宋体" w:hAnsi="宋体" w:cs="宋体"/>
          <w:sz w:val="24"/>
          <w:szCs w:val="24"/>
        </w:rPr>
        <w:t>竞争性磋商响应单位：（加盖公章）</w:t>
      </w:r>
    </w:p>
    <w:p w14:paraId="3D9719A4">
      <w:pPr>
        <w:snapToGrid w:val="0"/>
        <w:spacing w:line="520" w:lineRule="exact"/>
        <w:ind w:firstLine="2400" w:firstLineChars="1000"/>
        <w:jc w:val="right"/>
        <w:rPr>
          <w:rFonts w:ascii="宋体" w:hAnsi="宋体" w:cs="宋体"/>
          <w:sz w:val="24"/>
          <w:szCs w:val="24"/>
        </w:rPr>
      </w:pPr>
      <w:r>
        <w:rPr>
          <w:rFonts w:hint="eastAsia" w:ascii="宋体" w:hAnsi="宋体" w:cs="宋体"/>
          <w:sz w:val="24"/>
          <w:szCs w:val="24"/>
        </w:rPr>
        <w:t>法定代表人或被授权人：（签字或盖章）</w:t>
      </w:r>
    </w:p>
    <w:p w14:paraId="228729D3">
      <w:pPr>
        <w:snapToGrid w:val="0"/>
        <w:spacing w:line="520" w:lineRule="exact"/>
        <w:jc w:val="right"/>
        <w:rPr>
          <w:rFonts w:ascii="宋体" w:hAnsi="宋体" w:cs="宋体"/>
          <w:sz w:val="24"/>
          <w:szCs w:val="24"/>
        </w:rPr>
      </w:pPr>
      <w:r>
        <w:rPr>
          <w:rFonts w:hint="eastAsia" w:ascii="宋体" w:hAnsi="宋体" w:cs="宋体"/>
          <w:sz w:val="24"/>
          <w:szCs w:val="24"/>
        </w:rPr>
        <w:t>年      月     日</w:t>
      </w:r>
    </w:p>
    <w:p w14:paraId="47147DC3">
      <w:pPr>
        <w:snapToGrid w:val="0"/>
        <w:spacing w:line="520" w:lineRule="exact"/>
        <w:jc w:val="center"/>
        <w:outlineLvl w:val="3"/>
        <w:rPr>
          <w:rFonts w:ascii="宋体" w:hAnsi="宋体" w:cs="宋体"/>
          <w:b/>
          <w:sz w:val="28"/>
          <w:szCs w:val="28"/>
        </w:rPr>
      </w:pPr>
    </w:p>
    <w:p w14:paraId="7B68B5DA">
      <w:pPr>
        <w:snapToGrid w:val="0"/>
        <w:spacing w:line="520" w:lineRule="exact"/>
        <w:jc w:val="center"/>
        <w:outlineLvl w:val="3"/>
        <w:rPr>
          <w:rFonts w:ascii="宋体" w:hAnsi="宋体" w:cs="宋体"/>
          <w:b/>
          <w:sz w:val="28"/>
          <w:szCs w:val="28"/>
        </w:rPr>
      </w:pPr>
    </w:p>
    <w:p w14:paraId="27E30769">
      <w:pPr>
        <w:spacing w:line="480" w:lineRule="exact"/>
        <w:jc w:val="center"/>
        <w:rPr>
          <w:rFonts w:ascii="宋体" w:hAnsi="宋体" w:cs="宋体"/>
          <w:b/>
          <w:sz w:val="28"/>
          <w:szCs w:val="28"/>
        </w:rPr>
      </w:pPr>
      <w:bookmarkStart w:id="62" w:name="_Toc425960671"/>
      <w:r>
        <w:rPr>
          <w:rFonts w:ascii="宋体" w:hAnsi="宋体"/>
          <w:b/>
          <w:bCs/>
          <w:sz w:val="28"/>
          <w:szCs w:val="28"/>
        </w:rPr>
        <w:br w:type="page"/>
      </w:r>
      <w:bookmarkEnd w:id="62"/>
      <w:r>
        <w:rPr>
          <w:rFonts w:hint="eastAsia" w:ascii="宋体" w:hAnsi="宋体"/>
          <w:b/>
          <w:bCs/>
          <w:sz w:val="28"/>
          <w:szCs w:val="28"/>
        </w:rPr>
        <w:t>7</w:t>
      </w:r>
      <w:r>
        <w:rPr>
          <w:rFonts w:hint="eastAsia" w:ascii="宋体" w:hAnsi="宋体" w:cs="宋体"/>
          <w:b/>
          <w:sz w:val="28"/>
          <w:szCs w:val="28"/>
        </w:rPr>
        <w:t>、供应商一般情况表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6115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14:paraId="3A8A8BC5">
            <w:pPr>
              <w:tabs>
                <w:tab w:val="left" w:pos="993"/>
              </w:tabs>
              <w:spacing w:line="520" w:lineRule="exact"/>
              <w:jc w:val="center"/>
              <w:rPr>
                <w:rFonts w:ascii="宋体" w:hAnsi="宋体" w:cs="宋体"/>
                <w:sz w:val="24"/>
                <w:szCs w:val="24"/>
              </w:rPr>
            </w:pPr>
            <w:r>
              <w:rPr>
                <w:rFonts w:hint="eastAsia" w:ascii="宋体" w:hAnsi="宋体" w:cs="宋体"/>
                <w:sz w:val="24"/>
                <w:szCs w:val="24"/>
              </w:rPr>
              <w:t>企业名称</w:t>
            </w:r>
          </w:p>
        </w:tc>
        <w:tc>
          <w:tcPr>
            <w:tcW w:w="7229" w:type="dxa"/>
            <w:gridSpan w:val="8"/>
          </w:tcPr>
          <w:p w14:paraId="30031C85">
            <w:pPr>
              <w:tabs>
                <w:tab w:val="left" w:pos="993"/>
              </w:tabs>
              <w:spacing w:line="520" w:lineRule="exact"/>
              <w:rPr>
                <w:rFonts w:ascii="宋体" w:hAnsi="宋体" w:cs="宋体"/>
                <w:sz w:val="24"/>
                <w:szCs w:val="24"/>
              </w:rPr>
            </w:pPr>
          </w:p>
        </w:tc>
      </w:tr>
      <w:tr w14:paraId="1CE0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63C964C3">
            <w:pPr>
              <w:tabs>
                <w:tab w:val="left" w:pos="993"/>
              </w:tabs>
              <w:spacing w:line="520" w:lineRule="exact"/>
              <w:jc w:val="center"/>
              <w:rPr>
                <w:rFonts w:ascii="宋体" w:hAnsi="宋体" w:cs="宋体"/>
                <w:sz w:val="24"/>
                <w:szCs w:val="24"/>
              </w:rPr>
            </w:pPr>
            <w:r>
              <w:rPr>
                <w:rFonts w:hint="eastAsia" w:ascii="宋体" w:hAnsi="宋体" w:cs="宋体"/>
                <w:sz w:val="24"/>
                <w:szCs w:val="24"/>
              </w:rPr>
              <w:t>总部地址</w:t>
            </w:r>
          </w:p>
        </w:tc>
        <w:tc>
          <w:tcPr>
            <w:tcW w:w="7229" w:type="dxa"/>
            <w:gridSpan w:val="8"/>
          </w:tcPr>
          <w:p w14:paraId="66EC2603">
            <w:pPr>
              <w:tabs>
                <w:tab w:val="left" w:pos="993"/>
              </w:tabs>
              <w:spacing w:line="520" w:lineRule="exact"/>
              <w:rPr>
                <w:rFonts w:ascii="宋体" w:hAnsi="宋体" w:cs="宋体"/>
                <w:sz w:val="24"/>
                <w:szCs w:val="24"/>
              </w:rPr>
            </w:pPr>
          </w:p>
        </w:tc>
      </w:tr>
      <w:tr w14:paraId="2046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62BFFD5">
            <w:pPr>
              <w:tabs>
                <w:tab w:val="left" w:pos="993"/>
              </w:tabs>
              <w:spacing w:line="520" w:lineRule="exact"/>
              <w:jc w:val="center"/>
              <w:rPr>
                <w:rFonts w:ascii="宋体" w:hAnsi="宋体" w:cs="宋体"/>
                <w:sz w:val="24"/>
                <w:szCs w:val="24"/>
              </w:rPr>
            </w:pPr>
            <w:r>
              <w:rPr>
                <w:rFonts w:hint="eastAsia" w:ascii="宋体" w:hAnsi="宋体" w:cs="宋体"/>
                <w:sz w:val="24"/>
                <w:szCs w:val="24"/>
              </w:rPr>
              <w:t>分支机构</w:t>
            </w:r>
          </w:p>
        </w:tc>
        <w:tc>
          <w:tcPr>
            <w:tcW w:w="7229" w:type="dxa"/>
            <w:gridSpan w:val="8"/>
          </w:tcPr>
          <w:p w14:paraId="7EEC73F4">
            <w:pPr>
              <w:tabs>
                <w:tab w:val="left" w:pos="993"/>
              </w:tabs>
              <w:spacing w:line="520" w:lineRule="exact"/>
              <w:rPr>
                <w:rFonts w:ascii="宋体" w:hAnsi="宋体" w:cs="宋体"/>
                <w:sz w:val="24"/>
                <w:szCs w:val="24"/>
              </w:rPr>
            </w:pPr>
          </w:p>
        </w:tc>
      </w:tr>
      <w:tr w14:paraId="15BF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EC4DF11">
            <w:pPr>
              <w:tabs>
                <w:tab w:val="left" w:pos="993"/>
              </w:tabs>
              <w:spacing w:line="520" w:lineRule="exact"/>
              <w:jc w:val="center"/>
              <w:rPr>
                <w:rFonts w:ascii="宋体" w:hAnsi="宋体" w:cs="宋体"/>
                <w:sz w:val="24"/>
                <w:szCs w:val="24"/>
              </w:rPr>
            </w:pPr>
            <w:r>
              <w:rPr>
                <w:rFonts w:hint="eastAsia" w:ascii="宋体" w:hAnsi="宋体" w:cs="宋体"/>
                <w:sz w:val="24"/>
                <w:szCs w:val="24"/>
              </w:rPr>
              <w:t>当地代表处地址</w:t>
            </w:r>
          </w:p>
        </w:tc>
        <w:tc>
          <w:tcPr>
            <w:tcW w:w="7229" w:type="dxa"/>
            <w:gridSpan w:val="8"/>
          </w:tcPr>
          <w:p w14:paraId="64FCABA4">
            <w:pPr>
              <w:tabs>
                <w:tab w:val="left" w:pos="993"/>
              </w:tabs>
              <w:spacing w:line="520" w:lineRule="exact"/>
              <w:rPr>
                <w:rFonts w:ascii="宋体" w:hAnsi="宋体" w:cs="宋体"/>
                <w:sz w:val="24"/>
                <w:szCs w:val="24"/>
              </w:rPr>
            </w:pPr>
          </w:p>
        </w:tc>
      </w:tr>
      <w:tr w14:paraId="645F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6F9D6441">
            <w:pPr>
              <w:tabs>
                <w:tab w:val="left" w:pos="993"/>
              </w:tabs>
              <w:spacing w:line="520" w:lineRule="exact"/>
              <w:jc w:val="center"/>
              <w:rPr>
                <w:rFonts w:ascii="宋体" w:hAnsi="宋体" w:cs="宋体"/>
                <w:sz w:val="24"/>
                <w:szCs w:val="24"/>
              </w:rPr>
            </w:pPr>
            <w:r>
              <w:rPr>
                <w:rFonts w:hint="eastAsia" w:ascii="宋体" w:hAnsi="宋体" w:cs="宋体"/>
                <w:sz w:val="24"/>
                <w:szCs w:val="24"/>
              </w:rPr>
              <w:t>电话</w:t>
            </w:r>
          </w:p>
        </w:tc>
        <w:tc>
          <w:tcPr>
            <w:tcW w:w="2408" w:type="dxa"/>
            <w:gridSpan w:val="3"/>
          </w:tcPr>
          <w:p w14:paraId="7126B7B1">
            <w:pPr>
              <w:tabs>
                <w:tab w:val="left" w:pos="993"/>
              </w:tabs>
              <w:spacing w:line="520" w:lineRule="exact"/>
              <w:rPr>
                <w:rFonts w:ascii="宋体" w:hAnsi="宋体" w:cs="宋体"/>
                <w:sz w:val="24"/>
                <w:szCs w:val="24"/>
              </w:rPr>
            </w:pPr>
          </w:p>
        </w:tc>
        <w:tc>
          <w:tcPr>
            <w:tcW w:w="1875" w:type="dxa"/>
            <w:gridSpan w:val="2"/>
          </w:tcPr>
          <w:p w14:paraId="1D11CE2A">
            <w:pPr>
              <w:tabs>
                <w:tab w:val="left" w:pos="993"/>
              </w:tabs>
              <w:spacing w:line="520" w:lineRule="exact"/>
              <w:rPr>
                <w:rFonts w:ascii="宋体" w:hAnsi="宋体" w:cs="宋体"/>
                <w:sz w:val="24"/>
                <w:szCs w:val="24"/>
              </w:rPr>
            </w:pPr>
            <w:r>
              <w:rPr>
                <w:rFonts w:hint="eastAsia" w:ascii="宋体" w:hAnsi="宋体" w:cs="宋体"/>
                <w:sz w:val="24"/>
                <w:szCs w:val="24"/>
              </w:rPr>
              <w:t>联系人</w:t>
            </w:r>
          </w:p>
        </w:tc>
        <w:tc>
          <w:tcPr>
            <w:tcW w:w="2946" w:type="dxa"/>
            <w:gridSpan w:val="3"/>
          </w:tcPr>
          <w:p w14:paraId="0F29C6D7">
            <w:pPr>
              <w:tabs>
                <w:tab w:val="left" w:pos="993"/>
              </w:tabs>
              <w:spacing w:line="520" w:lineRule="exact"/>
              <w:rPr>
                <w:rFonts w:ascii="宋体" w:hAnsi="宋体" w:cs="宋体"/>
                <w:sz w:val="24"/>
                <w:szCs w:val="24"/>
              </w:rPr>
            </w:pPr>
          </w:p>
        </w:tc>
      </w:tr>
      <w:tr w14:paraId="1FC2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7B5C031C">
            <w:pPr>
              <w:tabs>
                <w:tab w:val="left" w:pos="993"/>
              </w:tabs>
              <w:spacing w:line="520" w:lineRule="exact"/>
              <w:jc w:val="center"/>
              <w:rPr>
                <w:rFonts w:ascii="宋体" w:hAnsi="宋体" w:cs="宋体"/>
                <w:sz w:val="24"/>
                <w:szCs w:val="24"/>
              </w:rPr>
            </w:pPr>
            <w:r>
              <w:rPr>
                <w:rFonts w:hint="eastAsia" w:ascii="宋体" w:hAnsi="宋体" w:cs="宋体"/>
                <w:sz w:val="24"/>
                <w:szCs w:val="24"/>
              </w:rPr>
              <w:t>传真</w:t>
            </w:r>
          </w:p>
        </w:tc>
        <w:tc>
          <w:tcPr>
            <w:tcW w:w="2408" w:type="dxa"/>
            <w:gridSpan w:val="3"/>
          </w:tcPr>
          <w:p w14:paraId="43F31005">
            <w:pPr>
              <w:tabs>
                <w:tab w:val="left" w:pos="993"/>
              </w:tabs>
              <w:spacing w:line="520" w:lineRule="exact"/>
              <w:rPr>
                <w:rFonts w:ascii="宋体" w:hAnsi="宋体" w:cs="宋体"/>
                <w:sz w:val="24"/>
                <w:szCs w:val="24"/>
              </w:rPr>
            </w:pPr>
          </w:p>
        </w:tc>
        <w:tc>
          <w:tcPr>
            <w:tcW w:w="1875" w:type="dxa"/>
            <w:gridSpan w:val="2"/>
          </w:tcPr>
          <w:p w14:paraId="033BA57F">
            <w:pPr>
              <w:tabs>
                <w:tab w:val="left" w:pos="993"/>
              </w:tabs>
              <w:spacing w:line="520" w:lineRule="exact"/>
              <w:rPr>
                <w:rFonts w:ascii="宋体" w:hAnsi="宋体" w:cs="宋体"/>
                <w:sz w:val="24"/>
                <w:szCs w:val="24"/>
              </w:rPr>
            </w:pPr>
            <w:r>
              <w:rPr>
                <w:rFonts w:hint="eastAsia" w:ascii="宋体" w:hAnsi="宋体" w:cs="宋体"/>
                <w:sz w:val="24"/>
                <w:szCs w:val="24"/>
              </w:rPr>
              <w:t>电子邮件</w:t>
            </w:r>
          </w:p>
        </w:tc>
        <w:tc>
          <w:tcPr>
            <w:tcW w:w="2946" w:type="dxa"/>
            <w:gridSpan w:val="3"/>
          </w:tcPr>
          <w:p w14:paraId="77C25E5C">
            <w:pPr>
              <w:tabs>
                <w:tab w:val="left" w:pos="993"/>
              </w:tabs>
              <w:spacing w:line="520" w:lineRule="exact"/>
              <w:rPr>
                <w:rFonts w:ascii="宋体" w:hAnsi="宋体" w:cs="宋体"/>
                <w:sz w:val="24"/>
                <w:szCs w:val="24"/>
              </w:rPr>
            </w:pPr>
          </w:p>
        </w:tc>
      </w:tr>
      <w:tr w14:paraId="5366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7EB68FCE">
            <w:pPr>
              <w:tabs>
                <w:tab w:val="left" w:pos="993"/>
              </w:tabs>
              <w:spacing w:line="520" w:lineRule="exact"/>
              <w:jc w:val="center"/>
              <w:rPr>
                <w:rFonts w:ascii="宋体" w:hAnsi="宋体" w:cs="宋体"/>
                <w:sz w:val="24"/>
                <w:szCs w:val="24"/>
              </w:rPr>
            </w:pPr>
            <w:r>
              <w:rPr>
                <w:rFonts w:hint="eastAsia" w:ascii="宋体" w:hAnsi="宋体" w:cs="宋体"/>
                <w:sz w:val="24"/>
                <w:szCs w:val="24"/>
              </w:rPr>
              <w:t>注册地</w:t>
            </w:r>
          </w:p>
        </w:tc>
        <w:tc>
          <w:tcPr>
            <w:tcW w:w="2408" w:type="dxa"/>
            <w:gridSpan w:val="3"/>
          </w:tcPr>
          <w:p w14:paraId="1D2BFCF0">
            <w:pPr>
              <w:tabs>
                <w:tab w:val="left" w:pos="993"/>
              </w:tabs>
              <w:spacing w:line="520" w:lineRule="exact"/>
              <w:rPr>
                <w:rFonts w:ascii="宋体" w:hAnsi="宋体" w:cs="宋体"/>
                <w:sz w:val="24"/>
                <w:szCs w:val="24"/>
              </w:rPr>
            </w:pPr>
          </w:p>
        </w:tc>
        <w:tc>
          <w:tcPr>
            <w:tcW w:w="1875" w:type="dxa"/>
            <w:gridSpan w:val="2"/>
          </w:tcPr>
          <w:p w14:paraId="3806517D">
            <w:pPr>
              <w:tabs>
                <w:tab w:val="left" w:pos="993"/>
              </w:tabs>
              <w:spacing w:line="520" w:lineRule="exact"/>
              <w:rPr>
                <w:rFonts w:ascii="宋体" w:hAnsi="宋体" w:cs="宋体"/>
                <w:sz w:val="24"/>
                <w:szCs w:val="24"/>
              </w:rPr>
            </w:pPr>
            <w:r>
              <w:rPr>
                <w:rFonts w:hint="eastAsia" w:ascii="宋体" w:hAnsi="宋体" w:cs="宋体"/>
                <w:sz w:val="24"/>
                <w:szCs w:val="24"/>
              </w:rPr>
              <w:t>注册年份</w:t>
            </w:r>
          </w:p>
        </w:tc>
        <w:tc>
          <w:tcPr>
            <w:tcW w:w="2946" w:type="dxa"/>
            <w:gridSpan w:val="3"/>
          </w:tcPr>
          <w:p w14:paraId="5D90E163">
            <w:pPr>
              <w:tabs>
                <w:tab w:val="left" w:pos="993"/>
              </w:tabs>
              <w:spacing w:line="520" w:lineRule="exact"/>
              <w:rPr>
                <w:rFonts w:ascii="宋体" w:hAnsi="宋体" w:cs="宋体"/>
                <w:sz w:val="24"/>
                <w:szCs w:val="24"/>
              </w:rPr>
            </w:pPr>
          </w:p>
        </w:tc>
      </w:tr>
      <w:tr w14:paraId="7B70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3C786FDA">
            <w:pPr>
              <w:tabs>
                <w:tab w:val="left" w:pos="993"/>
              </w:tabs>
              <w:spacing w:line="520" w:lineRule="exact"/>
              <w:jc w:val="center"/>
              <w:rPr>
                <w:rFonts w:ascii="宋体" w:hAnsi="宋体" w:cs="宋体"/>
                <w:sz w:val="24"/>
                <w:szCs w:val="24"/>
              </w:rPr>
            </w:pPr>
            <w:r>
              <w:rPr>
                <w:rFonts w:hint="eastAsia" w:ascii="宋体" w:hAnsi="宋体" w:cs="宋体"/>
                <w:sz w:val="24"/>
                <w:szCs w:val="24"/>
              </w:rPr>
              <w:t>资质等级</w:t>
            </w:r>
          </w:p>
        </w:tc>
        <w:tc>
          <w:tcPr>
            <w:tcW w:w="7229" w:type="dxa"/>
            <w:gridSpan w:val="8"/>
          </w:tcPr>
          <w:p w14:paraId="17DD1AA8">
            <w:pPr>
              <w:tabs>
                <w:tab w:val="left" w:pos="993"/>
              </w:tabs>
              <w:spacing w:line="520" w:lineRule="exact"/>
              <w:rPr>
                <w:rFonts w:ascii="宋体" w:hAnsi="宋体" w:cs="宋体"/>
                <w:sz w:val="24"/>
                <w:szCs w:val="24"/>
              </w:rPr>
            </w:pPr>
            <w:r>
              <w:rPr>
                <w:rFonts w:hint="eastAsia" w:ascii="宋体" w:hAnsi="宋体" w:cs="宋体"/>
                <w:sz w:val="24"/>
                <w:szCs w:val="24"/>
              </w:rPr>
              <w:t>公司具备的相关资质等级及相应的证书号</w:t>
            </w:r>
          </w:p>
          <w:p w14:paraId="3C5BEE55">
            <w:pPr>
              <w:tabs>
                <w:tab w:val="left" w:pos="993"/>
              </w:tabs>
              <w:spacing w:line="520" w:lineRule="exact"/>
              <w:rPr>
                <w:rFonts w:ascii="宋体" w:hAnsi="宋体" w:cs="宋体"/>
                <w:sz w:val="24"/>
                <w:szCs w:val="24"/>
              </w:rPr>
            </w:pPr>
            <w:r>
              <w:rPr>
                <w:rFonts w:hint="eastAsia" w:ascii="宋体" w:hAnsi="宋体" w:cs="宋体"/>
                <w:sz w:val="24"/>
                <w:szCs w:val="24"/>
              </w:rPr>
              <w:t>（请附有关证书的复印件）</w:t>
            </w:r>
          </w:p>
        </w:tc>
      </w:tr>
      <w:tr w14:paraId="27E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6BCD8CE8">
            <w:pPr>
              <w:tabs>
                <w:tab w:val="left" w:pos="993"/>
              </w:tabs>
              <w:spacing w:line="520" w:lineRule="exact"/>
              <w:jc w:val="center"/>
              <w:rPr>
                <w:rFonts w:ascii="宋体" w:hAnsi="宋体" w:cs="宋体"/>
                <w:sz w:val="24"/>
                <w:szCs w:val="24"/>
              </w:rPr>
            </w:pPr>
            <w:r>
              <w:rPr>
                <w:rFonts w:hint="eastAsia" w:ascii="宋体" w:hAnsi="宋体" w:cs="宋体"/>
                <w:sz w:val="24"/>
                <w:szCs w:val="24"/>
              </w:rPr>
              <w:t>质量管理体系</w:t>
            </w:r>
          </w:p>
        </w:tc>
        <w:tc>
          <w:tcPr>
            <w:tcW w:w="7229" w:type="dxa"/>
            <w:gridSpan w:val="8"/>
          </w:tcPr>
          <w:p w14:paraId="3F5831B8">
            <w:pPr>
              <w:tabs>
                <w:tab w:val="left" w:pos="993"/>
              </w:tabs>
              <w:spacing w:line="520" w:lineRule="exact"/>
              <w:rPr>
                <w:rFonts w:ascii="宋体" w:hAnsi="宋体" w:cs="宋体"/>
                <w:sz w:val="24"/>
                <w:szCs w:val="24"/>
              </w:rPr>
            </w:pPr>
            <w:r>
              <w:rPr>
                <w:rFonts w:hint="eastAsia" w:ascii="宋体" w:hAnsi="宋体" w:cs="宋体"/>
                <w:sz w:val="24"/>
                <w:szCs w:val="24"/>
              </w:rPr>
              <w:t>公司</w:t>
            </w:r>
            <w:r>
              <w:rPr>
                <w:rFonts w:hint="eastAsia" w:ascii="宋体" w:hAnsi="宋体" w:cs="宋体"/>
                <w:sz w:val="24"/>
                <w:szCs w:val="24"/>
                <w:u w:val="single"/>
              </w:rPr>
              <w:t xml:space="preserve">   （是否通过，何种）   </w:t>
            </w:r>
            <w:r>
              <w:rPr>
                <w:rFonts w:hint="eastAsia" w:ascii="宋体" w:hAnsi="宋体" w:cs="宋体"/>
                <w:sz w:val="24"/>
                <w:szCs w:val="24"/>
              </w:rPr>
              <w:t>质量保证体系认证（如通过请附相关在有效期内的证书复印件）</w:t>
            </w:r>
          </w:p>
        </w:tc>
      </w:tr>
      <w:tr w14:paraId="602B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1BC366A8">
            <w:pPr>
              <w:tabs>
                <w:tab w:val="left" w:pos="993"/>
              </w:tabs>
              <w:spacing w:line="520" w:lineRule="exact"/>
              <w:jc w:val="center"/>
              <w:rPr>
                <w:rFonts w:ascii="宋体" w:hAnsi="宋体" w:cs="宋体"/>
                <w:sz w:val="24"/>
                <w:szCs w:val="24"/>
              </w:rPr>
            </w:pPr>
            <w:r>
              <w:rPr>
                <w:rFonts w:hint="eastAsia" w:ascii="宋体" w:hAnsi="宋体" w:cs="宋体"/>
                <w:sz w:val="24"/>
                <w:szCs w:val="24"/>
              </w:rPr>
              <w:t>项目负责人</w:t>
            </w:r>
          </w:p>
        </w:tc>
        <w:tc>
          <w:tcPr>
            <w:tcW w:w="1559" w:type="dxa"/>
            <w:gridSpan w:val="2"/>
          </w:tcPr>
          <w:p w14:paraId="5FA551FC">
            <w:pPr>
              <w:tabs>
                <w:tab w:val="left" w:pos="993"/>
              </w:tabs>
              <w:spacing w:line="520" w:lineRule="exact"/>
              <w:jc w:val="center"/>
              <w:rPr>
                <w:rFonts w:ascii="宋体" w:hAnsi="宋体" w:cs="宋体"/>
                <w:sz w:val="24"/>
                <w:szCs w:val="24"/>
              </w:rPr>
            </w:pPr>
          </w:p>
        </w:tc>
        <w:tc>
          <w:tcPr>
            <w:tcW w:w="1417" w:type="dxa"/>
            <w:gridSpan w:val="2"/>
          </w:tcPr>
          <w:p w14:paraId="07D172BB">
            <w:pPr>
              <w:tabs>
                <w:tab w:val="left" w:pos="993"/>
              </w:tabs>
              <w:spacing w:line="520" w:lineRule="exact"/>
              <w:jc w:val="center"/>
              <w:rPr>
                <w:rFonts w:ascii="宋体" w:hAnsi="宋体" w:cs="宋体"/>
                <w:sz w:val="24"/>
                <w:szCs w:val="24"/>
              </w:rPr>
            </w:pPr>
            <w:r>
              <w:rPr>
                <w:rFonts w:hint="eastAsia" w:ascii="宋体" w:hAnsi="宋体" w:cs="宋体"/>
                <w:sz w:val="24"/>
                <w:szCs w:val="24"/>
              </w:rPr>
              <w:t>年龄</w:t>
            </w:r>
          </w:p>
        </w:tc>
        <w:tc>
          <w:tcPr>
            <w:tcW w:w="1466" w:type="dxa"/>
            <w:gridSpan w:val="2"/>
          </w:tcPr>
          <w:p w14:paraId="3AEAB3D5">
            <w:pPr>
              <w:tabs>
                <w:tab w:val="left" w:pos="993"/>
              </w:tabs>
              <w:spacing w:line="520" w:lineRule="exact"/>
              <w:jc w:val="center"/>
              <w:rPr>
                <w:rFonts w:ascii="宋体" w:hAnsi="宋体" w:cs="宋体"/>
                <w:sz w:val="24"/>
                <w:szCs w:val="24"/>
              </w:rPr>
            </w:pPr>
          </w:p>
        </w:tc>
        <w:tc>
          <w:tcPr>
            <w:tcW w:w="1320" w:type="dxa"/>
          </w:tcPr>
          <w:p w14:paraId="2B2BF94F">
            <w:pPr>
              <w:tabs>
                <w:tab w:val="left" w:pos="993"/>
              </w:tabs>
              <w:spacing w:line="520" w:lineRule="exact"/>
              <w:jc w:val="center"/>
              <w:rPr>
                <w:rFonts w:ascii="宋体" w:hAnsi="宋体" w:cs="宋体"/>
                <w:sz w:val="24"/>
                <w:szCs w:val="24"/>
              </w:rPr>
            </w:pPr>
            <w:r>
              <w:rPr>
                <w:rFonts w:hint="eastAsia" w:ascii="宋体" w:hAnsi="宋体" w:cs="宋体"/>
                <w:sz w:val="24"/>
                <w:szCs w:val="24"/>
              </w:rPr>
              <w:t>性别</w:t>
            </w:r>
          </w:p>
        </w:tc>
        <w:tc>
          <w:tcPr>
            <w:tcW w:w="1467" w:type="dxa"/>
          </w:tcPr>
          <w:p w14:paraId="637EC7D5">
            <w:pPr>
              <w:tabs>
                <w:tab w:val="left" w:pos="993"/>
              </w:tabs>
              <w:spacing w:line="520" w:lineRule="exact"/>
              <w:jc w:val="center"/>
              <w:rPr>
                <w:rFonts w:ascii="宋体" w:hAnsi="宋体" w:cs="宋体"/>
                <w:sz w:val="24"/>
                <w:szCs w:val="24"/>
              </w:rPr>
            </w:pPr>
          </w:p>
        </w:tc>
      </w:tr>
      <w:tr w14:paraId="4535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3F2FAFCA">
            <w:pPr>
              <w:tabs>
                <w:tab w:val="left" w:pos="993"/>
              </w:tabs>
              <w:spacing w:line="520" w:lineRule="exact"/>
              <w:jc w:val="center"/>
              <w:rPr>
                <w:rFonts w:ascii="宋体" w:hAnsi="宋体" w:cs="宋体"/>
                <w:sz w:val="24"/>
                <w:szCs w:val="24"/>
              </w:rPr>
            </w:pPr>
            <w:r>
              <w:rPr>
                <w:rFonts w:hint="eastAsia" w:ascii="宋体" w:hAnsi="宋体" w:cs="宋体"/>
                <w:sz w:val="24"/>
                <w:szCs w:val="24"/>
              </w:rPr>
              <w:t>职务职称</w:t>
            </w:r>
          </w:p>
        </w:tc>
        <w:tc>
          <w:tcPr>
            <w:tcW w:w="2976" w:type="dxa"/>
            <w:gridSpan w:val="4"/>
          </w:tcPr>
          <w:p w14:paraId="790B864B">
            <w:pPr>
              <w:tabs>
                <w:tab w:val="left" w:pos="993"/>
              </w:tabs>
              <w:spacing w:line="520" w:lineRule="exact"/>
              <w:rPr>
                <w:rFonts w:ascii="宋体" w:hAnsi="宋体" w:cs="宋体"/>
                <w:sz w:val="24"/>
                <w:szCs w:val="24"/>
              </w:rPr>
            </w:pPr>
          </w:p>
        </w:tc>
        <w:tc>
          <w:tcPr>
            <w:tcW w:w="1466" w:type="dxa"/>
            <w:gridSpan w:val="2"/>
          </w:tcPr>
          <w:p w14:paraId="133BB7B7">
            <w:pPr>
              <w:tabs>
                <w:tab w:val="left" w:pos="993"/>
              </w:tabs>
              <w:spacing w:line="520" w:lineRule="exact"/>
              <w:rPr>
                <w:rFonts w:ascii="宋体" w:hAnsi="宋体" w:cs="宋体"/>
                <w:sz w:val="24"/>
                <w:szCs w:val="24"/>
              </w:rPr>
            </w:pPr>
            <w:r>
              <w:rPr>
                <w:rFonts w:hint="eastAsia" w:ascii="宋体" w:hAnsi="宋体" w:cs="宋体"/>
                <w:sz w:val="24"/>
                <w:szCs w:val="24"/>
              </w:rPr>
              <w:t>执业资格</w:t>
            </w:r>
          </w:p>
        </w:tc>
        <w:tc>
          <w:tcPr>
            <w:tcW w:w="2787" w:type="dxa"/>
            <w:gridSpan w:val="2"/>
          </w:tcPr>
          <w:p w14:paraId="25A2F50B">
            <w:pPr>
              <w:tabs>
                <w:tab w:val="left" w:pos="993"/>
              </w:tabs>
              <w:spacing w:line="520" w:lineRule="exact"/>
              <w:rPr>
                <w:rFonts w:ascii="宋体" w:hAnsi="宋体" w:cs="宋体"/>
                <w:sz w:val="24"/>
                <w:szCs w:val="24"/>
              </w:rPr>
            </w:pPr>
          </w:p>
        </w:tc>
      </w:tr>
      <w:tr w14:paraId="20F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14:paraId="586C9979">
            <w:pPr>
              <w:tabs>
                <w:tab w:val="left" w:pos="993"/>
              </w:tabs>
              <w:spacing w:line="520" w:lineRule="exact"/>
              <w:jc w:val="center"/>
              <w:rPr>
                <w:rFonts w:ascii="宋体" w:hAnsi="宋体" w:cs="宋体"/>
                <w:sz w:val="24"/>
                <w:szCs w:val="24"/>
              </w:rPr>
            </w:pPr>
            <w:r>
              <w:rPr>
                <w:rFonts w:hint="eastAsia" w:ascii="宋体" w:hAnsi="宋体" w:cs="宋体"/>
                <w:sz w:val="24"/>
                <w:szCs w:val="24"/>
              </w:rPr>
              <w:t>经营范围</w:t>
            </w:r>
          </w:p>
        </w:tc>
        <w:tc>
          <w:tcPr>
            <w:tcW w:w="7229" w:type="dxa"/>
            <w:gridSpan w:val="8"/>
          </w:tcPr>
          <w:p w14:paraId="48097F3A">
            <w:pPr>
              <w:tabs>
                <w:tab w:val="left" w:pos="993"/>
              </w:tabs>
              <w:spacing w:line="520" w:lineRule="exact"/>
              <w:rPr>
                <w:rFonts w:ascii="宋体" w:hAnsi="宋体" w:cs="宋体"/>
                <w:sz w:val="24"/>
                <w:szCs w:val="24"/>
              </w:rPr>
            </w:pPr>
            <w:r>
              <w:rPr>
                <w:rFonts w:hint="eastAsia" w:ascii="宋体" w:hAnsi="宋体" w:cs="宋体"/>
                <w:sz w:val="24"/>
                <w:szCs w:val="24"/>
              </w:rPr>
              <w:t>营业执照载明：</w:t>
            </w:r>
          </w:p>
          <w:p w14:paraId="6699C84C">
            <w:pPr>
              <w:tabs>
                <w:tab w:val="left" w:pos="993"/>
              </w:tabs>
              <w:spacing w:line="520" w:lineRule="exact"/>
              <w:rPr>
                <w:rFonts w:ascii="宋体" w:hAnsi="宋体" w:cs="宋体"/>
                <w:sz w:val="24"/>
                <w:szCs w:val="24"/>
                <w:u w:val="single"/>
              </w:rPr>
            </w:pPr>
            <w:r>
              <w:rPr>
                <w:rFonts w:hint="eastAsia" w:ascii="宋体" w:hAnsi="宋体" w:cs="宋体"/>
                <w:sz w:val="24"/>
                <w:szCs w:val="24"/>
              </w:rPr>
              <w:t>1.</w:t>
            </w:r>
          </w:p>
          <w:p w14:paraId="26285038">
            <w:pPr>
              <w:tabs>
                <w:tab w:val="left" w:pos="993"/>
              </w:tabs>
              <w:spacing w:line="520" w:lineRule="exact"/>
              <w:rPr>
                <w:rFonts w:ascii="宋体" w:hAnsi="宋体" w:cs="宋体"/>
                <w:sz w:val="24"/>
                <w:szCs w:val="24"/>
                <w:u w:val="single"/>
              </w:rPr>
            </w:pPr>
            <w:r>
              <w:rPr>
                <w:rFonts w:hint="eastAsia" w:ascii="宋体" w:hAnsi="宋体" w:cs="宋体"/>
                <w:sz w:val="24"/>
                <w:szCs w:val="24"/>
              </w:rPr>
              <w:t>2.</w:t>
            </w:r>
          </w:p>
          <w:p w14:paraId="3CDE8AB6">
            <w:pPr>
              <w:tabs>
                <w:tab w:val="left" w:pos="993"/>
              </w:tabs>
              <w:spacing w:line="520" w:lineRule="exact"/>
              <w:rPr>
                <w:rFonts w:ascii="宋体" w:hAnsi="宋体" w:cs="宋体"/>
                <w:sz w:val="24"/>
                <w:szCs w:val="24"/>
                <w:u w:val="single"/>
              </w:rPr>
            </w:pPr>
            <w:r>
              <w:rPr>
                <w:rFonts w:hint="eastAsia" w:ascii="宋体" w:hAnsi="宋体" w:cs="宋体"/>
                <w:sz w:val="24"/>
                <w:szCs w:val="24"/>
              </w:rPr>
              <w:t>3.</w:t>
            </w:r>
          </w:p>
          <w:p w14:paraId="3E734FAE">
            <w:pPr>
              <w:tabs>
                <w:tab w:val="left" w:pos="993"/>
              </w:tabs>
              <w:spacing w:line="520" w:lineRule="exact"/>
              <w:rPr>
                <w:rFonts w:ascii="宋体" w:hAnsi="宋体" w:cs="宋体"/>
                <w:sz w:val="24"/>
                <w:szCs w:val="24"/>
              </w:rPr>
            </w:pPr>
            <w:r>
              <w:rPr>
                <w:rFonts w:hint="eastAsia" w:ascii="宋体" w:hAnsi="宋体" w:cs="宋体"/>
                <w:sz w:val="24"/>
                <w:szCs w:val="24"/>
              </w:rPr>
              <w:t>………………………</w:t>
            </w:r>
          </w:p>
        </w:tc>
      </w:tr>
      <w:tr w14:paraId="6FF9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79C7021E">
            <w:pPr>
              <w:tabs>
                <w:tab w:val="left" w:pos="993"/>
              </w:tabs>
              <w:spacing w:line="520" w:lineRule="exact"/>
              <w:rPr>
                <w:rFonts w:ascii="宋体" w:hAnsi="宋体" w:cs="宋体"/>
                <w:sz w:val="24"/>
                <w:szCs w:val="24"/>
              </w:rPr>
            </w:pPr>
            <w:r>
              <w:rPr>
                <w:rFonts w:hint="eastAsia" w:ascii="宋体" w:hAnsi="宋体" w:cs="宋体"/>
                <w:sz w:val="24"/>
                <w:szCs w:val="24"/>
              </w:rPr>
              <w:t>从事类似相关项目的经历及年数</w:t>
            </w:r>
          </w:p>
        </w:tc>
        <w:tc>
          <w:tcPr>
            <w:tcW w:w="6521" w:type="dxa"/>
            <w:gridSpan w:val="7"/>
          </w:tcPr>
          <w:p w14:paraId="79431FBE">
            <w:pPr>
              <w:tabs>
                <w:tab w:val="left" w:pos="993"/>
              </w:tabs>
              <w:spacing w:line="520" w:lineRule="exact"/>
              <w:rPr>
                <w:rFonts w:ascii="宋体" w:hAnsi="宋体" w:cs="宋体"/>
                <w:sz w:val="24"/>
                <w:szCs w:val="24"/>
              </w:rPr>
            </w:pPr>
          </w:p>
        </w:tc>
      </w:tr>
      <w:tr w14:paraId="3C68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39FEFA43">
            <w:pPr>
              <w:tabs>
                <w:tab w:val="left" w:pos="993"/>
              </w:tabs>
              <w:spacing w:line="520" w:lineRule="exact"/>
              <w:rPr>
                <w:rFonts w:ascii="宋体" w:hAnsi="宋体" w:cs="宋体"/>
                <w:sz w:val="24"/>
                <w:szCs w:val="24"/>
              </w:rPr>
            </w:pPr>
            <w:r>
              <w:rPr>
                <w:rFonts w:hint="eastAsia" w:ascii="宋体" w:hAnsi="宋体" w:cs="宋体"/>
                <w:sz w:val="24"/>
                <w:szCs w:val="24"/>
              </w:rPr>
              <w:t>其他认为有必要提供的内容，可自行添加</w:t>
            </w:r>
          </w:p>
        </w:tc>
        <w:tc>
          <w:tcPr>
            <w:tcW w:w="6521" w:type="dxa"/>
            <w:gridSpan w:val="7"/>
          </w:tcPr>
          <w:p w14:paraId="4B526464">
            <w:pPr>
              <w:tabs>
                <w:tab w:val="left" w:pos="993"/>
              </w:tabs>
              <w:spacing w:line="520" w:lineRule="exact"/>
              <w:rPr>
                <w:rFonts w:ascii="宋体" w:hAnsi="宋体" w:cs="宋体"/>
                <w:sz w:val="24"/>
                <w:szCs w:val="24"/>
              </w:rPr>
            </w:pPr>
          </w:p>
        </w:tc>
      </w:tr>
    </w:tbl>
    <w:p w14:paraId="43DF1AE3">
      <w:pPr>
        <w:snapToGrid w:val="0"/>
        <w:spacing w:line="520" w:lineRule="exact"/>
        <w:rPr>
          <w:rFonts w:ascii="宋体" w:hAns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 xml:space="preserve">：（盖章）             </w:t>
      </w:r>
    </w:p>
    <w:p w14:paraId="3D1B6737">
      <w:pPr>
        <w:snapToGrid w:val="0"/>
        <w:spacing w:line="520" w:lineRule="exact"/>
        <w:rPr>
          <w:rFonts w:ascii="宋体" w:hAnsi="宋体" w:cs="宋体"/>
          <w:bCs/>
          <w:sz w:val="24"/>
          <w:szCs w:val="24"/>
        </w:rPr>
      </w:pPr>
      <w:r>
        <w:rPr>
          <w:rFonts w:hint="eastAsia" w:ascii="宋体" w:hAnsi="宋体" w:cs="宋体"/>
          <w:bCs/>
          <w:sz w:val="24"/>
          <w:szCs w:val="24"/>
        </w:rPr>
        <w:t xml:space="preserve">法定代表人或被授权人（签字或盖章）：  </w:t>
      </w:r>
    </w:p>
    <w:p w14:paraId="2D6797DC">
      <w:pPr>
        <w:snapToGrid w:val="0"/>
        <w:spacing w:line="520" w:lineRule="exact"/>
        <w:rPr>
          <w:rFonts w:ascii="宋体" w:hAnsi="宋体" w:cs="宋体"/>
          <w:bCs/>
          <w:sz w:val="24"/>
          <w:szCs w:val="24"/>
        </w:rPr>
      </w:pPr>
      <w:r>
        <w:rPr>
          <w:rFonts w:hint="eastAsia" w:ascii="宋体" w:hAnsi="宋体" w:cs="宋体"/>
          <w:bCs/>
          <w:sz w:val="24"/>
          <w:szCs w:val="24"/>
        </w:rPr>
        <w:t>日期：</w:t>
      </w:r>
    </w:p>
    <w:p w14:paraId="72FBB76D">
      <w:pPr>
        <w:adjustRightInd w:val="0"/>
        <w:snapToGrid w:val="0"/>
        <w:spacing w:line="500" w:lineRule="exact"/>
        <w:jc w:val="center"/>
        <w:rPr>
          <w:rFonts w:ascii="宋体" w:hAnsi="宋体" w:cs="宋体"/>
          <w:b/>
          <w:bCs/>
          <w:sz w:val="28"/>
          <w:szCs w:val="28"/>
        </w:rPr>
      </w:pPr>
      <w:r>
        <w:rPr>
          <w:rFonts w:hint="eastAsia" w:ascii="宋体" w:hAnsi="宋体" w:cs="宋体"/>
          <w:b/>
          <w:bCs/>
          <w:sz w:val="28"/>
          <w:szCs w:val="28"/>
        </w:rPr>
        <w:t>8、</w:t>
      </w:r>
      <w:r>
        <w:rPr>
          <w:rFonts w:hint="eastAsia" w:ascii="宋体" w:hAnsi="宋体" w:cs="宋体"/>
          <w:b/>
          <w:sz w:val="28"/>
          <w:szCs w:val="28"/>
        </w:rPr>
        <w:t>磋商响应报价总表</w:t>
      </w:r>
    </w:p>
    <w:p w14:paraId="42E634CE">
      <w:pPr>
        <w:snapToGrid w:val="0"/>
        <w:spacing w:line="360" w:lineRule="auto"/>
        <w:jc w:val="left"/>
        <w:rPr>
          <w:rFonts w:ascii="宋体" w:hAnsi="宋体" w:cs="宋体"/>
          <w:sz w:val="24"/>
          <w:szCs w:val="24"/>
          <w:u w:val="single"/>
        </w:rPr>
      </w:pPr>
      <w:r>
        <w:rPr>
          <w:rFonts w:hint="eastAsia" w:ascii="宋体" w:hAnsi="宋体" w:cs="宋体"/>
          <w:sz w:val="24"/>
          <w:szCs w:val="24"/>
          <w:u w:val="single"/>
        </w:rPr>
        <w:t>南通市文化广电和旅游局:</w:t>
      </w:r>
    </w:p>
    <w:p w14:paraId="218C0A5A">
      <w:pPr>
        <w:spacing w:line="360" w:lineRule="auto"/>
        <w:ind w:firstLine="480" w:firstLineChars="200"/>
        <w:jc w:val="left"/>
        <w:rPr>
          <w:rFonts w:ascii="宋体" w:hAnsi="宋体"/>
          <w:sz w:val="24"/>
          <w:szCs w:val="24"/>
        </w:rPr>
      </w:pPr>
      <w:r>
        <w:rPr>
          <w:rFonts w:hint="eastAsia" w:ascii="宋体" w:hAnsi="宋体"/>
          <w:sz w:val="24"/>
          <w:szCs w:val="24"/>
        </w:rPr>
        <w:t>1、我方已仔细研究了</w:t>
      </w:r>
      <w:r>
        <w:rPr>
          <w:rFonts w:hint="eastAsia" w:ascii="宋体" w:hAnsi="宋体" w:cs="宋体"/>
          <w:sz w:val="24"/>
          <w:szCs w:val="24"/>
          <w:u w:val="single"/>
        </w:rPr>
        <w:t>南通市文广旅系统消防安全技术与事务第三方服务项目</w:t>
      </w:r>
      <w:r>
        <w:rPr>
          <w:rFonts w:hint="eastAsia" w:ascii="宋体" w:hAnsi="宋体"/>
          <w:sz w:val="24"/>
          <w:szCs w:val="24"/>
        </w:rPr>
        <w:t>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608625A5">
      <w:pPr>
        <w:spacing w:line="360" w:lineRule="auto"/>
        <w:jc w:val="left"/>
        <w:rPr>
          <w:rFonts w:ascii="宋体" w:hAnsi="宋体"/>
          <w:sz w:val="24"/>
          <w:szCs w:val="24"/>
        </w:rPr>
      </w:pPr>
      <w:r>
        <w:rPr>
          <w:rFonts w:hint="eastAsia" w:ascii="宋体" w:hAnsi="宋体"/>
          <w:sz w:val="24"/>
          <w:szCs w:val="24"/>
        </w:rPr>
        <w:t>磋商报价总计（首次）：¥</w:t>
      </w:r>
      <w:r>
        <w:rPr>
          <w:rFonts w:hint="eastAsia" w:ascii="宋体" w:hAnsi="宋体" w:cs="宋体"/>
          <w:sz w:val="24"/>
          <w:szCs w:val="24"/>
          <w:u w:val="single"/>
        </w:rPr>
        <w:t xml:space="preserve">     　　</w:t>
      </w:r>
      <w:r>
        <w:rPr>
          <w:rFonts w:hint="eastAsia" w:ascii="宋体" w:hAnsi="宋体"/>
          <w:sz w:val="24"/>
          <w:szCs w:val="24"/>
        </w:rPr>
        <w:t>元，大写：人民币</w:t>
      </w:r>
      <w:r>
        <w:rPr>
          <w:rFonts w:hint="eastAsia" w:ascii="宋体" w:hAnsi="宋体" w:cs="宋体"/>
          <w:sz w:val="24"/>
          <w:szCs w:val="24"/>
          <w:u w:val="single"/>
        </w:rPr>
        <w:t xml:space="preserve">                        　　</w:t>
      </w:r>
      <w:r>
        <w:rPr>
          <w:rFonts w:hint="eastAsia" w:ascii="宋体" w:hAnsi="宋体"/>
          <w:sz w:val="24"/>
          <w:szCs w:val="24"/>
        </w:rPr>
        <w:t xml:space="preserve"> ；</w:t>
      </w:r>
    </w:p>
    <w:p w14:paraId="43A6ED1A">
      <w:pPr>
        <w:spacing w:line="360" w:lineRule="auto"/>
        <w:jc w:val="left"/>
        <w:rPr>
          <w:rFonts w:ascii="宋体" w:hAnsi="宋体" w:cs="宋体"/>
          <w:sz w:val="24"/>
          <w:szCs w:val="24"/>
        </w:rPr>
      </w:pPr>
      <w:r>
        <w:rPr>
          <w:rFonts w:hint="eastAsia" w:ascii="宋体" w:hAnsi="宋体"/>
          <w:sz w:val="24"/>
          <w:szCs w:val="24"/>
        </w:rPr>
        <w:t>现场第二次报价（最终）</w:t>
      </w:r>
      <w:r>
        <w:rPr>
          <w:rFonts w:hint="eastAsia" w:ascii="宋体" w:hAnsi="宋体" w:cs="宋体"/>
          <w:sz w:val="24"/>
          <w:szCs w:val="24"/>
        </w:rPr>
        <w:t>：</w:t>
      </w:r>
      <w:r>
        <w:rPr>
          <w:rFonts w:hint="eastAsia" w:ascii="宋体" w:hAnsi="宋体"/>
          <w:sz w:val="24"/>
          <w:szCs w:val="24"/>
        </w:rPr>
        <w:t>¥</w:t>
      </w:r>
      <w:r>
        <w:rPr>
          <w:rFonts w:hint="eastAsia" w:ascii="宋体" w:hAnsi="宋体" w:cs="宋体"/>
          <w:sz w:val="24"/>
          <w:szCs w:val="24"/>
          <w:u w:val="single"/>
        </w:rPr>
        <w:t xml:space="preserve">     　　</w:t>
      </w:r>
      <w:r>
        <w:rPr>
          <w:rFonts w:hint="eastAsia" w:ascii="宋体" w:hAnsi="宋体"/>
          <w:sz w:val="24"/>
          <w:szCs w:val="24"/>
        </w:rPr>
        <w:t>元，大写：人民币</w:t>
      </w:r>
      <w:r>
        <w:rPr>
          <w:rFonts w:hint="eastAsia" w:ascii="宋体" w:hAnsi="宋体" w:cs="宋体"/>
          <w:sz w:val="24"/>
          <w:szCs w:val="24"/>
          <w:u w:val="single"/>
        </w:rPr>
        <w:t xml:space="preserve">                        　　</w:t>
      </w:r>
      <w:r>
        <w:rPr>
          <w:rFonts w:hint="eastAsia" w:ascii="宋体" w:hAnsi="宋体"/>
          <w:sz w:val="24"/>
          <w:szCs w:val="24"/>
        </w:rPr>
        <w:t xml:space="preserve"> 。</w:t>
      </w:r>
    </w:p>
    <w:p w14:paraId="0B7A5D1E">
      <w:pPr>
        <w:snapToGrid w:val="0"/>
        <w:spacing w:line="520" w:lineRule="exact"/>
        <w:ind w:firstLine="496" w:firstLineChars="206"/>
        <w:rPr>
          <w:rFonts w:ascii="宋体" w:hAnsi="宋体" w:cs="宋体"/>
          <w:b/>
          <w:sz w:val="24"/>
          <w:szCs w:val="24"/>
        </w:rPr>
      </w:pPr>
      <w:r>
        <w:rPr>
          <w:rFonts w:hint="eastAsia" w:ascii="宋体" w:hAnsi="宋体" w:cs="宋体"/>
          <w:b/>
          <w:sz w:val="24"/>
          <w:szCs w:val="24"/>
        </w:rPr>
        <w:t>注：第二次报价即最终报价将在开标现场填写，响应文件密封提交时只需填写磋商报价总计（首次）。且第二次（最终）报价时，磋商响应报价明细表按同比例下浮。</w:t>
      </w:r>
    </w:p>
    <w:p w14:paraId="48C9B7DE">
      <w:pPr>
        <w:spacing w:line="360" w:lineRule="auto"/>
        <w:ind w:firstLine="480" w:firstLineChars="200"/>
        <w:jc w:val="left"/>
        <w:rPr>
          <w:rFonts w:ascii="宋体" w:hAnsi="宋体"/>
          <w:sz w:val="24"/>
          <w:szCs w:val="24"/>
        </w:rPr>
      </w:pPr>
      <w:r>
        <w:rPr>
          <w:rFonts w:hint="eastAsia" w:ascii="宋体" w:hAnsi="宋体"/>
          <w:sz w:val="24"/>
          <w:szCs w:val="24"/>
        </w:rPr>
        <w:t>2、我方承诺在服务期限内，按竞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78E4CC53">
      <w:pPr>
        <w:spacing w:line="360" w:lineRule="auto"/>
        <w:ind w:firstLine="480" w:firstLineChars="200"/>
        <w:rPr>
          <w:rFonts w:ascii="宋体" w:hAnsi="宋体"/>
          <w:sz w:val="24"/>
          <w:szCs w:val="24"/>
        </w:rPr>
      </w:pPr>
      <w:r>
        <w:rPr>
          <w:rFonts w:hint="eastAsia" w:ascii="宋体" w:hAnsi="宋体"/>
          <w:sz w:val="24"/>
          <w:szCs w:val="24"/>
        </w:rPr>
        <w:t>3、我方承诺在竞争性磋商文件规定的投标有效期内不修改、撤销响应文件。</w:t>
      </w:r>
    </w:p>
    <w:p w14:paraId="3F59D706">
      <w:pPr>
        <w:spacing w:line="360" w:lineRule="auto"/>
        <w:ind w:firstLine="480" w:firstLineChars="200"/>
        <w:rPr>
          <w:rFonts w:ascii="宋体" w:hAnsi="宋体"/>
          <w:sz w:val="24"/>
          <w:szCs w:val="24"/>
        </w:rPr>
      </w:pPr>
      <w:r>
        <w:rPr>
          <w:rFonts w:hint="eastAsia" w:ascii="宋体" w:hAnsi="宋体"/>
          <w:sz w:val="24"/>
          <w:szCs w:val="24"/>
        </w:rPr>
        <w:t>4、我方中标：</w:t>
      </w:r>
    </w:p>
    <w:p w14:paraId="7EBC46D7">
      <w:pPr>
        <w:spacing w:line="360" w:lineRule="auto"/>
        <w:ind w:firstLine="240" w:firstLineChars="100"/>
        <w:rPr>
          <w:rFonts w:ascii="宋体" w:hAnsi="宋体"/>
          <w:sz w:val="24"/>
          <w:szCs w:val="24"/>
        </w:rPr>
      </w:pPr>
      <w:r>
        <w:rPr>
          <w:rFonts w:hint="eastAsia" w:ascii="宋体" w:hAnsi="宋体"/>
          <w:sz w:val="24"/>
          <w:szCs w:val="24"/>
        </w:rPr>
        <w:t>（1）我方承诺在收到中标通知书后，在中标通知书规定的期限内与你方签订合同。</w:t>
      </w:r>
    </w:p>
    <w:p w14:paraId="134E36B9">
      <w:pPr>
        <w:spacing w:line="360" w:lineRule="auto"/>
        <w:ind w:firstLine="240" w:firstLineChars="100"/>
        <w:rPr>
          <w:rFonts w:ascii="宋体" w:hAnsi="宋体"/>
          <w:sz w:val="24"/>
          <w:szCs w:val="24"/>
        </w:rPr>
      </w:pPr>
      <w:r>
        <w:rPr>
          <w:rFonts w:hint="eastAsia" w:ascii="宋体" w:hAnsi="宋体"/>
          <w:sz w:val="24"/>
          <w:szCs w:val="24"/>
        </w:rPr>
        <w:t>（2）我方承诺按照竞争性磋商文件规</w:t>
      </w:r>
      <w:r>
        <w:rPr>
          <w:rFonts w:hint="eastAsia" w:ascii="宋体" w:hAnsi="宋体"/>
          <w:sz w:val="24"/>
          <w:szCs w:val="24"/>
          <w:highlight w:val="cyan"/>
        </w:rPr>
        <w:t>定向你方递交履约保证金。</w:t>
      </w:r>
    </w:p>
    <w:p w14:paraId="04B7786D">
      <w:pPr>
        <w:spacing w:line="360" w:lineRule="auto"/>
        <w:ind w:firstLine="240" w:firstLineChars="100"/>
        <w:rPr>
          <w:rFonts w:ascii="宋体" w:hAnsi="宋体"/>
          <w:sz w:val="24"/>
          <w:szCs w:val="24"/>
        </w:rPr>
      </w:pPr>
      <w:r>
        <w:rPr>
          <w:rFonts w:hint="eastAsia" w:ascii="宋体" w:hAnsi="宋体"/>
          <w:sz w:val="24"/>
          <w:szCs w:val="24"/>
        </w:rPr>
        <w:t>（3）我方将严格履行本响应文件中的全部承诺和责任，并遵守竞争性磋商文件中对投标单位的所有规定。</w:t>
      </w:r>
    </w:p>
    <w:p w14:paraId="1C3AB2E3">
      <w:pPr>
        <w:spacing w:line="360" w:lineRule="auto"/>
        <w:ind w:firstLine="480" w:firstLineChars="200"/>
        <w:rPr>
          <w:rFonts w:ascii="宋体" w:hAnsi="宋体"/>
          <w:sz w:val="24"/>
          <w:szCs w:val="24"/>
        </w:rPr>
      </w:pPr>
      <w:r>
        <w:rPr>
          <w:rFonts w:hint="eastAsia" w:ascii="宋体" w:hAnsi="宋体"/>
          <w:sz w:val="24"/>
          <w:szCs w:val="24"/>
        </w:rPr>
        <w:t>5、我方在此声明，所递交的响应文件及有关资料内容完整、真实和准确，且不存在第二章</w:t>
      </w:r>
      <w:r>
        <w:rPr>
          <w:rFonts w:hint="eastAsia" w:ascii="宋体" w:hAnsi="宋体" w:cs="宋体"/>
          <w:sz w:val="24"/>
          <w:szCs w:val="24"/>
        </w:rPr>
        <w:t>磋商</w:t>
      </w:r>
      <w:r>
        <w:rPr>
          <w:rFonts w:hint="eastAsia" w:ascii="宋体" w:hAnsi="宋体"/>
          <w:sz w:val="24"/>
          <w:szCs w:val="24"/>
        </w:rPr>
        <w:t xml:space="preserve">供应商须知第九项第二条规定的任何一种情形。  </w:t>
      </w:r>
    </w:p>
    <w:p w14:paraId="30879166">
      <w:pPr>
        <w:spacing w:line="360" w:lineRule="auto"/>
        <w:ind w:firstLine="480" w:firstLineChars="200"/>
        <w:rPr>
          <w:rFonts w:ascii="宋体" w:hAnsi="宋体"/>
          <w:sz w:val="24"/>
          <w:szCs w:val="24"/>
        </w:rPr>
      </w:pPr>
      <w:r>
        <w:rPr>
          <w:rFonts w:hint="eastAsia" w:ascii="宋体" w:hAnsi="宋体"/>
          <w:sz w:val="24"/>
          <w:szCs w:val="24"/>
        </w:rPr>
        <w:t>6、（其他补充说明）。</w:t>
      </w:r>
    </w:p>
    <w:p w14:paraId="6B5DA57E">
      <w:pPr>
        <w:pStyle w:val="73"/>
        <w:tabs>
          <w:tab w:val="left" w:pos="5665"/>
          <w:tab w:val="right" w:pos="8360"/>
        </w:tabs>
        <w:spacing w:line="360" w:lineRule="auto"/>
        <w:ind w:right="42" w:firstLine="1560" w:firstLineChars="650"/>
        <w:rPr>
          <w:rFonts w:hAnsi="宋体" w:cs="宋体"/>
          <w:sz w:val="24"/>
        </w:rPr>
      </w:pPr>
    </w:p>
    <w:p w14:paraId="7206CBDA">
      <w:pPr>
        <w:pStyle w:val="73"/>
        <w:tabs>
          <w:tab w:val="left" w:pos="5665"/>
          <w:tab w:val="right" w:pos="8360"/>
        </w:tabs>
        <w:spacing w:line="360" w:lineRule="auto"/>
        <w:ind w:right="42" w:firstLine="480" w:firstLineChars="200"/>
        <w:jc w:val="left"/>
        <w:rPr>
          <w:rFonts w:hAnsi="宋体" w:cs="宋体"/>
          <w:sz w:val="24"/>
          <w:u w:val="single"/>
        </w:rPr>
      </w:pPr>
      <w:r>
        <w:rPr>
          <w:rFonts w:hint="eastAsia" w:hAnsi="宋体" w:cs="宋体"/>
          <w:sz w:val="24"/>
        </w:rPr>
        <w:t>竞争性磋商响应单位（公章)：</w:t>
      </w:r>
    </w:p>
    <w:p w14:paraId="3B3542BC">
      <w:pPr>
        <w:pStyle w:val="73"/>
        <w:tabs>
          <w:tab w:val="left" w:pos="5665"/>
          <w:tab w:val="right" w:pos="8360"/>
        </w:tabs>
        <w:spacing w:line="360" w:lineRule="auto"/>
        <w:ind w:right="42"/>
        <w:rPr>
          <w:rFonts w:hAnsi="宋体" w:cs="宋体"/>
          <w:sz w:val="24"/>
          <w:u w:val="single"/>
        </w:rPr>
      </w:pPr>
    </w:p>
    <w:p w14:paraId="0769743F">
      <w:pPr>
        <w:pStyle w:val="73"/>
        <w:tabs>
          <w:tab w:val="left" w:pos="5665"/>
          <w:tab w:val="right" w:pos="8360"/>
        </w:tabs>
        <w:spacing w:line="360" w:lineRule="auto"/>
        <w:ind w:right="42" w:firstLine="480" w:firstLineChars="200"/>
        <w:rPr>
          <w:rFonts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14:paraId="16D29570">
      <w:pPr>
        <w:pStyle w:val="73"/>
        <w:tabs>
          <w:tab w:val="left" w:pos="5665"/>
          <w:tab w:val="right" w:pos="8360"/>
        </w:tabs>
        <w:spacing w:line="360" w:lineRule="auto"/>
        <w:ind w:right="42"/>
        <w:rPr>
          <w:rFonts w:hAnsi="宋体" w:cs="宋体"/>
          <w:sz w:val="24"/>
        </w:rPr>
      </w:pPr>
    </w:p>
    <w:p w14:paraId="5E5BF3A6">
      <w:pPr>
        <w:pStyle w:val="73"/>
        <w:tabs>
          <w:tab w:val="left" w:pos="5665"/>
          <w:tab w:val="right" w:pos="8360"/>
        </w:tabs>
        <w:spacing w:line="360" w:lineRule="auto"/>
        <w:ind w:right="42" w:firstLine="480" w:firstLineChars="200"/>
        <w:jc w:val="left"/>
        <w:rPr>
          <w:rFonts w:hAnsi="宋体" w:cs="宋体"/>
          <w:szCs w:val="28"/>
          <w:u w:val="single"/>
        </w:rPr>
        <w:sectPr>
          <w:type w:val="continuous"/>
          <w:pgSz w:w="11906" w:h="16838"/>
          <w:pgMar w:top="1134" w:right="1134" w:bottom="1134" w:left="1621" w:header="851" w:footer="992" w:gutter="0"/>
          <w:cols w:space="720" w:num="1"/>
          <w:docGrid w:linePitch="312" w:charSpace="0"/>
        </w:sectPr>
      </w:pPr>
      <w:r>
        <w:rPr>
          <w:rFonts w:hint="eastAsia" w:hAnsi="宋体" w:cs="宋体"/>
          <w:sz w:val="24"/>
        </w:rPr>
        <w:t>日    期：</w:t>
      </w:r>
    </w:p>
    <w:p w14:paraId="2BBA3BC2">
      <w:pPr>
        <w:tabs>
          <w:tab w:val="left" w:pos="1000"/>
        </w:tabs>
        <w:autoSpaceDN w:val="0"/>
        <w:spacing w:line="360" w:lineRule="auto"/>
        <w:ind w:firstLine="480"/>
        <w:jc w:val="left"/>
        <w:rPr>
          <w:rFonts w:ascii="宋体" w:hAnsi="宋体" w:cs="宋体"/>
          <w:b/>
          <w:bCs/>
          <w:kern w:val="0"/>
          <w:sz w:val="24"/>
          <w:szCs w:val="24"/>
        </w:rPr>
      </w:pPr>
    </w:p>
    <w:p w14:paraId="54551AE0">
      <w:pPr>
        <w:tabs>
          <w:tab w:val="left" w:pos="1000"/>
        </w:tabs>
        <w:autoSpaceDN w:val="0"/>
        <w:spacing w:line="360" w:lineRule="auto"/>
        <w:ind w:firstLine="480"/>
        <w:jc w:val="left"/>
        <w:rPr>
          <w:rFonts w:ascii="宋体" w:hAnsi="宋体" w:cs="宋体"/>
          <w:b/>
          <w:bCs/>
          <w:kern w:val="0"/>
          <w:sz w:val="24"/>
          <w:szCs w:val="24"/>
        </w:rPr>
      </w:pPr>
    </w:p>
    <w:p w14:paraId="494E4F20">
      <w:pPr>
        <w:tabs>
          <w:tab w:val="left" w:pos="1000"/>
        </w:tabs>
        <w:autoSpaceDN w:val="0"/>
        <w:spacing w:line="360" w:lineRule="auto"/>
        <w:ind w:firstLine="480"/>
        <w:jc w:val="left"/>
        <w:rPr>
          <w:rFonts w:ascii="宋体" w:hAnsi="宋体" w:cs="宋体"/>
          <w:b/>
          <w:bCs/>
          <w:kern w:val="0"/>
          <w:sz w:val="24"/>
          <w:szCs w:val="24"/>
        </w:rPr>
      </w:pPr>
    </w:p>
    <w:p w14:paraId="2AB8168E">
      <w:pPr>
        <w:tabs>
          <w:tab w:val="left" w:pos="1000"/>
        </w:tabs>
        <w:autoSpaceDN w:val="0"/>
        <w:spacing w:line="360" w:lineRule="auto"/>
        <w:ind w:firstLine="480"/>
        <w:jc w:val="left"/>
        <w:rPr>
          <w:rFonts w:ascii="宋体" w:hAnsi="宋体" w:cs="宋体"/>
          <w:b/>
          <w:bCs/>
          <w:kern w:val="0"/>
          <w:sz w:val="24"/>
          <w:szCs w:val="24"/>
        </w:rPr>
      </w:pPr>
    </w:p>
    <w:p w14:paraId="6160D913">
      <w:pPr>
        <w:tabs>
          <w:tab w:val="left" w:pos="1000"/>
        </w:tabs>
        <w:autoSpaceDN w:val="0"/>
        <w:spacing w:line="360" w:lineRule="auto"/>
        <w:ind w:firstLine="480"/>
        <w:jc w:val="left"/>
        <w:rPr>
          <w:rFonts w:ascii="宋体" w:hAnsi="宋体" w:cs="宋体"/>
          <w:b/>
          <w:bCs/>
          <w:kern w:val="0"/>
          <w:sz w:val="24"/>
          <w:szCs w:val="24"/>
        </w:rPr>
      </w:pPr>
    </w:p>
    <w:p w14:paraId="567EDF62">
      <w:pPr>
        <w:tabs>
          <w:tab w:val="left" w:pos="1000"/>
        </w:tabs>
        <w:autoSpaceDN w:val="0"/>
        <w:spacing w:line="360" w:lineRule="auto"/>
        <w:ind w:firstLine="480"/>
        <w:jc w:val="left"/>
        <w:rPr>
          <w:rFonts w:ascii="宋体" w:hAnsi="宋体" w:cs="宋体"/>
          <w:b/>
          <w:bCs/>
          <w:kern w:val="0"/>
          <w:sz w:val="24"/>
          <w:szCs w:val="24"/>
        </w:rPr>
      </w:pPr>
    </w:p>
    <w:p w14:paraId="7BBD9D72">
      <w:pPr>
        <w:adjustRightInd w:val="0"/>
        <w:snapToGrid w:val="0"/>
        <w:spacing w:line="500" w:lineRule="exact"/>
        <w:jc w:val="center"/>
        <w:rPr>
          <w:rFonts w:ascii="宋体" w:hAnsi="宋体" w:cs="宋体"/>
          <w:b/>
          <w:bCs/>
          <w:sz w:val="28"/>
          <w:szCs w:val="28"/>
        </w:rPr>
      </w:pPr>
      <w:r>
        <w:rPr>
          <w:rFonts w:hint="eastAsia" w:ascii="宋体" w:hAnsi="宋体" w:cs="宋体"/>
          <w:b/>
          <w:bCs/>
          <w:sz w:val="28"/>
          <w:szCs w:val="28"/>
        </w:rPr>
        <w:t>9、</w:t>
      </w:r>
      <w:r>
        <w:rPr>
          <w:rFonts w:hint="eastAsia" w:ascii="宋体" w:hAnsi="宋体" w:cs="宋体"/>
          <w:b/>
          <w:sz w:val="28"/>
          <w:szCs w:val="28"/>
        </w:rPr>
        <w:t>磋商响应报价明细表（格式自拟）</w:t>
      </w:r>
    </w:p>
    <w:p w14:paraId="265B7C9F">
      <w:pPr>
        <w:tabs>
          <w:tab w:val="left" w:pos="1000"/>
        </w:tabs>
        <w:autoSpaceDN w:val="0"/>
        <w:spacing w:line="360" w:lineRule="auto"/>
        <w:ind w:firstLine="480"/>
        <w:jc w:val="left"/>
        <w:rPr>
          <w:rFonts w:ascii="宋体" w:hAnsi="宋体" w:cs="宋体"/>
          <w:b/>
          <w:bCs/>
          <w:kern w:val="0"/>
          <w:sz w:val="24"/>
          <w:szCs w:val="24"/>
        </w:rPr>
      </w:pPr>
    </w:p>
    <w:p w14:paraId="712D52EC">
      <w:pPr>
        <w:tabs>
          <w:tab w:val="left" w:pos="1000"/>
        </w:tabs>
        <w:autoSpaceDN w:val="0"/>
        <w:spacing w:line="360" w:lineRule="auto"/>
        <w:ind w:firstLine="480"/>
        <w:jc w:val="left"/>
        <w:rPr>
          <w:rFonts w:ascii="宋体" w:hAnsi="宋体" w:cs="宋体"/>
          <w:b/>
          <w:bCs/>
          <w:kern w:val="0"/>
          <w:sz w:val="24"/>
          <w:szCs w:val="24"/>
        </w:rPr>
      </w:pPr>
    </w:p>
    <w:p w14:paraId="1F4BCBC5">
      <w:pPr>
        <w:tabs>
          <w:tab w:val="left" w:pos="1000"/>
        </w:tabs>
        <w:autoSpaceDN w:val="0"/>
        <w:spacing w:line="360" w:lineRule="auto"/>
        <w:ind w:firstLine="480"/>
        <w:jc w:val="left"/>
        <w:rPr>
          <w:rFonts w:ascii="宋体" w:hAnsi="宋体" w:cs="宋体"/>
          <w:b/>
          <w:bCs/>
          <w:kern w:val="0"/>
          <w:sz w:val="24"/>
          <w:szCs w:val="24"/>
        </w:rPr>
      </w:pPr>
    </w:p>
    <w:p w14:paraId="4E4DC29C">
      <w:pPr>
        <w:tabs>
          <w:tab w:val="left" w:pos="1000"/>
        </w:tabs>
        <w:autoSpaceDN w:val="0"/>
        <w:spacing w:line="360" w:lineRule="auto"/>
        <w:ind w:firstLine="480"/>
        <w:jc w:val="left"/>
        <w:rPr>
          <w:rFonts w:ascii="宋体" w:hAnsi="宋体" w:cs="宋体"/>
          <w:b/>
          <w:bCs/>
          <w:kern w:val="0"/>
          <w:sz w:val="24"/>
          <w:szCs w:val="24"/>
        </w:rPr>
      </w:pPr>
    </w:p>
    <w:p w14:paraId="12085185">
      <w:pPr>
        <w:tabs>
          <w:tab w:val="left" w:pos="1000"/>
        </w:tabs>
        <w:autoSpaceDN w:val="0"/>
        <w:spacing w:line="360" w:lineRule="auto"/>
        <w:ind w:firstLine="480"/>
        <w:jc w:val="left"/>
        <w:rPr>
          <w:rFonts w:ascii="宋体" w:hAnsi="宋体" w:cs="宋体"/>
          <w:b/>
          <w:bCs/>
          <w:kern w:val="0"/>
          <w:sz w:val="24"/>
          <w:szCs w:val="24"/>
        </w:rPr>
      </w:pPr>
    </w:p>
    <w:p w14:paraId="16442AF4">
      <w:pPr>
        <w:tabs>
          <w:tab w:val="left" w:pos="1000"/>
        </w:tabs>
        <w:autoSpaceDN w:val="0"/>
        <w:spacing w:line="360" w:lineRule="auto"/>
        <w:ind w:firstLine="480"/>
        <w:jc w:val="left"/>
        <w:rPr>
          <w:rFonts w:ascii="宋体" w:hAnsi="宋体" w:cs="宋体"/>
          <w:b/>
          <w:bCs/>
          <w:kern w:val="0"/>
          <w:sz w:val="24"/>
          <w:szCs w:val="24"/>
        </w:rPr>
      </w:pPr>
    </w:p>
    <w:p w14:paraId="135B97BB">
      <w:pPr>
        <w:tabs>
          <w:tab w:val="left" w:pos="1000"/>
        </w:tabs>
        <w:autoSpaceDN w:val="0"/>
        <w:spacing w:line="360" w:lineRule="auto"/>
        <w:ind w:firstLine="480"/>
        <w:jc w:val="left"/>
        <w:rPr>
          <w:rFonts w:ascii="宋体" w:hAnsi="宋体" w:cs="宋体"/>
          <w:b/>
          <w:bCs/>
          <w:kern w:val="0"/>
          <w:sz w:val="24"/>
          <w:szCs w:val="24"/>
        </w:rPr>
      </w:pPr>
    </w:p>
    <w:sectPr>
      <w:type w:val="continuous"/>
      <w:pgSz w:w="11906" w:h="16838"/>
      <w:pgMar w:top="1134" w:right="1134" w:bottom="1134" w:left="1621"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B73F">
    <w:pPr>
      <w:pStyle w:val="29"/>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14:paraId="60789148">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- 3 -</w:t>
                </w:r>
                <w:r>
                  <w:rPr>
                    <w:b/>
                    <w:bCs/>
                    <w:sz w:val="24"/>
                    <w:szCs w:val="24"/>
                  </w:rPr>
                  <w:fldChar w:fldCharType="end"/>
                </w:r>
              </w:p>
            </w:txbxContent>
          </v:textbox>
        </v:shape>
      </w:pict>
    </w:r>
  </w:p>
  <w:p w14:paraId="3F34621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E082">
    <w:pPr>
      <w:pStyle w:val="29"/>
      <w:framePr w:wrap="around" w:vAnchor="text" w:hAnchor="margin" w:xAlign="right" w:y="1"/>
      <w:rPr>
        <w:rStyle w:val="52"/>
      </w:rPr>
    </w:pPr>
    <w:r>
      <w:fldChar w:fldCharType="begin"/>
    </w:r>
    <w:r>
      <w:rPr>
        <w:rStyle w:val="52"/>
      </w:rPr>
      <w:instrText xml:space="preserve">PAGE  </w:instrText>
    </w:r>
    <w:r>
      <w:fldChar w:fldCharType="end"/>
    </w:r>
  </w:p>
  <w:p w14:paraId="726297DA">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176C">
    <w:pPr>
      <w:pStyle w:val="29"/>
      <w:jc w:val="center"/>
    </w:pPr>
    <w:r>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path/>
          <v:fill on="f" focussize="0,0"/>
          <v:stroke on="f" joinstyle="miter"/>
          <v:imagedata o:title=""/>
          <o:lock v:ext="edit"/>
          <v:textbox inset="0mm,0mm,0mm,0mm" style="mso-fit-shape-to-text:t;">
            <w:txbxContent>
              <w:p w14:paraId="54A00899">
                <w:pPr>
                  <w:pStyle w:val="29"/>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w:r>
  </w:p>
  <w:p w14:paraId="12777E05">
    <w:pPr>
      <w:pStyle w:val="29"/>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A92E">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87CF">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B23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2"/>
      <w:lvlText w:val="第%1部分"/>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571458E0"/>
    <w:multiLevelType w:val="singleLevel"/>
    <w:tmpl w:val="571458E0"/>
    <w:lvl w:ilvl="0" w:tentative="0">
      <w:start w:val="2"/>
      <w:numFmt w:val="chineseCounting"/>
      <w:suff w:val="nothing"/>
      <w:lvlText w:val="%1、"/>
      <w:lvlJc w:val="left"/>
    </w:lvl>
  </w:abstractNum>
  <w:abstractNum w:abstractNumId="2">
    <w:nsid w:val="572AE91F"/>
    <w:multiLevelType w:val="singleLevel"/>
    <w:tmpl w:val="572AE91F"/>
    <w:lvl w:ilvl="0" w:tentative="0">
      <w:start w:val="5"/>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4"/>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ZDcxZTk4ODU1ZmZhNDIxMTBlZDJlNDI4ZDQ0ZDk0MDQifQ=="/>
  </w:docVars>
  <w:rsids>
    <w:rsidRoot w:val="00172A27"/>
    <w:rsid w:val="00001B1B"/>
    <w:rsid w:val="000105FB"/>
    <w:rsid w:val="0001128A"/>
    <w:rsid w:val="000148B1"/>
    <w:rsid w:val="00023D77"/>
    <w:rsid w:val="00030756"/>
    <w:rsid w:val="0003185A"/>
    <w:rsid w:val="000355ED"/>
    <w:rsid w:val="000358DB"/>
    <w:rsid w:val="000457F4"/>
    <w:rsid w:val="00046C35"/>
    <w:rsid w:val="00053784"/>
    <w:rsid w:val="00070094"/>
    <w:rsid w:val="00077001"/>
    <w:rsid w:val="00080348"/>
    <w:rsid w:val="000A02A8"/>
    <w:rsid w:val="000A3C42"/>
    <w:rsid w:val="000A5F93"/>
    <w:rsid w:val="000B3EE0"/>
    <w:rsid w:val="000B4A07"/>
    <w:rsid w:val="000C5747"/>
    <w:rsid w:val="000D330B"/>
    <w:rsid w:val="000E78EB"/>
    <w:rsid w:val="000F070B"/>
    <w:rsid w:val="000F4FF4"/>
    <w:rsid w:val="000F5F55"/>
    <w:rsid w:val="00104990"/>
    <w:rsid w:val="00107BF1"/>
    <w:rsid w:val="001146F5"/>
    <w:rsid w:val="00115081"/>
    <w:rsid w:val="00116E34"/>
    <w:rsid w:val="001223CC"/>
    <w:rsid w:val="00122E92"/>
    <w:rsid w:val="00123C8D"/>
    <w:rsid w:val="0013158C"/>
    <w:rsid w:val="00133CC7"/>
    <w:rsid w:val="00140514"/>
    <w:rsid w:val="00141EA3"/>
    <w:rsid w:val="00146B56"/>
    <w:rsid w:val="0015417E"/>
    <w:rsid w:val="00164E61"/>
    <w:rsid w:val="00172A27"/>
    <w:rsid w:val="00175AE9"/>
    <w:rsid w:val="001818C0"/>
    <w:rsid w:val="00181A02"/>
    <w:rsid w:val="00186000"/>
    <w:rsid w:val="001861DE"/>
    <w:rsid w:val="001935D9"/>
    <w:rsid w:val="001961BF"/>
    <w:rsid w:val="001A5F4C"/>
    <w:rsid w:val="001B093D"/>
    <w:rsid w:val="001C0C78"/>
    <w:rsid w:val="001D5118"/>
    <w:rsid w:val="001D6266"/>
    <w:rsid w:val="001D67FC"/>
    <w:rsid w:val="001E3534"/>
    <w:rsid w:val="001E528E"/>
    <w:rsid w:val="001F19A2"/>
    <w:rsid w:val="001F750F"/>
    <w:rsid w:val="002013D1"/>
    <w:rsid w:val="00203839"/>
    <w:rsid w:val="00207784"/>
    <w:rsid w:val="00207F85"/>
    <w:rsid w:val="002114D3"/>
    <w:rsid w:val="0021228C"/>
    <w:rsid w:val="00227188"/>
    <w:rsid w:val="00231148"/>
    <w:rsid w:val="002465F4"/>
    <w:rsid w:val="00250C49"/>
    <w:rsid w:val="002603D2"/>
    <w:rsid w:val="00267623"/>
    <w:rsid w:val="002718D5"/>
    <w:rsid w:val="00292AA1"/>
    <w:rsid w:val="002943AD"/>
    <w:rsid w:val="0029596E"/>
    <w:rsid w:val="00296B1D"/>
    <w:rsid w:val="002A7B36"/>
    <w:rsid w:val="002B11E8"/>
    <w:rsid w:val="002B3EE4"/>
    <w:rsid w:val="002B5E81"/>
    <w:rsid w:val="002B5E95"/>
    <w:rsid w:val="002B7775"/>
    <w:rsid w:val="002C2A43"/>
    <w:rsid w:val="002C4DEB"/>
    <w:rsid w:val="002C6944"/>
    <w:rsid w:val="002C7DE0"/>
    <w:rsid w:val="002E1EB7"/>
    <w:rsid w:val="002E360C"/>
    <w:rsid w:val="002E4C3E"/>
    <w:rsid w:val="002E7EF9"/>
    <w:rsid w:val="00303A7A"/>
    <w:rsid w:val="00305532"/>
    <w:rsid w:val="00305B0E"/>
    <w:rsid w:val="00312F60"/>
    <w:rsid w:val="00313E13"/>
    <w:rsid w:val="00316A66"/>
    <w:rsid w:val="003258AF"/>
    <w:rsid w:val="00336BB8"/>
    <w:rsid w:val="0034235C"/>
    <w:rsid w:val="00347D67"/>
    <w:rsid w:val="00360131"/>
    <w:rsid w:val="00360DD4"/>
    <w:rsid w:val="0036179A"/>
    <w:rsid w:val="00361CA1"/>
    <w:rsid w:val="00372BAE"/>
    <w:rsid w:val="0037592B"/>
    <w:rsid w:val="00376295"/>
    <w:rsid w:val="00377491"/>
    <w:rsid w:val="003849B3"/>
    <w:rsid w:val="00384FF5"/>
    <w:rsid w:val="00390A7D"/>
    <w:rsid w:val="00390CCA"/>
    <w:rsid w:val="00391B74"/>
    <w:rsid w:val="003A2EB2"/>
    <w:rsid w:val="003A57BD"/>
    <w:rsid w:val="003E7786"/>
    <w:rsid w:val="003F0C2C"/>
    <w:rsid w:val="003F6D14"/>
    <w:rsid w:val="00401E74"/>
    <w:rsid w:val="00431CB1"/>
    <w:rsid w:val="004413CE"/>
    <w:rsid w:val="00444BAE"/>
    <w:rsid w:val="00451991"/>
    <w:rsid w:val="0045272B"/>
    <w:rsid w:val="004546E7"/>
    <w:rsid w:val="00457130"/>
    <w:rsid w:val="00470D77"/>
    <w:rsid w:val="00482A04"/>
    <w:rsid w:val="00484D68"/>
    <w:rsid w:val="0049151C"/>
    <w:rsid w:val="0049434C"/>
    <w:rsid w:val="004A3264"/>
    <w:rsid w:val="004B67DE"/>
    <w:rsid w:val="004B7BD3"/>
    <w:rsid w:val="004B7CE2"/>
    <w:rsid w:val="004C4221"/>
    <w:rsid w:val="004C428D"/>
    <w:rsid w:val="004C59E6"/>
    <w:rsid w:val="004D097D"/>
    <w:rsid w:val="004D2605"/>
    <w:rsid w:val="004D32F9"/>
    <w:rsid w:val="004E0A78"/>
    <w:rsid w:val="004F2187"/>
    <w:rsid w:val="004F3966"/>
    <w:rsid w:val="00505502"/>
    <w:rsid w:val="00511891"/>
    <w:rsid w:val="005141CE"/>
    <w:rsid w:val="00535EDE"/>
    <w:rsid w:val="00535F98"/>
    <w:rsid w:val="00544483"/>
    <w:rsid w:val="00546ABA"/>
    <w:rsid w:val="00547813"/>
    <w:rsid w:val="005522F4"/>
    <w:rsid w:val="005534BF"/>
    <w:rsid w:val="00554799"/>
    <w:rsid w:val="00555F41"/>
    <w:rsid w:val="005628E6"/>
    <w:rsid w:val="005667CA"/>
    <w:rsid w:val="00570C05"/>
    <w:rsid w:val="00571400"/>
    <w:rsid w:val="00584473"/>
    <w:rsid w:val="00594269"/>
    <w:rsid w:val="0059573A"/>
    <w:rsid w:val="005A1DF7"/>
    <w:rsid w:val="005A5CAA"/>
    <w:rsid w:val="005C0614"/>
    <w:rsid w:val="005D1A53"/>
    <w:rsid w:val="005D1F13"/>
    <w:rsid w:val="005E6028"/>
    <w:rsid w:val="005F223F"/>
    <w:rsid w:val="005F7451"/>
    <w:rsid w:val="00600E52"/>
    <w:rsid w:val="006030EF"/>
    <w:rsid w:val="006049BC"/>
    <w:rsid w:val="006063E1"/>
    <w:rsid w:val="00616635"/>
    <w:rsid w:val="00626645"/>
    <w:rsid w:val="0063537C"/>
    <w:rsid w:val="006415CA"/>
    <w:rsid w:val="00657D61"/>
    <w:rsid w:val="006603A2"/>
    <w:rsid w:val="00662218"/>
    <w:rsid w:val="00676F46"/>
    <w:rsid w:val="006850BE"/>
    <w:rsid w:val="00691A51"/>
    <w:rsid w:val="006957F3"/>
    <w:rsid w:val="0069796F"/>
    <w:rsid w:val="006A4FF1"/>
    <w:rsid w:val="006B0423"/>
    <w:rsid w:val="006B33A2"/>
    <w:rsid w:val="006B42FA"/>
    <w:rsid w:val="006B5FAC"/>
    <w:rsid w:val="006B63C5"/>
    <w:rsid w:val="006D1A28"/>
    <w:rsid w:val="006D1C14"/>
    <w:rsid w:val="006D4923"/>
    <w:rsid w:val="006D5579"/>
    <w:rsid w:val="006D589A"/>
    <w:rsid w:val="006D6B31"/>
    <w:rsid w:val="006D7F89"/>
    <w:rsid w:val="006E152A"/>
    <w:rsid w:val="006E661A"/>
    <w:rsid w:val="006F0ED6"/>
    <w:rsid w:val="006F32E4"/>
    <w:rsid w:val="006F60A6"/>
    <w:rsid w:val="00702B10"/>
    <w:rsid w:val="0071107D"/>
    <w:rsid w:val="007354C9"/>
    <w:rsid w:val="00744D64"/>
    <w:rsid w:val="0075253E"/>
    <w:rsid w:val="00753759"/>
    <w:rsid w:val="00760004"/>
    <w:rsid w:val="00764B2E"/>
    <w:rsid w:val="00765DEF"/>
    <w:rsid w:val="0077071A"/>
    <w:rsid w:val="007808D1"/>
    <w:rsid w:val="00781071"/>
    <w:rsid w:val="007844DA"/>
    <w:rsid w:val="00784D8E"/>
    <w:rsid w:val="00787E3F"/>
    <w:rsid w:val="007A7E81"/>
    <w:rsid w:val="007B0BF6"/>
    <w:rsid w:val="007B7FB4"/>
    <w:rsid w:val="007C28AE"/>
    <w:rsid w:val="007C444B"/>
    <w:rsid w:val="007C7879"/>
    <w:rsid w:val="007D0A43"/>
    <w:rsid w:val="007D19E7"/>
    <w:rsid w:val="007E4AAB"/>
    <w:rsid w:val="007E5AE8"/>
    <w:rsid w:val="007F0A05"/>
    <w:rsid w:val="007F7F4D"/>
    <w:rsid w:val="00802739"/>
    <w:rsid w:val="008038C0"/>
    <w:rsid w:val="00805310"/>
    <w:rsid w:val="008057FC"/>
    <w:rsid w:val="00807A6F"/>
    <w:rsid w:val="00812024"/>
    <w:rsid w:val="00815709"/>
    <w:rsid w:val="008230A3"/>
    <w:rsid w:val="008253F9"/>
    <w:rsid w:val="00831448"/>
    <w:rsid w:val="008344B1"/>
    <w:rsid w:val="00835511"/>
    <w:rsid w:val="00837707"/>
    <w:rsid w:val="00840629"/>
    <w:rsid w:val="008502A6"/>
    <w:rsid w:val="008520F4"/>
    <w:rsid w:val="008565BE"/>
    <w:rsid w:val="00866612"/>
    <w:rsid w:val="008847A1"/>
    <w:rsid w:val="00885101"/>
    <w:rsid w:val="0089035F"/>
    <w:rsid w:val="00895494"/>
    <w:rsid w:val="00895926"/>
    <w:rsid w:val="008A0E53"/>
    <w:rsid w:val="008A38B4"/>
    <w:rsid w:val="008A455A"/>
    <w:rsid w:val="008A671F"/>
    <w:rsid w:val="008B38C2"/>
    <w:rsid w:val="008C5F39"/>
    <w:rsid w:val="008D0AAC"/>
    <w:rsid w:val="008D2D0E"/>
    <w:rsid w:val="008E284A"/>
    <w:rsid w:val="008F27B7"/>
    <w:rsid w:val="008F37FA"/>
    <w:rsid w:val="009007DB"/>
    <w:rsid w:val="009032F3"/>
    <w:rsid w:val="00907985"/>
    <w:rsid w:val="0092127E"/>
    <w:rsid w:val="00921760"/>
    <w:rsid w:val="00923DB0"/>
    <w:rsid w:val="00930DDE"/>
    <w:rsid w:val="00934929"/>
    <w:rsid w:val="009433B0"/>
    <w:rsid w:val="0095091E"/>
    <w:rsid w:val="00957D38"/>
    <w:rsid w:val="00965F62"/>
    <w:rsid w:val="0097298E"/>
    <w:rsid w:val="00980A23"/>
    <w:rsid w:val="00980A51"/>
    <w:rsid w:val="0098542E"/>
    <w:rsid w:val="00994A91"/>
    <w:rsid w:val="009A5E11"/>
    <w:rsid w:val="009A650D"/>
    <w:rsid w:val="009B3B85"/>
    <w:rsid w:val="009B5E19"/>
    <w:rsid w:val="009D4949"/>
    <w:rsid w:val="009E5052"/>
    <w:rsid w:val="009F5C4C"/>
    <w:rsid w:val="00A05224"/>
    <w:rsid w:val="00A0765C"/>
    <w:rsid w:val="00A1005B"/>
    <w:rsid w:val="00A104F2"/>
    <w:rsid w:val="00A10948"/>
    <w:rsid w:val="00A14F49"/>
    <w:rsid w:val="00A1617F"/>
    <w:rsid w:val="00A2381B"/>
    <w:rsid w:val="00A24AB9"/>
    <w:rsid w:val="00A413B4"/>
    <w:rsid w:val="00A51933"/>
    <w:rsid w:val="00A551D6"/>
    <w:rsid w:val="00A566D0"/>
    <w:rsid w:val="00A6156A"/>
    <w:rsid w:val="00A63994"/>
    <w:rsid w:val="00A65C1B"/>
    <w:rsid w:val="00A706C0"/>
    <w:rsid w:val="00A77B7D"/>
    <w:rsid w:val="00A8480F"/>
    <w:rsid w:val="00A8508E"/>
    <w:rsid w:val="00A900C5"/>
    <w:rsid w:val="00A97E3F"/>
    <w:rsid w:val="00AA146A"/>
    <w:rsid w:val="00AA568C"/>
    <w:rsid w:val="00AB31EA"/>
    <w:rsid w:val="00AB59F7"/>
    <w:rsid w:val="00AB5B5F"/>
    <w:rsid w:val="00AC1E4C"/>
    <w:rsid w:val="00AC5901"/>
    <w:rsid w:val="00AC7A91"/>
    <w:rsid w:val="00AD1EBB"/>
    <w:rsid w:val="00AD32E1"/>
    <w:rsid w:val="00AF1B66"/>
    <w:rsid w:val="00B03609"/>
    <w:rsid w:val="00B12EA3"/>
    <w:rsid w:val="00B136C9"/>
    <w:rsid w:val="00B15A7D"/>
    <w:rsid w:val="00B16163"/>
    <w:rsid w:val="00B26808"/>
    <w:rsid w:val="00B26CDC"/>
    <w:rsid w:val="00B3109E"/>
    <w:rsid w:val="00B323D6"/>
    <w:rsid w:val="00B37113"/>
    <w:rsid w:val="00B565FE"/>
    <w:rsid w:val="00B6226F"/>
    <w:rsid w:val="00B73B65"/>
    <w:rsid w:val="00B776FD"/>
    <w:rsid w:val="00B84EA4"/>
    <w:rsid w:val="00B94261"/>
    <w:rsid w:val="00B96A1C"/>
    <w:rsid w:val="00BC53E3"/>
    <w:rsid w:val="00BC748A"/>
    <w:rsid w:val="00BD1973"/>
    <w:rsid w:val="00BD7F28"/>
    <w:rsid w:val="00BE6A5F"/>
    <w:rsid w:val="00BE7C49"/>
    <w:rsid w:val="00BF54EE"/>
    <w:rsid w:val="00C06363"/>
    <w:rsid w:val="00C07ADD"/>
    <w:rsid w:val="00C12354"/>
    <w:rsid w:val="00C25255"/>
    <w:rsid w:val="00C2749D"/>
    <w:rsid w:val="00C33325"/>
    <w:rsid w:val="00C337D9"/>
    <w:rsid w:val="00C40195"/>
    <w:rsid w:val="00C41CC6"/>
    <w:rsid w:val="00C5018A"/>
    <w:rsid w:val="00C50D3E"/>
    <w:rsid w:val="00C51407"/>
    <w:rsid w:val="00C57FBC"/>
    <w:rsid w:val="00C61EF4"/>
    <w:rsid w:val="00C63A54"/>
    <w:rsid w:val="00C6575E"/>
    <w:rsid w:val="00C862BA"/>
    <w:rsid w:val="00C9034B"/>
    <w:rsid w:val="00C917FA"/>
    <w:rsid w:val="00CA0768"/>
    <w:rsid w:val="00CB2EF1"/>
    <w:rsid w:val="00CB677B"/>
    <w:rsid w:val="00CC0EBC"/>
    <w:rsid w:val="00CC5D99"/>
    <w:rsid w:val="00CD4C05"/>
    <w:rsid w:val="00CD7BD1"/>
    <w:rsid w:val="00CE0038"/>
    <w:rsid w:val="00CF1537"/>
    <w:rsid w:val="00CF3FF0"/>
    <w:rsid w:val="00CF7432"/>
    <w:rsid w:val="00D04D60"/>
    <w:rsid w:val="00D05AAB"/>
    <w:rsid w:val="00D11F47"/>
    <w:rsid w:val="00D122C4"/>
    <w:rsid w:val="00D12337"/>
    <w:rsid w:val="00D135A1"/>
    <w:rsid w:val="00D3291C"/>
    <w:rsid w:val="00D34154"/>
    <w:rsid w:val="00D4386E"/>
    <w:rsid w:val="00D501D0"/>
    <w:rsid w:val="00D505F3"/>
    <w:rsid w:val="00D621BB"/>
    <w:rsid w:val="00D658C4"/>
    <w:rsid w:val="00D86F05"/>
    <w:rsid w:val="00DB46CE"/>
    <w:rsid w:val="00DB6AD5"/>
    <w:rsid w:val="00DC0238"/>
    <w:rsid w:val="00DC1146"/>
    <w:rsid w:val="00DD6B3B"/>
    <w:rsid w:val="00DE273A"/>
    <w:rsid w:val="00DE6D23"/>
    <w:rsid w:val="00DF30DC"/>
    <w:rsid w:val="00E14374"/>
    <w:rsid w:val="00E150D7"/>
    <w:rsid w:val="00E17243"/>
    <w:rsid w:val="00E30F22"/>
    <w:rsid w:val="00E34D21"/>
    <w:rsid w:val="00E36B27"/>
    <w:rsid w:val="00E41F2A"/>
    <w:rsid w:val="00E46AD8"/>
    <w:rsid w:val="00E55047"/>
    <w:rsid w:val="00E55200"/>
    <w:rsid w:val="00E5752C"/>
    <w:rsid w:val="00E63B87"/>
    <w:rsid w:val="00E70982"/>
    <w:rsid w:val="00E73A9D"/>
    <w:rsid w:val="00E76F4F"/>
    <w:rsid w:val="00E8274C"/>
    <w:rsid w:val="00E9161C"/>
    <w:rsid w:val="00E93539"/>
    <w:rsid w:val="00E96B49"/>
    <w:rsid w:val="00EA1884"/>
    <w:rsid w:val="00EA3BC5"/>
    <w:rsid w:val="00EB2718"/>
    <w:rsid w:val="00EB30FF"/>
    <w:rsid w:val="00EB730D"/>
    <w:rsid w:val="00EC1828"/>
    <w:rsid w:val="00EC51EF"/>
    <w:rsid w:val="00ED28E1"/>
    <w:rsid w:val="00ED2A6A"/>
    <w:rsid w:val="00ED2F58"/>
    <w:rsid w:val="00ED4BF6"/>
    <w:rsid w:val="00EE151B"/>
    <w:rsid w:val="00EE5390"/>
    <w:rsid w:val="00F11F21"/>
    <w:rsid w:val="00F207FA"/>
    <w:rsid w:val="00F35033"/>
    <w:rsid w:val="00F41ED4"/>
    <w:rsid w:val="00F420DF"/>
    <w:rsid w:val="00F50E7D"/>
    <w:rsid w:val="00F61F3E"/>
    <w:rsid w:val="00F63811"/>
    <w:rsid w:val="00F7710B"/>
    <w:rsid w:val="00F86363"/>
    <w:rsid w:val="00F8737D"/>
    <w:rsid w:val="00F96371"/>
    <w:rsid w:val="00F97E53"/>
    <w:rsid w:val="00FA2A5F"/>
    <w:rsid w:val="00FA712C"/>
    <w:rsid w:val="00FA7995"/>
    <w:rsid w:val="00FB148E"/>
    <w:rsid w:val="00FB22F3"/>
    <w:rsid w:val="00FB3A11"/>
    <w:rsid w:val="00FB7E52"/>
    <w:rsid w:val="00FC7529"/>
    <w:rsid w:val="00FD7BCC"/>
    <w:rsid w:val="00FE0267"/>
    <w:rsid w:val="00FE73AA"/>
    <w:rsid w:val="00FF497A"/>
    <w:rsid w:val="01451617"/>
    <w:rsid w:val="03F35B50"/>
    <w:rsid w:val="07004918"/>
    <w:rsid w:val="07130C27"/>
    <w:rsid w:val="0B445057"/>
    <w:rsid w:val="0F15130E"/>
    <w:rsid w:val="11E54879"/>
    <w:rsid w:val="12F639E2"/>
    <w:rsid w:val="13E1592A"/>
    <w:rsid w:val="14C044EF"/>
    <w:rsid w:val="18EF3A8A"/>
    <w:rsid w:val="199A39C7"/>
    <w:rsid w:val="1A791144"/>
    <w:rsid w:val="1AFC093E"/>
    <w:rsid w:val="1B751D18"/>
    <w:rsid w:val="1DC72373"/>
    <w:rsid w:val="1F095BCD"/>
    <w:rsid w:val="21E90C3E"/>
    <w:rsid w:val="229F7E35"/>
    <w:rsid w:val="26D9419F"/>
    <w:rsid w:val="2A8E46B3"/>
    <w:rsid w:val="2FC36919"/>
    <w:rsid w:val="30DD2198"/>
    <w:rsid w:val="347E0A74"/>
    <w:rsid w:val="372F21F8"/>
    <w:rsid w:val="375304ED"/>
    <w:rsid w:val="375A10AE"/>
    <w:rsid w:val="375F18CE"/>
    <w:rsid w:val="3C075C02"/>
    <w:rsid w:val="3C256A41"/>
    <w:rsid w:val="3D603E83"/>
    <w:rsid w:val="407216E6"/>
    <w:rsid w:val="41C90459"/>
    <w:rsid w:val="43AE181F"/>
    <w:rsid w:val="44D138CC"/>
    <w:rsid w:val="49251675"/>
    <w:rsid w:val="495572CE"/>
    <w:rsid w:val="495F1709"/>
    <w:rsid w:val="4D915078"/>
    <w:rsid w:val="51A2344F"/>
    <w:rsid w:val="52E413E7"/>
    <w:rsid w:val="55BD2D3A"/>
    <w:rsid w:val="5A4F695B"/>
    <w:rsid w:val="5BF0222D"/>
    <w:rsid w:val="5D936E04"/>
    <w:rsid w:val="5EE83B51"/>
    <w:rsid w:val="62F43EB3"/>
    <w:rsid w:val="69080170"/>
    <w:rsid w:val="699A7243"/>
    <w:rsid w:val="6AC02AFA"/>
    <w:rsid w:val="6C3B2A62"/>
    <w:rsid w:val="6DD82D25"/>
    <w:rsid w:val="70673F89"/>
    <w:rsid w:val="70A03CBF"/>
    <w:rsid w:val="7472539D"/>
    <w:rsid w:val="74AF0200"/>
    <w:rsid w:val="74C33148"/>
    <w:rsid w:val="74D3779C"/>
    <w:rsid w:val="79AA1F01"/>
    <w:rsid w:val="7A98230D"/>
    <w:rsid w:val="7C933C65"/>
    <w:rsid w:val="7D7744EE"/>
    <w:rsid w:val="7E3A1867"/>
    <w:rsid w:val="7E5D7A2B"/>
    <w:rsid w:val="7F561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name="footnote reference"/>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ocked="1"/>
    <w:lsdException w:unhideWhenUsed="0" w:uiPriority="0" w:semiHidden="0"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sdException w:unhideWhenUsed="0" w:uiPriority="0" w:semiHidden="0" w:name="Body Text First Indent 2" w:locked="1"/>
    <w:lsdException w:unhideWhenUsed="0" w:uiPriority="0" w:semiHidden="0" w:name="Note Heading" w:locked="1"/>
    <w:lsdException w:qFormat="1" w:unhideWhenUsed="0" w:uiPriority="0" w:semiHidden="0" w:name="Body Text 2"/>
    <w:lsdException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qFormat/>
    <w:uiPriority w:val="0"/>
    <w:pPr>
      <w:keepNext/>
      <w:keepLines/>
      <w:numPr>
        <w:ilvl w:val="0"/>
        <w:numId w:val="1"/>
      </w:numPr>
      <w:adjustRightInd w:val="0"/>
      <w:spacing w:before="340" w:after="330" w:line="578" w:lineRule="atLeast"/>
      <w:textAlignment w:val="baseline"/>
      <w:outlineLvl w:val="0"/>
    </w:pPr>
    <w:rPr>
      <w:b/>
      <w:kern w:val="44"/>
      <w:sz w:val="44"/>
    </w:rPr>
  </w:style>
  <w:style w:type="paragraph" w:styleId="3">
    <w:name w:val="heading 2"/>
    <w:basedOn w:val="1"/>
    <w:next w:val="1"/>
    <w:link w:val="61"/>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semiHidden/>
    <w:qFormat/>
    <w:uiPriority w:val="0"/>
    <w:pPr>
      <w:ind w:left="1260"/>
      <w:jc w:val="left"/>
    </w:pPr>
    <w:rPr>
      <w:sz w:val="18"/>
    </w:rPr>
  </w:style>
  <w:style w:type="paragraph" w:styleId="13">
    <w:name w:val="Normal Indent"/>
    <w:basedOn w:val="1"/>
    <w:link w:val="64"/>
    <w:qFormat/>
    <w:uiPriority w:val="0"/>
    <w:pPr>
      <w:ind w:firstLine="420"/>
    </w:pPr>
  </w:style>
  <w:style w:type="paragraph" w:styleId="14">
    <w:name w:val="Document Map"/>
    <w:basedOn w:val="1"/>
    <w:semiHidden/>
    <w:qFormat/>
    <w:uiPriority w:val="0"/>
    <w:pPr>
      <w:shd w:val="clear" w:color="auto" w:fill="000080"/>
    </w:pPr>
  </w:style>
  <w:style w:type="paragraph" w:styleId="15">
    <w:name w:val="annotation text"/>
    <w:basedOn w:val="1"/>
    <w:link w:val="66"/>
    <w:semiHidden/>
    <w:qFormat/>
    <w:uiPriority w:val="0"/>
    <w:pPr>
      <w:jc w:val="left"/>
    </w:pPr>
  </w:style>
  <w:style w:type="paragraph" w:styleId="16">
    <w:name w:val="Body Text"/>
    <w:basedOn w:val="1"/>
    <w:qFormat/>
    <w:uiPriority w:val="0"/>
    <w:rPr>
      <w:sz w:val="24"/>
    </w:rPr>
  </w:style>
  <w:style w:type="paragraph" w:styleId="17">
    <w:name w:val="Body Text Indent"/>
    <w:basedOn w:val="1"/>
    <w:link w:val="60"/>
    <w:qFormat/>
    <w:uiPriority w:val="0"/>
    <w:pPr>
      <w:spacing w:after="156"/>
      <w:ind w:firstLine="480"/>
    </w:pPr>
    <w:rPr>
      <w:sz w:val="24"/>
    </w:r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1">
    <w:name w:val="toc 5"/>
    <w:basedOn w:val="1"/>
    <w:next w:val="1"/>
    <w:semiHidden/>
    <w:qFormat/>
    <w:uiPriority w:val="0"/>
    <w:pPr>
      <w:ind w:left="840"/>
      <w:jc w:val="left"/>
    </w:pPr>
    <w:rPr>
      <w:sz w:val="18"/>
    </w:rPr>
  </w:style>
  <w:style w:type="paragraph" w:styleId="22">
    <w:name w:val="toc 3"/>
    <w:basedOn w:val="1"/>
    <w:next w:val="1"/>
    <w:semiHidden/>
    <w:qFormat/>
    <w:uiPriority w:val="0"/>
    <w:pPr>
      <w:ind w:left="420"/>
      <w:jc w:val="left"/>
    </w:pPr>
    <w:rPr>
      <w:i/>
      <w:sz w:val="20"/>
    </w:rPr>
  </w:style>
  <w:style w:type="paragraph" w:styleId="23">
    <w:name w:val="Plain Text"/>
    <w:basedOn w:val="1"/>
    <w:qFormat/>
    <w:uiPriority w:val="0"/>
    <w:rPr>
      <w:rFonts w:ascii="宋体" w:hAnsi="Courier New"/>
    </w:rPr>
  </w:style>
  <w:style w:type="paragraph" w:styleId="24">
    <w:name w:val="toc 8"/>
    <w:basedOn w:val="1"/>
    <w:next w:val="1"/>
    <w:semiHidden/>
    <w:qFormat/>
    <w:uiPriority w:val="0"/>
    <w:pPr>
      <w:ind w:left="1470"/>
      <w:jc w:val="left"/>
    </w:pPr>
    <w:rPr>
      <w:sz w:val="18"/>
    </w:rPr>
  </w:style>
  <w:style w:type="paragraph" w:styleId="25">
    <w:name w:val="Date"/>
    <w:basedOn w:val="1"/>
    <w:next w:val="1"/>
    <w:qFormat/>
    <w:uiPriority w:val="0"/>
    <w:pPr>
      <w:widowControl/>
      <w:ind w:left="100"/>
      <w:jc w:val="left"/>
    </w:pPr>
    <w:rPr>
      <w:rFonts w:ascii="宋体" w:hAnsi="宋体"/>
      <w:kern w:val="0"/>
      <w:sz w:val="28"/>
    </w:rPr>
  </w:style>
  <w:style w:type="paragraph" w:styleId="26">
    <w:name w:val="Body Text Indent 2"/>
    <w:basedOn w:val="1"/>
    <w:qFormat/>
    <w:uiPriority w:val="0"/>
    <w:pPr>
      <w:ind w:left="1436" w:leftChars="684"/>
    </w:pPr>
    <w:rPr>
      <w:sz w:val="24"/>
    </w:rPr>
  </w:style>
  <w:style w:type="paragraph" w:styleId="27">
    <w:name w:val="List Continue 5"/>
    <w:basedOn w:val="1"/>
    <w:qFormat/>
    <w:uiPriority w:val="0"/>
    <w:pPr>
      <w:spacing w:after="120"/>
      <w:ind w:left="2100" w:leftChars="1000"/>
    </w:pPr>
  </w:style>
  <w:style w:type="paragraph" w:styleId="28">
    <w:name w:val="Balloon Text"/>
    <w:basedOn w:val="1"/>
    <w:link w:val="68"/>
    <w:semiHidden/>
    <w:qFormat/>
    <w:uiPriority w:val="0"/>
    <w:rPr>
      <w:sz w:val="18"/>
    </w:rPr>
  </w:style>
  <w:style w:type="paragraph" w:styleId="29">
    <w:name w:val="footer"/>
    <w:basedOn w:val="1"/>
    <w:link w:val="59"/>
    <w:qFormat/>
    <w:uiPriority w:val="99"/>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semiHidden/>
    <w:qFormat/>
    <w:uiPriority w:val="0"/>
    <w:pPr>
      <w:tabs>
        <w:tab w:val="left" w:pos="840"/>
        <w:tab w:val="right" w:leader="dot" w:pos="9402"/>
      </w:tabs>
      <w:adjustRightInd w:val="0"/>
      <w:snapToGrid w:val="0"/>
      <w:spacing w:line="360" w:lineRule="auto"/>
      <w:jc w:val="left"/>
    </w:pPr>
    <w:rPr>
      <w:rFonts w:ascii="Arial" w:hAnsi="宋体"/>
      <w:caps/>
      <w:w w:val="80"/>
      <w:sz w:val="24"/>
    </w:rPr>
  </w:style>
  <w:style w:type="paragraph" w:styleId="32">
    <w:name w:val="List Continue 4"/>
    <w:basedOn w:val="1"/>
    <w:qFormat/>
    <w:uiPriority w:val="0"/>
    <w:pPr>
      <w:spacing w:after="120"/>
      <w:ind w:left="1680" w:leftChars="800"/>
    </w:pPr>
  </w:style>
  <w:style w:type="paragraph" w:styleId="33">
    <w:name w:val="toc 4"/>
    <w:basedOn w:val="1"/>
    <w:next w:val="1"/>
    <w:semiHidden/>
    <w:qFormat/>
    <w:uiPriority w:val="0"/>
    <w:pPr>
      <w:tabs>
        <w:tab w:val="left" w:pos="1080"/>
        <w:tab w:val="right" w:leader="dot" w:pos="9125"/>
      </w:tabs>
      <w:adjustRightInd w:val="0"/>
      <w:snapToGrid w:val="0"/>
      <w:spacing w:line="360" w:lineRule="auto"/>
      <w:jc w:val="left"/>
    </w:pPr>
    <w:rPr>
      <w:sz w:val="18"/>
    </w:rPr>
  </w:style>
  <w:style w:type="paragraph" w:styleId="34">
    <w:name w:val="List"/>
    <w:basedOn w:val="1"/>
    <w:qFormat/>
    <w:uiPriority w:val="0"/>
    <w:pPr>
      <w:ind w:left="200" w:hanging="200" w:hangingChars="200"/>
    </w:pPr>
  </w:style>
  <w:style w:type="paragraph" w:styleId="35">
    <w:name w:val="footnote text"/>
    <w:basedOn w:val="1"/>
    <w:semiHidden/>
    <w:qFormat/>
    <w:uiPriority w:val="0"/>
    <w:pPr>
      <w:snapToGrid w:val="0"/>
      <w:jc w:val="left"/>
    </w:pPr>
    <w:rPr>
      <w:sz w:val="18"/>
    </w:rPr>
  </w:style>
  <w:style w:type="paragraph" w:styleId="36">
    <w:name w:val="toc 6"/>
    <w:basedOn w:val="1"/>
    <w:next w:val="1"/>
    <w:semiHidden/>
    <w:qFormat/>
    <w:uiPriority w:val="0"/>
    <w:pPr>
      <w:ind w:left="1050"/>
      <w:jc w:val="left"/>
    </w:pPr>
    <w:rPr>
      <w:sz w:val="18"/>
    </w:rPr>
  </w:style>
  <w:style w:type="paragraph" w:styleId="37">
    <w:name w:val="List 5"/>
    <w:basedOn w:val="1"/>
    <w:qFormat/>
    <w:uiPriority w:val="0"/>
    <w:pPr>
      <w:ind w:left="100" w:leftChars="800" w:hanging="200" w:hangingChars="200"/>
    </w:pPr>
  </w:style>
  <w:style w:type="paragraph" w:styleId="38">
    <w:name w:val="Body Text Indent 3"/>
    <w:basedOn w:val="1"/>
    <w:qFormat/>
    <w:uiPriority w:val="0"/>
    <w:pPr>
      <w:spacing w:after="120"/>
      <w:ind w:left="420" w:leftChars="200"/>
    </w:pPr>
    <w:rPr>
      <w:sz w:val="16"/>
    </w:rPr>
  </w:style>
  <w:style w:type="paragraph" w:styleId="39">
    <w:name w:val="toc 2"/>
    <w:basedOn w:val="1"/>
    <w:next w:val="1"/>
    <w:semiHidden/>
    <w:qFormat/>
    <w:uiPriority w:val="0"/>
    <w:pPr>
      <w:ind w:left="210"/>
      <w:jc w:val="left"/>
    </w:pPr>
    <w:rPr>
      <w:smallCaps/>
      <w:sz w:val="20"/>
    </w:rPr>
  </w:style>
  <w:style w:type="paragraph" w:styleId="40">
    <w:name w:val="toc 9"/>
    <w:basedOn w:val="1"/>
    <w:next w:val="1"/>
    <w:semiHidden/>
    <w:qFormat/>
    <w:uiPriority w:val="0"/>
    <w:pPr>
      <w:ind w:left="1680"/>
      <w:jc w:val="left"/>
    </w:pPr>
    <w:rPr>
      <w:sz w:val="18"/>
    </w:rPr>
  </w:style>
  <w:style w:type="paragraph" w:styleId="41">
    <w:name w:val="Body Text 2"/>
    <w:basedOn w:val="1"/>
    <w:qFormat/>
    <w:uiPriority w:val="0"/>
    <w:rPr>
      <w:rFonts w:ascii="宋体" w:hAnsi="宋体"/>
      <w:sz w:val="24"/>
    </w:r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62"/>
    <w:qFormat/>
    <w:uiPriority w:val="0"/>
    <w:rPr>
      <w:rFonts w:ascii="Courier New" w:hAnsi="Courier New"/>
      <w:sz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List Continue 3"/>
    <w:basedOn w:val="1"/>
    <w:qFormat/>
    <w:uiPriority w:val="0"/>
    <w:pPr>
      <w:spacing w:after="120"/>
      <w:ind w:left="1260" w:leftChars="600"/>
    </w:pPr>
  </w:style>
  <w:style w:type="paragraph" w:styleId="47">
    <w:name w:val="annotation subject"/>
    <w:basedOn w:val="15"/>
    <w:next w:val="15"/>
    <w:semiHidden/>
    <w:qFormat/>
    <w:uiPriority w:val="0"/>
    <w:rPr>
      <w:b/>
    </w:rPr>
  </w:style>
  <w:style w:type="paragraph" w:styleId="48">
    <w:name w:val="Body Text First Indent"/>
    <w:basedOn w:val="1"/>
    <w:qFormat/>
    <w:uiPriority w:val="0"/>
    <w:pPr>
      <w:spacing w:line="360" w:lineRule="auto"/>
      <w:ind w:firstLine="482"/>
    </w:pPr>
    <w:rPr>
      <w:b/>
      <w:sz w:val="24"/>
    </w:rPr>
  </w:style>
  <w:style w:type="table" w:styleId="50">
    <w:name w:val="Table Grid"/>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page number"/>
    <w:qFormat/>
    <w:uiPriority w:val="0"/>
    <w:rPr>
      <w:rFonts w:cs="Times New Roman"/>
    </w:rPr>
  </w:style>
  <w:style w:type="character" w:styleId="53">
    <w:name w:val="Hyperlink"/>
    <w:basedOn w:val="51"/>
    <w:qFormat/>
    <w:uiPriority w:val="0"/>
    <w:rPr>
      <w:color w:val="0000FF"/>
      <w:u w:val="single"/>
    </w:rPr>
  </w:style>
  <w:style w:type="character" w:styleId="54">
    <w:name w:val="annotation reference"/>
    <w:semiHidden/>
    <w:qFormat/>
    <w:uiPriority w:val="0"/>
    <w:rPr>
      <w:sz w:val="21"/>
    </w:rPr>
  </w:style>
  <w:style w:type="character" w:styleId="55">
    <w:name w:val="footnote reference"/>
    <w:semiHidden/>
    <w:qFormat/>
    <w:uiPriority w:val="0"/>
    <w:rPr>
      <w:vertAlign w:val="superscript"/>
    </w:rPr>
  </w:style>
  <w:style w:type="character" w:customStyle="1" w:styleId="56">
    <w:name w:val="标题 1 Char Char"/>
    <w:qFormat/>
    <w:uiPriority w:val="0"/>
    <w:rPr>
      <w:rFonts w:hint="eastAsia" w:ascii="宋体" w:hAnsi="宋体" w:eastAsia="宋体"/>
      <w:b/>
      <w:spacing w:val="-2"/>
      <w:sz w:val="24"/>
      <w:lang w:val="en-US" w:eastAsia="zh-CN"/>
    </w:rPr>
  </w:style>
  <w:style w:type="character" w:customStyle="1" w:styleId="57">
    <w:name w:val="Style Heading 3 + Char"/>
    <w:link w:val="58"/>
    <w:qFormat/>
    <w:locked/>
    <w:uiPriority w:val="0"/>
    <w:rPr>
      <w:rFonts w:eastAsia="宋体"/>
      <w:b/>
      <w:kern w:val="2"/>
      <w:sz w:val="28"/>
      <w:lang w:val="en-US" w:eastAsia="zh-CN"/>
    </w:rPr>
  </w:style>
  <w:style w:type="paragraph" w:customStyle="1" w:styleId="58">
    <w:name w:val="Style Heading 3 +"/>
    <w:basedOn w:val="4"/>
    <w:link w:val="57"/>
    <w:qFormat/>
    <w:uiPriority w:val="0"/>
    <w:pPr>
      <w:adjustRightInd/>
      <w:spacing w:before="120" w:after="120" w:line="120" w:lineRule="atLeast"/>
      <w:textAlignment w:val="auto"/>
    </w:pPr>
    <w:rPr>
      <w:kern w:val="2"/>
      <w:sz w:val="28"/>
    </w:rPr>
  </w:style>
  <w:style w:type="character" w:customStyle="1" w:styleId="59">
    <w:name w:val="页脚 Char"/>
    <w:link w:val="29"/>
    <w:qFormat/>
    <w:locked/>
    <w:uiPriority w:val="99"/>
    <w:rPr>
      <w:kern w:val="2"/>
      <w:sz w:val="18"/>
    </w:rPr>
  </w:style>
  <w:style w:type="character" w:customStyle="1" w:styleId="60">
    <w:name w:val="正文文本缩进 Char"/>
    <w:link w:val="17"/>
    <w:qFormat/>
    <w:uiPriority w:val="0"/>
    <w:rPr>
      <w:kern w:val="2"/>
      <w:sz w:val="24"/>
    </w:rPr>
  </w:style>
  <w:style w:type="character" w:customStyle="1" w:styleId="61">
    <w:name w:val="标题 2 Char"/>
    <w:basedOn w:val="51"/>
    <w:link w:val="3"/>
    <w:qFormat/>
    <w:uiPriority w:val="0"/>
    <w:rPr>
      <w:rFonts w:ascii="Arial" w:hAnsi="Arial" w:eastAsia="黑体"/>
      <w:b/>
      <w:sz w:val="32"/>
    </w:rPr>
  </w:style>
  <w:style w:type="character" w:customStyle="1" w:styleId="62">
    <w:name w:val="HTML 预设格式 Char"/>
    <w:link w:val="44"/>
    <w:qFormat/>
    <w:locked/>
    <w:uiPriority w:val="0"/>
    <w:rPr>
      <w:rFonts w:ascii="Courier New" w:hAnsi="Courier New"/>
      <w:kern w:val="2"/>
    </w:rPr>
  </w:style>
  <w:style w:type="character" w:customStyle="1" w:styleId="63">
    <w:name w:val="style1"/>
    <w:qFormat/>
    <w:uiPriority w:val="0"/>
    <w:rPr>
      <w:rFonts w:cs="Times New Roman"/>
    </w:rPr>
  </w:style>
  <w:style w:type="character" w:customStyle="1" w:styleId="64">
    <w:name w:val="正文缩进 Char"/>
    <w:link w:val="13"/>
    <w:qFormat/>
    <w:locked/>
    <w:uiPriority w:val="0"/>
    <w:rPr>
      <w:kern w:val="2"/>
      <w:sz w:val="21"/>
    </w:rPr>
  </w:style>
  <w:style w:type="character" w:customStyle="1" w:styleId="65">
    <w:name w:val="标题 4 Char"/>
    <w:link w:val="5"/>
    <w:qFormat/>
    <w:locked/>
    <w:uiPriority w:val="0"/>
    <w:rPr>
      <w:rFonts w:ascii="Arial" w:hAnsi="Arial" w:eastAsia="黑体"/>
      <w:b/>
      <w:kern w:val="2"/>
      <w:sz w:val="28"/>
      <w:lang w:val="en-US" w:eastAsia="zh-CN"/>
    </w:rPr>
  </w:style>
  <w:style w:type="character" w:customStyle="1" w:styleId="66">
    <w:name w:val="批注文字 Char"/>
    <w:link w:val="15"/>
    <w:qFormat/>
    <w:locked/>
    <w:uiPriority w:val="0"/>
    <w:rPr>
      <w:kern w:val="2"/>
      <w:sz w:val="21"/>
    </w:rPr>
  </w:style>
  <w:style w:type="character" w:customStyle="1" w:styleId="67">
    <w:name w:val="标题 1 Char"/>
    <w:link w:val="2"/>
    <w:qFormat/>
    <w:locked/>
    <w:uiPriority w:val="0"/>
    <w:rPr>
      <w:b/>
      <w:kern w:val="44"/>
      <w:sz w:val="44"/>
    </w:rPr>
  </w:style>
  <w:style w:type="character" w:customStyle="1" w:styleId="68">
    <w:name w:val="批注框文本 Char"/>
    <w:link w:val="28"/>
    <w:qFormat/>
    <w:locked/>
    <w:uiPriority w:val="0"/>
    <w:rPr>
      <w:rFonts w:eastAsia="宋体"/>
      <w:kern w:val="2"/>
      <w:sz w:val="18"/>
      <w:lang w:val="en-US" w:eastAsia="zh-CN"/>
    </w:rPr>
  </w:style>
  <w:style w:type="paragraph" w:customStyle="1" w:styleId="69">
    <w:name w:val="1"/>
    <w:basedOn w:val="1"/>
    <w:next w:val="23"/>
    <w:qFormat/>
    <w:uiPriority w:val="0"/>
    <w:rPr>
      <w:rFonts w:ascii="宋体" w:hAnsi="Courier New"/>
    </w:rPr>
  </w:style>
  <w:style w:type="paragraph" w:customStyle="1" w:styleId="70">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1">
    <w:name w:val="简单回函地址"/>
    <w:basedOn w:val="1"/>
    <w:qFormat/>
    <w:uiPriority w:val="0"/>
  </w:style>
  <w:style w:type="paragraph" w:customStyle="1" w:styleId="72">
    <w:name w:val="p0"/>
    <w:basedOn w:val="1"/>
    <w:qFormat/>
    <w:uiPriority w:val="0"/>
    <w:pPr>
      <w:widowControl/>
    </w:pPr>
    <w:rPr>
      <w:kern w:val="0"/>
      <w:szCs w:val="21"/>
    </w:rPr>
  </w:style>
  <w:style w:type="paragraph" w:customStyle="1" w:styleId="73">
    <w:name w:val="纯文本2"/>
    <w:basedOn w:val="1"/>
    <w:qFormat/>
    <w:uiPriority w:val="0"/>
    <w:rPr>
      <w:rFonts w:ascii="宋体" w:hAnsi="Courier New"/>
      <w:sz w:val="28"/>
      <w:szCs w:val="24"/>
    </w:rPr>
  </w:style>
  <w:style w:type="paragraph" w:customStyle="1" w:styleId="74">
    <w:name w:val="图文"/>
    <w:basedOn w:val="1"/>
    <w:qFormat/>
    <w:uiPriority w:val="0"/>
    <w:pPr>
      <w:adjustRightInd w:val="0"/>
      <w:snapToGrid w:val="0"/>
      <w:spacing w:after="50" w:line="360" w:lineRule="auto"/>
    </w:pPr>
    <w:rPr>
      <w:sz w:val="24"/>
    </w:rPr>
  </w:style>
  <w:style w:type="paragraph" w:customStyle="1" w:styleId="75">
    <w:name w:val="Char Char Char1 Char"/>
    <w:basedOn w:val="1"/>
    <w:qFormat/>
    <w:uiPriority w:val="0"/>
  </w:style>
  <w:style w:type="paragraph" w:customStyle="1" w:styleId="7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77">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9">
    <w:name w:val="列出段落1"/>
    <w:basedOn w:val="1"/>
    <w:qFormat/>
    <w:uiPriority w:val="0"/>
    <w:pPr>
      <w:ind w:firstLine="420" w:firstLineChars="200"/>
    </w:pPr>
  </w:style>
  <w:style w:type="paragraph" w:customStyle="1" w:styleId="80">
    <w:name w:val="Plain Text1"/>
    <w:basedOn w:val="1"/>
    <w:qFormat/>
    <w:uiPriority w:val="0"/>
    <w:pPr>
      <w:widowControl/>
      <w:adjustRightInd w:val="0"/>
      <w:jc w:val="left"/>
      <w:textAlignment w:val="baseline"/>
    </w:pPr>
    <w:rPr>
      <w:rFonts w:ascii="宋体" w:hAnsi="Courier New" w:eastAsia="楷体_GB2312"/>
      <w:kern w:val="0"/>
      <w:sz w:val="26"/>
    </w:rPr>
  </w:style>
  <w:style w:type="paragraph" w:customStyle="1" w:styleId="81">
    <w:name w:val="默认段落字体 Para Char Char Char Char"/>
    <w:basedOn w:val="1"/>
    <w:qFormat/>
    <w:uiPriority w:val="0"/>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F0B19-1068-43EE-9D37-40D0F14AE11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12447</Words>
  <Characters>12751</Characters>
  <Lines>99</Lines>
  <Paragraphs>28</Paragraphs>
  <TotalTime>18</TotalTime>
  <ScaleCrop>false</ScaleCrop>
  <LinksUpToDate>false</LinksUpToDate>
  <CharactersWithSpaces>13354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2021-08-29T14:41:00Z</dcterms:created>
  <dc:creator>戴健秋</dc:creator>
  <cp:lastModifiedBy>雕</cp:lastModifiedBy>
  <cp:lastPrinted>2018-04-26T07:08:00Z</cp:lastPrinted>
  <dcterms:modified xsi:type="dcterms:W3CDTF">2024-10-16T09:17:44Z</dcterms:modified>
  <dc:title>南京国衡南通分公司 代理 招标及竞谈 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243A02B41F9F41F4A4D50EDBDFF96CF9</vt:lpwstr>
  </property>
</Properties>
</file>