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6300"/>
        </w:tabs>
        <w:snapToGrid w:val="0"/>
        <w:spacing w:line="300" w:lineRule="auto"/>
        <w:jc w:val="left"/>
        <w:rPr>
          <w:rFonts w:hAnsi="宋体"/>
          <w:color w:val="auto"/>
          <w:sz w:val="44"/>
          <w:szCs w:val="44"/>
          <w:highlight w:val="none"/>
          <w:shd w:val="clear" w:color="auto" w:fill="auto"/>
        </w:rPr>
      </w:pPr>
      <w:bookmarkStart w:id="8" w:name="_GoBack"/>
      <w:r>
        <w:rPr>
          <w:rFonts w:hint="eastAsia" w:hAnsi="宋体"/>
          <w:color w:val="auto"/>
          <w:sz w:val="44"/>
          <w:szCs w:val="44"/>
          <w:highlight w:val="none"/>
          <w:shd w:val="clear" w:color="auto" w:fill="auto"/>
        </w:rPr>
        <w:t xml:space="preserve">   </w:t>
      </w:r>
      <w:r>
        <w:rPr>
          <w:rFonts w:hAnsi="宋体"/>
          <w:color w:val="auto"/>
          <w:sz w:val="44"/>
          <w:szCs w:val="44"/>
          <w:highlight w:val="none"/>
          <w:shd w:val="clear" w:color="auto" w:fill="auto"/>
        </w:rPr>
        <w:tab/>
      </w:r>
    </w:p>
    <w:p>
      <w:pPr>
        <w:tabs>
          <w:tab w:val="left" w:pos="6300"/>
        </w:tabs>
        <w:snapToGrid w:val="0"/>
        <w:spacing w:line="300" w:lineRule="auto"/>
        <w:jc w:val="center"/>
        <w:rPr>
          <w:rFonts w:hAnsi="宋体" w:cs="宋体"/>
          <w:color w:val="auto"/>
          <w:sz w:val="36"/>
          <w:szCs w:val="36"/>
          <w:highlight w:val="none"/>
          <w:shd w:val="clear" w:color="auto" w:fill="auto"/>
        </w:rPr>
      </w:pPr>
    </w:p>
    <w:p>
      <w:pPr>
        <w:spacing w:line="700" w:lineRule="exact"/>
        <w:jc w:val="center"/>
        <w:rPr>
          <w:rFonts w:hint="default" w:hAnsi="宋体" w:eastAsia="宋体"/>
          <w:b/>
          <w:color w:val="auto"/>
          <w:sz w:val="56"/>
          <w:szCs w:val="56"/>
          <w:highlight w:val="none"/>
          <w:shd w:val="clear" w:color="auto" w:fill="auto"/>
          <w:lang w:val="en-US" w:eastAsia="zh-CN"/>
        </w:rPr>
      </w:pPr>
      <w:r>
        <w:rPr>
          <w:rFonts w:hint="eastAsia" w:hAnsi="宋体" w:cs="宋体"/>
          <w:b/>
          <w:bCs/>
          <w:color w:val="auto"/>
          <w:sz w:val="44"/>
          <w:szCs w:val="44"/>
          <w:highlight w:val="none"/>
          <w:shd w:val="clear" w:color="auto" w:fill="auto"/>
          <w:lang w:eastAsia="zh-CN"/>
        </w:rPr>
        <w:t>南通博物苑“百年如意—故宫博物院典藏如意特展”</w:t>
      </w:r>
      <w:r>
        <w:rPr>
          <w:rFonts w:hint="eastAsia" w:hAnsi="宋体" w:cs="宋体"/>
          <w:b/>
          <w:bCs/>
          <w:color w:val="auto"/>
          <w:sz w:val="44"/>
          <w:szCs w:val="44"/>
          <w:highlight w:val="none"/>
          <w:shd w:val="clear" w:color="auto" w:fill="auto"/>
          <w:lang w:val="en-US" w:eastAsia="zh-CN"/>
        </w:rPr>
        <w:t>展览运输布置项目</w:t>
      </w:r>
    </w:p>
    <w:p>
      <w:pPr>
        <w:spacing w:line="1400" w:lineRule="exact"/>
        <w:jc w:val="center"/>
        <w:rPr>
          <w:rFonts w:hAnsi="宋体"/>
          <w:b/>
          <w:color w:val="auto"/>
          <w:sz w:val="72"/>
          <w:szCs w:val="72"/>
          <w:highlight w:val="none"/>
          <w:shd w:val="clear" w:color="auto" w:fill="auto"/>
        </w:rPr>
      </w:pPr>
    </w:p>
    <w:p>
      <w:pPr>
        <w:spacing w:line="1400" w:lineRule="exact"/>
        <w:jc w:val="center"/>
        <w:rPr>
          <w:rFonts w:hAnsi="宋体"/>
          <w:b/>
          <w:color w:val="auto"/>
          <w:sz w:val="72"/>
          <w:szCs w:val="72"/>
          <w:highlight w:val="none"/>
          <w:shd w:val="clear" w:color="auto" w:fill="auto"/>
        </w:rPr>
      </w:pPr>
    </w:p>
    <w:p>
      <w:pPr>
        <w:spacing w:line="1400" w:lineRule="exact"/>
        <w:jc w:val="center"/>
        <w:rPr>
          <w:rFonts w:hAnsi="宋体"/>
          <w:b/>
          <w:color w:val="auto"/>
          <w:sz w:val="72"/>
          <w:szCs w:val="72"/>
          <w:highlight w:val="none"/>
          <w:shd w:val="clear" w:color="auto" w:fill="auto"/>
        </w:rPr>
      </w:pPr>
      <w:r>
        <w:rPr>
          <w:rFonts w:hAnsi="宋体"/>
          <w:b/>
          <w:color w:val="auto"/>
          <w:sz w:val="72"/>
          <w:szCs w:val="72"/>
          <w:highlight w:val="none"/>
          <w:shd w:val="clear" w:color="auto" w:fill="auto"/>
        </w:rPr>
        <w:t>竞争性磋商文件</w:t>
      </w:r>
    </w:p>
    <w:p>
      <w:pPr>
        <w:spacing w:line="720" w:lineRule="auto"/>
        <w:jc w:val="center"/>
        <w:rPr>
          <w:rFonts w:hAnsi="宋体"/>
          <w:b/>
          <w:color w:val="auto"/>
          <w:sz w:val="44"/>
          <w:szCs w:val="44"/>
          <w:highlight w:val="none"/>
          <w:shd w:val="clear" w:color="auto" w:fill="auto"/>
        </w:rPr>
      </w:pPr>
      <w:r>
        <w:rPr>
          <w:rFonts w:hint="eastAsia" w:hAnsi="宋体"/>
          <w:b/>
          <w:color w:val="auto"/>
          <w:sz w:val="44"/>
          <w:szCs w:val="44"/>
          <w:highlight w:val="none"/>
          <w:shd w:val="clear" w:color="auto" w:fill="auto"/>
        </w:rPr>
        <w:t>（资格后审）</w:t>
      </w:r>
    </w:p>
    <w:p>
      <w:pPr>
        <w:snapToGrid w:val="0"/>
        <w:spacing w:line="360" w:lineRule="auto"/>
        <w:jc w:val="center"/>
        <w:rPr>
          <w:rFonts w:hint="eastAsia" w:hAnsi="宋体"/>
          <w:b/>
          <w:color w:val="auto"/>
          <w:sz w:val="36"/>
          <w:highlight w:val="none"/>
          <w:shd w:val="clear" w:color="auto" w:fill="auto"/>
          <w:lang w:val="en-US" w:eastAsia="zh-CN"/>
        </w:rPr>
      </w:pPr>
    </w:p>
    <w:p>
      <w:pPr>
        <w:snapToGrid w:val="0"/>
        <w:spacing w:line="360" w:lineRule="auto"/>
        <w:jc w:val="center"/>
        <w:rPr>
          <w:rFonts w:hAnsi="宋体"/>
          <w:b/>
          <w:color w:val="auto"/>
          <w:sz w:val="36"/>
          <w:highlight w:val="none"/>
          <w:shd w:val="clear" w:color="auto" w:fill="auto"/>
        </w:rPr>
      </w:pPr>
    </w:p>
    <w:p>
      <w:pPr>
        <w:snapToGrid w:val="0"/>
        <w:spacing w:line="360" w:lineRule="auto"/>
        <w:rPr>
          <w:rFonts w:hAnsi="宋体"/>
          <w:b/>
          <w:color w:val="auto"/>
          <w:sz w:val="36"/>
          <w:highlight w:val="none"/>
          <w:shd w:val="clear" w:color="auto" w:fill="auto"/>
        </w:rPr>
      </w:pPr>
    </w:p>
    <w:p>
      <w:pPr>
        <w:snapToGrid w:val="0"/>
        <w:spacing w:line="360" w:lineRule="auto"/>
        <w:jc w:val="center"/>
        <w:rPr>
          <w:rFonts w:hAnsi="宋体"/>
          <w:b/>
          <w:color w:val="auto"/>
          <w:sz w:val="36"/>
          <w:highlight w:val="none"/>
          <w:shd w:val="clear" w:color="auto" w:fill="auto"/>
        </w:rPr>
      </w:pPr>
    </w:p>
    <w:p>
      <w:pPr>
        <w:adjustRightInd w:val="0"/>
        <w:snapToGrid w:val="0"/>
        <w:spacing w:line="360" w:lineRule="auto"/>
        <w:rPr>
          <w:rFonts w:hint="eastAsia" w:hAnsi="宋体" w:cs="宋体"/>
          <w:b/>
          <w:color w:val="auto"/>
          <w:sz w:val="30"/>
          <w:szCs w:val="30"/>
          <w:highlight w:val="none"/>
          <w:shd w:val="clear" w:color="auto" w:fill="auto"/>
        </w:rPr>
      </w:pPr>
    </w:p>
    <w:p>
      <w:pPr>
        <w:adjustRightInd w:val="0"/>
        <w:snapToGrid w:val="0"/>
        <w:spacing w:line="360" w:lineRule="auto"/>
        <w:jc w:val="center"/>
        <w:rPr>
          <w:rFonts w:hint="eastAsia" w:hAnsi="宋体" w:eastAsia="宋体" w:cs="宋体"/>
          <w:b/>
          <w:color w:val="auto"/>
          <w:sz w:val="30"/>
          <w:szCs w:val="30"/>
          <w:highlight w:val="none"/>
          <w:shd w:val="clear" w:color="auto" w:fill="auto"/>
          <w:lang w:eastAsia="zh-CN"/>
        </w:rPr>
      </w:pPr>
      <w:r>
        <w:rPr>
          <w:rFonts w:hint="eastAsia" w:hAnsi="宋体" w:cs="宋体"/>
          <w:b/>
          <w:color w:val="auto"/>
          <w:sz w:val="30"/>
          <w:szCs w:val="30"/>
          <w:highlight w:val="none"/>
          <w:shd w:val="clear" w:color="auto" w:fill="auto"/>
        </w:rPr>
        <w:t>采购人：</w:t>
      </w:r>
      <w:r>
        <w:rPr>
          <w:rFonts w:hint="eastAsia" w:hAnsi="宋体" w:cs="宋体"/>
          <w:b/>
          <w:color w:val="auto"/>
          <w:sz w:val="30"/>
          <w:szCs w:val="30"/>
          <w:highlight w:val="none"/>
          <w:shd w:val="clear" w:color="auto" w:fill="auto"/>
          <w:lang w:eastAsia="zh-CN"/>
        </w:rPr>
        <w:t>南通博物苑</w:t>
      </w:r>
    </w:p>
    <w:p>
      <w:pPr>
        <w:adjustRightInd w:val="0"/>
        <w:snapToGrid w:val="0"/>
        <w:spacing w:line="360" w:lineRule="auto"/>
        <w:jc w:val="center"/>
        <w:rPr>
          <w:rFonts w:hAnsi="宋体" w:cs="宋体"/>
          <w:b/>
          <w:color w:val="auto"/>
          <w:sz w:val="30"/>
          <w:szCs w:val="30"/>
          <w:highlight w:val="none"/>
          <w:shd w:val="clear" w:color="auto" w:fill="auto"/>
        </w:rPr>
      </w:pPr>
      <w:r>
        <w:rPr>
          <w:rFonts w:hint="eastAsia" w:hAnsi="宋体" w:cs="宋体"/>
          <w:b/>
          <w:color w:val="auto"/>
          <w:sz w:val="30"/>
          <w:szCs w:val="30"/>
          <w:highlight w:val="none"/>
          <w:shd w:val="clear" w:color="auto" w:fill="auto"/>
        </w:rPr>
        <w:t>代理机构：江苏正扬招标代理有限公司</w:t>
      </w:r>
    </w:p>
    <w:p>
      <w:pPr>
        <w:adjustRightInd w:val="0"/>
        <w:snapToGrid w:val="0"/>
        <w:spacing w:line="360" w:lineRule="auto"/>
        <w:jc w:val="center"/>
        <w:rPr>
          <w:rFonts w:hAnsi="宋体" w:cs="宋体"/>
          <w:b/>
          <w:color w:val="auto"/>
          <w:sz w:val="30"/>
          <w:szCs w:val="30"/>
          <w:highlight w:val="none"/>
          <w:shd w:val="clear" w:color="auto" w:fill="auto"/>
        </w:rPr>
      </w:pPr>
    </w:p>
    <w:p>
      <w:pPr>
        <w:adjustRightInd w:val="0"/>
        <w:snapToGrid w:val="0"/>
        <w:spacing w:line="360" w:lineRule="auto"/>
        <w:jc w:val="center"/>
        <w:rPr>
          <w:rFonts w:hAnsi="宋体" w:cs="宋体"/>
          <w:b/>
          <w:color w:val="auto"/>
          <w:sz w:val="44"/>
          <w:szCs w:val="44"/>
          <w:highlight w:val="none"/>
          <w:shd w:val="clear" w:color="auto" w:fill="auto"/>
        </w:rPr>
      </w:pPr>
      <w:r>
        <w:rPr>
          <w:rFonts w:hint="eastAsia" w:hAnsi="宋体" w:cs="宋体"/>
          <w:b/>
          <w:color w:val="auto"/>
          <w:sz w:val="30"/>
          <w:szCs w:val="30"/>
          <w:highlight w:val="none"/>
          <w:shd w:val="clear" w:color="auto" w:fill="auto"/>
          <w:lang w:val="en-US" w:eastAsia="zh-CN"/>
        </w:rPr>
        <w:t>2025</w:t>
      </w:r>
      <w:r>
        <w:rPr>
          <w:rFonts w:hint="eastAsia" w:hAnsi="宋体" w:cs="宋体"/>
          <w:b/>
          <w:color w:val="auto"/>
          <w:sz w:val="30"/>
          <w:szCs w:val="30"/>
          <w:highlight w:val="none"/>
          <w:shd w:val="clear" w:color="auto" w:fill="auto"/>
        </w:rPr>
        <w:t>年</w:t>
      </w:r>
      <w:r>
        <w:rPr>
          <w:rFonts w:hint="eastAsia" w:hAnsi="宋体" w:cs="宋体"/>
          <w:b/>
          <w:color w:val="auto"/>
          <w:sz w:val="30"/>
          <w:szCs w:val="30"/>
          <w:highlight w:val="none"/>
          <w:shd w:val="clear" w:color="auto" w:fill="auto"/>
          <w:lang w:val="en-US" w:eastAsia="zh-CN"/>
        </w:rPr>
        <w:t>11</w:t>
      </w:r>
      <w:r>
        <w:rPr>
          <w:rFonts w:hint="eastAsia" w:hAnsi="宋体" w:cs="宋体"/>
          <w:b/>
          <w:color w:val="auto"/>
          <w:sz w:val="30"/>
          <w:szCs w:val="30"/>
          <w:highlight w:val="none"/>
          <w:shd w:val="clear" w:color="auto" w:fill="auto"/>
        </w:rPr>
        <w:t>月</w:t>
      </w:r>
      <w:r>
        <w:rPr>
          <w:rFonts w:hAnsi="宋体" w:cs="宋体"/>
          <w:b/>
          <w:color w:val="auto"/>
          <w:sz w:val="44"/>
          <w:szCs w:val="44"/>
          <w:highlight w:val="none"/>
          <w:shd w:val="clear" w:color="auto" w:fill="auto"/>
        </w:rPr>
        <w:br w:type="page"/>
      </w:r>
    </w:p>
    <w:p>
      <w:pPr>
        <w:jc w:val="center"/>
        <w:rPr>
          <w:rFonts w:hAnsi="宋体" w:cs="宋体"/>
          <w:b/>
          <w:color w:val="auto"/>
          <w:sz w:val="44"/>
          <w:szCs w:val="44"/>
          <w:highlight w:val="none"/>
          <w:shd w:val="clear" w:color="auto" w:fill="auto"/>
        </w:rPr>
      </w:pPr>
    </w:p>
    <w:p>
      <w:pPr>
        <w:jc w:val="center"/>
        <w:rPr>
          <w:rFonts w:hAnsi="宋体" w:cs="宋体"/>
          <w:b/>
          <w:color w:val="auto"/>
          <w:sz w:val="44"/>
          <w:szCs w:val="44"/>
          <w:highlight w:val="none"/>
          <w:shd w:val="clear" w:color="auto" w:fill="auto"/>
        </w:rPr>
      </w:pPr>
      <w:r>
        <w:rPr>
          <w:rFonts w:hint="eastAsia" w:hAnsi="宋体" w:cs="宋体"/>
          <w:b/>
          <w:color w:val="auto"/>
          <w:sz w:val="44"/>
          <w:szCs w:val="44"/>
          <w:highlight w:val="none"/>
          <w:shd w:val="clear" w:color="auto" w:fill="auto"/>
        </w:rPr>
        <w:t>竞争性磋商文件备案表</w:t>
      </w:r>
    </w:p>
    <w:p>
      <w:pPr>
        <w:jc w:val="center"/>
        <w:rPr>
          <w:rFonts w:hAnsi="宋体" w:cs="宋体"/>
          <w:b/>
          <w:color w:val="auto"/>
          <w:sz w:val="44"/>
          <w:szCs w:val="44"/>
          <w:highlight w:val="none"/>
          <w:shd w:val="clear" w:color="auto" w:fill="auto"/>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8" w:hRule="atLeast"/>
          <w:jc w:val="center"/>
        </w:trPr>
        <w:tc>
          <w:tcPr>
            <w:tcW w:w="9180" w:type="dxa"/>
          </w:tcPr>
          <w:p>
            <w:pPr>
              <w:spacing w:line="360" w:lineRule="auto"/>
              <w:jc w:val="center"/>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编制人：李艳梅</w:t>
            </w:r>
          </w:p>
          <w:p>
            <w:pPr>
              <w:tabs>
                <w:tab w:val="left" w:pos="3492"/>
              </w:tabs>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日  期：</w:t>
            </w:r>
            <w:r>
              <w:rPr>
                <w:rFonts w:hint="eastAsia" w:hAnsi="宋体" w:cs="宋体"/>
                <w:color w:val="auto"/>
                <w:position w:val="-48"/>
                <w:sz w:val="25"/>
                <w:highlight w:val="none"/>
                <w:shd w:val="clear" w:color="auto" w:fill="auto"/>
                <w:lang w:eastAsia="zh-CN"/>
              </w:rPr>
              <w:t>2025年</w:t>
            </w:r>
            <w:r>
              <w:rPr>
                <w:rFonts w:hint="eastAsia" w:hAnsi="宋体" w:cs="宋体"/>
                <w:color w:val="auto"/>
                <w:position w:val="-48"/>
                <w:sz w:val="25"/>
                <w:highlight w:val="none"/>
                <w:shd w:val="clear" w:color="auto" w:fill="auto"/>
                <w:lang w:val="en-US" w:eastAsia="zh-CN"/>
              </w:rPr>
              <w:t>11</w:t>
            </w:r>
            <w:r>
              <w:rPr>
                <w:rFonts w:hint="eastAsia" w:hAnsi="宋体" w:cs="宋体"/>
                <w:color w:val="auto"/>
                <w:position w:val="-48"/>
                <w:sz w:val="25"/>
                <w:highlight w:val="none"/>
                <w:shd w:val="clear" w:color="auto" w:fill="auto"/>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5" w:hRule="atLeast"/>
          <w:jc w:val="center"/>
        </w:trPr>
        <w:tc>
          <w:tcPr>
            <w:tcW w:w="9180" w:type="dxa"/>
          </w:tcPr>
          <w:p>
            <w:pPr>
              <w:spacing w:line="360" w:lineRule="auto"/>
              <w:rPr>
                <w:rFonts w:hAnsi="宋体" w:cs="宋体"/>
                <w:color w:val="auto"/>
                <w:position w:val="-48"/>
                <w:sz w:val="25"/>
                <w:highlight w:val="none"/>
                <w:shd w:val="clear" w:color="auto" w:fill="auto"/>
              </w:rPr>
            </w:pPr>
          </w:p>
          <w:p>
            <w:pPr>
              <w:spacing w:line="360" w:lineRule="auto"/>
              <w:ind w:firstLine="625" w:firstLineChars="250"/>
              <w:jc w:val="center"/>
              <w:rPr>
                <w:rFonts w:hAnsi="宋体" w:cs="宋体"/>
                <w:color w:val="auto"/>
                <w:position w:val="-48"/>
                <w:sz w:val="25"/>
                <w:highlight w:val="none"/>
                <w:shd w:val="clear" w:color="auto" w:fill="auto"/>
              </w:rPr>
            </w:pPr>
          </w:p>
          <w:p>
            <w:pPr>
              <w:spacing w:line="360" w:lineRule="auto"/>
              <w:ind w:firstLine="625" w:firstLineChars="250"/>
              <w:jc w:val="center"/>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采购人（盖章）</w:t>
            </w:r>
          </w:p>
          <w:p>
            <w:pPr>
              <w:spacing w:line="360" w:lineRule="auto"/>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代理机构（盖章）</w:t>
            </w:r>
          </w:p>
          <w:p>
            <w:pPr>
              <w:spacing w:line="360" w:lineRule="auto"/>
              <w:rPr>
                <w:rFonts w:hAnsi="宋体" w:cs="宋体"/>
                <w:color w:val="auto"/>
                <w:position w:val="-48"/>
                <w:sz w:val="25"/>
                <w:highlight w:val="none"/>
                <w:shd w:val="clear" w:color="auto" w:fill="auto"/>
              </w:rPr>
            </w:pPr>
          </w:p>
          <w:p>
            <w:pPr>
              <w:spacing w:line="360" w:lineRule="auto"/>
              <w:jc w:val="center"/>
              <w:rPr>
                <w:rFonts w:hAnsi="宋体" w:cs="宋体"/>
                <w:color w:val="auto"/>
                <w:position w:val="-48"/>
                <w:sz w:val="25"/>
                <w:highlight w:val="none"/>
                <w:shd w:val="clear" w:color="auto" w:fill="auto"/>
              </w:rPr>
            </w:pPr>
            <w:r>
              <w:rPr>
                <w:rFonts w:hint="eastAsia" w:hAnsi="宋体" w:cs="宋体"/>
                <w:color w:val="auto"/>
                <w:position w:val="-48"/>
                <w:sz w:val="25"/>
                <w:highlight w:val="none"/>
                <w:shd w:val="clear" w:color="auto" w:fill="auto"/>
              </w:rPr>
              <w:t>日  期：</w:t>
            </w:r>
            <w:r>
              <w:rPr>
                <w:rFonts w:hint="eastAsia" w:hAnsi="宋体" w:cs="宋体"/>
                <w:color w:val="auto"/>
                <w:position w:val="-48"/>
                <w:sz w:val="25"/>
                <w:highlight w:val="none"/>
                <w:shd w:val="clear" w:color="auto" w:fill="auto"/>
                <w:lang w:eastAsia="zh-CN"/>
              </w:rPr>
              <w:t>2025年</w:t>
            </w:r>
            <w:r>
              <w:rPr>
                <w:rFonts w:hint="eastAsia" w:hAnsi="宋体" w:cs="宋体"/>
                <w:color w:val="auto"/>
                <w:position w:val="-48"/>
                <w:sz w:val="25"/>
                <w:highlight w:val="none"/>
                <w:shd w:val="clear" w:color="auto" w:fill="auto"/>
                <w:lang w:val="en-US" w:eastAsia="zh-CN"/>
              </w:rPr>
              <w:t>11</w:t>
            </w:r>
            <w:r>
              <w:rPr>
                <w:rFonts w:hint="eastAsia" w:hAnsi="宋体" w:cs="宋体"/>
                <w:color w:val="auto"/>
                <w:position w:val="-48"/>
                <w:sz w:val="25"/>
                <w:highlight w:val="none"/>
                <w:shd w:val="clear" w:color="auto" w:fill="auto"/>
              </w:rPr>
              <w:t>月</w:t>
            </w:r>
          </w:p>
        </w:tc>
      </w:tr>
    </w:tbl>
    <w:p>
      <w:pPr>
        <w:pStyle w:val="6"/>
        <w:overflowPunct w:val="0"/>
        <w:ind w:firstLine="0"/>
        <w:rPr>
          <w:rFonts w:hAnsi="宋体" w:eastAsia="宋体"/>
          <w:b/>
          <w:color w:val="auto"/>
          <w:sz w:val="44"/>
          <w:szCs w:val="44"/>
          <w:highlight w:val="none"/>
          <w:shd w:val="clear" w:color="auto" w:fill="auto"/>
        </w:rPr>
      </w:pPr>
    </w:p>
    <w:p>
      <w:pPr>
        <w:pStyle w:val="6"/>
        <w:overflowPunct w:val="0"/>
        <w:ind w:firstLine="0"/>
        <w:jc w:val="center"/>
        <w:rPr>
          <w:rFonts w:hAnsi="宋体" w:eastAsia="宋体"/>
          <w:b/>
          <w:color w:val="auto"/>
          <w:sz w:val="44"/>
          <w:szCs w:val="44"/>
          <w:highlight w:val="none"/>
          <w:shd w:val="clear" w:color="auto" w:fill="auto"/>
        </w:rPr>
      </w:pPr>
    </w:p>
    <w:p>
      <w:pPr>
        <w:pStyle w:val="6"/>
        <w:overflowPunct w:val="0"/>
        <w:ind w:firstLine="0"/>
        <w:jc w:val="center"/>
        <w:rPr>
          <w:rFonts w:hAnsi="宋体" w:eastAsia="宋体"/>
          <w:b/>
          <w:color w:val="auto"/>
          <w:sz w:val="44"/>
          <w:szCs w:val="44"/>
          <w:highlight w:val="none"/>
          <w:shd w:val="clear" w:color="auto" w:fill="auto"/>
        </w:rPr>
      </w:pPr>
    </w:p>
    <w:p>
      <w:pPr>
        <w:pStyle w:val="6"/>
        <w:overflowPunct w:val="0"/>
        <w:ind w:firstLine="0"/>
        <w:jc w:val="center"/>
        <w:rPr>
          <w:rFonts w:hAnsi="宋体" w:eastAsia="宋体"/>
          <w:b/>
          <w:color w:val="auto"/>
          <w:sz w:val="44"/>
          <w:szCs w:val="44"/>
          <w:highlight w:val="none"/>
          <w:shd w:val="clear" w:color="auto" w:fill="auto"/>
        </w:rPr>
      </w:pPr>
      <w:r>
        <w:rPr>
          <w:rFonts w:hAnsi="宋体" w:eastAsia="宋体"/>
          <w:b/>
          <w:color w:val="auto"/>
          <w:sz w:val="44"/>
          <w:szCs w:val="44"/>
          <w:highlight w:val="none"/>
          <w:shd w:val="clear" w:color="auto" w:fill="auto"/>
        </w:rPr>
        <w:br w:type="page"/>
      </w:r>
      <w:r>
        <w:rPr>
          <w:rFonts w:hint="eastAsia" w:hAnsi="宋体" w:eastAsia="宋体"/>
          <w:b/>
          <w:color w:val="auto"/>
          <w:sz w:val="44"/>
          <w:szCs w:val="44"/>
          <w:highlight w:val="none"/>
          <w:shd w:val="clear" w:color="auto" w:fill="auto"/>
        </w:rPr>
        <w:t>目  录</w:t>
      </w:r>
    </w:p>
    <w:p>
      <w:pPr>
        <w:pStyle w:val="6"/>
        <w:overflowPunct w:val="0"/>
        <w:ind w:firstLine="0"/>
        <w:jc w:val="center"/>
        <w:rPr>
          <w:rFonts w:hAnsi="宋体" w:eastAsia="宋体"/>
          <w:color w:val="auto"/>
          <w:sz w:val="30"/>
          <w:highlight w:val="none"/>
          <w:shd w:val="clear" w:color="auto" w:fill="auto"/>
        </w:rPr>
      </w:pPr>
    </w:p>
    <w:p>
      <w:pPr>
        <w:pStyle w:val="16"/>
        <w:tabs>
          <w:tab w:val="right" w:leader="dot" w:pos="9528"/>
        </w:tabs>
        <w:spacing w:line="1200" w:lineRule="exact"/>
        <w:rPr>
          <w:rFonts w:hint="eastAsia" w:hAnsi="宋体" w:eastAsia="宋体"/>
          <w:color w:val="auto"/>
          <w:sz w:val="32"/>
          <w:szCs w:val="32"/>
          <w:highlight w:val="none"/>
          <w:shd w:val="clear" w:color="auto" w:fill="auto"/>
          <w:lang w:eastAsia="zh-CN"/>
        </w:rPr>
      </w:pPr>
      <w:r>
        <w:rPr>
          <w:rFonts w:hAnsi="宋体" w:eastAsia="宋体"/>
          <w:b/>
          <w:bCs/>
          <w:color w:val="auto"/>
          <w:sz w:val="36"/>
          <w:szCs w:val="36"/>
          <w:highlight w:val="none"/>
          <w:shd w:val="clear" w:color="auto" w:fill="auto"/>
        </w:rPr>
        <w:fldChar w:fldCharType="begin"/>
      </w:r>
      <w:r>
        <w:rPr>
          <w:rFonts w:hAnsi="宋体" w:eastAsia="宋体"/>
          <w:b/>
          <w:bCs/>
          <w:color w:val="auto"/>
          <w:sz w:val="36"/>
          <w:szCs w:val="36"/>
          <w:highlight w:val="none"/>
          <w:shd w:val="clear" w:color="auto" w:fill="auto"/>
        </w:rPr>
        <w:instrText xml:space="preserve"> TOC \o "1-1" </w:instrText>
      </w:r>
      <w:r>
        <w:rPr>
          <w:rFonts w:hAnsi="宋体" w:eastAsia="宋体"/>
          <w:b/>
          <w:bCs/>
          <w:color w:val="auto"/>
          <w:sz w:val="36"/>
          <w:szCs w:val="36"/>
          <w:highlight w:val="none"/>
          <w:shd w:val="clear" w:color="auto" w:fill="auto"/>
        </w:rPr>
        <w:fldChar w:fldCharType="separate"/>
      </w:r>
      <w:r>
        <w:rPr>
          <w:rFonts w:hAnsi="宋体" w:eastAsia="宋体"/>
          <w:color w:val="auto"/>
          <w:sz w:val="32"/>
          <w:szCs w:val="32"/>
          <w:highlight w:val="none"/>
          <w:shd w:val="clear" w:color="auto" w:fill="auto"/>
        </w:rPr>
        <w:t xml:space="preserve">第一章 </w:t>
      </w:r>
      <w:r>
        <w:rPr>
          <w:rFonts w:hint="eastAsia" w:hAnsi="宋体" w:eastAsia="宋体"/>
          <w:color w:val="auto"/>
          <w:sz w:val="32"/>
          <w:szCs w:val="32"/>
          <w:highlight w:val="none"/>
          <w:shd w:val="clear" w:color="auto" w:fill="auto"/>
        </w:rPr>
        <w:t>竞争性磋商</w:t>
      </w:r>
      <w:r>
        <w:rPr>
          <w:rFonts w:hint="eastAsia" w:hAnsi="宋体" w:eastAsia="宋体"/>
          <w:color w:val="auto"/>
          <w:sz w:val="32"/>
          <w:szCs w:val="32"/>
          <w:highlight w:val="none"/>
          <w:shd w:val="clear" w:color="auto" w:fill="auto"/>
          <w:lang w:eastAsia="zh-CN"/>
        </w:rPr>
        <w:t>公告</w:t>
      </w:r>
    </w:p>
    <w:p>
      <w:pPr>
        <w:pStyle w:val="16"/>
        <w:tabs>
          <w:tab w:val="right" w:leader="dot" w:pos="9528"/>
        </w:tabs>
        <w:spacing w:line="1200" w:lineRule="exact"/>
        <w:rPr>
          <w:rFonts w:hAnsi="宋体" w:eastAsia="宋体"/>
          <w:color w:val="auto"/>
          <w:sz w:val="32"/>
          <w:szCs w:val="32"/>
          <w:highlight w:val="none"/>
          <w:shd w:val="clear" w:color="auto" w:fill="auto"/>
        </w:rPr>
      </w:pPr>
      <w:r>
        <w:rPr>
          <w:rFonts w:hAnsi="宋体" w:eastAsia="宋体"/>
          <w:color w:val="auto"/>
          <w:sz w:val="32"/>
          <w:szCs w:val="32"/>
          <w:highlight w:val="none"/>
          <w:shd w:val="clear" w:color="auto" w:fill="auto"/>
        </w:rPr>
        <w:t xml:space="preserve">第二章 </w:t>
      </w:r>
      <w:r>
        <w:rPr>
          <w:rFonts w:hint="eastAsia" w:hAnsi="宋体" w:eastAsia="宋体"/>
          <w:color w:val="auto"/>
          <w:sz w:val="32"/>
          <w:szCs w:val="32"/>
          <w:highlight w:val="none"/>
          <w:shd w:val="clear" w:color="auto" w:fill="auto"/>
        </w:rPr>
        <w:t>供应商</w:t>
      </w:r>
      <w:r>
        <w:rPr>
          <w:rFonts w:hAnsi="宋体" w:eastAsia="宋体"/>
          <w:color w:val="auto"/>
          <w:sz w:val="32"/>
          <w:szCs w:val="32"/>
          <w:highlight w:val="none"/>
          <w:shd w:val="clear" w:color="auto" w:fill="auto"/>
        </w:rPr>
        <w:t>须知</w:t>
      </w:r>
    </w:p>
    <w:p>
      <w:pPr>
        <w:pStyle w:val="16"/>
        <w:tabs>
          <w:tab w:val="right" w:leader="dot" w:pos="9528"/>
        </w:tabs>
        <w:spacing w:line="1200" w:lineRule="exact"/>
        <w:rPr>
          <w:rFonts w:hint="default" w:hAnsi="宋体" w:eastAsia="宋体"/>
          <w:color w:val="auto"/>
          <w:sz w:val="32"/>
          <w:szCs w:val="32"/>
          <w:highlight w:val="none"/>
          <w:shd w:val="clear" w:color="auto" w:fill="auto"/>
          <w:lang w:val="en-US" w:eastAsia="zh-CN"/>
        </w:rPr>
      </w:pPr>
      <w:r>
        <w:rPr>
          <w:rFonts w:hAnsi="宋体" w:eastAsia="宋体"/>
          <w:color w:val="auto"/>
          <w:sz w:val="32"/>
          <w:szCs w:val="32"/>
          <w:highlight w:val="none"/>
          <w:shd w:val="clear" w:color="auto" w:fill="auto"/>
        </w:rPr>
        <w:t xml:space="preserve">第三章 </w:t>
      </w:r>
      <w:r>
        <w:rPr>
          <w:rFonts w:hint="eastAsia" w:hAnsi="宋体" w:eastAsia="宋体"/>
          <w:color w:val="auto"/>
          <w:sz w:val="32"/>
          <w:szCs w:val="32"/>
          <w:highlight w:val="none"/>
          <w:shd w:val="clear" w:color="auto" w:fill="auto"/>
          <w:lang w:val="en-US" w:eastAsia="zh-CN"/>
        </w:rPr>
        <w:t>项目需求</w:t>
      </w:r>
    </w:p>
    <w:p>
      <w:pPr>
        <w:pStyle w:val="16"/>
        <w:tabs>
          <w:tab w:val="right" w:leader="dot" w:pos="9528"/>
        </w:tabs>
        <w:spacing w:line="1200" w:lineRule="exact"/>
        <w:rPr>
          <w:rFonts w:hAnsi="宋体" w:eastAsia="宋体"/>
          <w:color w:val="auto"/>
          <w:sz w:val="32"/>
          <w:szCs w:val="32"/>
          <w:highlight w:val="none"/>
          <w:shd w:val="clear" w:color="auto" w:fill="auto"/>
        </w:rPr>
      </w:pPr>
      <w:r>
        <w:rPr>
          <w:rFonts w:hAnsi="宋体" w:eastAsia="宋体"/>
          <w:color w:val="auto"/>
          <w:sz w:val="32"/>
          <w:szCs w:val="32"/>
          <w:highlight w:val="none"/>
          <w:shd w:val="clear" w:color="auto" w:fill="auto"/>
        </w:rPr>
        <w:t>第</w:t>
      </w:r>
      <w:r>
        <w:rPr>
          <w:rFonts w:hint="eastAsia" w:hAnsi="宋体" w:eastAsia="宋体"/>
          <w:color w:val="auto"/>
          <w:sz w:val="32"/>
          <w:szCs w:val="32"/>
          <w:highlight w:val="none"/>
          <w:shd w:val="clear" w:color="auto" w:fill="auto"/>
        </w:rPr>
        <w:t>四</w:t>
      </w:r>
      <w:r>
        <w:rPr>
          <w:rFonts w:hAnsi="宋体" w:eastAsia="宋体"/>
          <w:color w:val="auto"/>
          <w:sz w:val="32"/>
          <w:szCs w:val="32"/>
          <w:highlight w:val="none"/>
          <w:shd w:val="clear" w:color="auto" w:fill="auto"/>
        </w:rPr>
        <w:t xml:space="preserve">章 </w:t>
      </w:r>
      <w:r>
        <w:rPr>
          <w:rFonts w:hint="eastAsia" w:hAnsi="宋体" w:eastAsia="宋体"/>
          <w:color w:val="auto"/>
          <w:sz w:val="32"/>
          <w:szCs w:val="32"/>
          <w:highlight w:val="none"/>
          <w:shd w:val="clear" w:color="auto" w:fill="auto"/>
        </w:rPr>
        <w:t>评审方法和程序</w:t>
      </w:r>
    </w:p>
    <w:p>
      <w:pPr>
        <w:pStyle w:val="16"/>
        <w:tabs>
          <w:tab w:val="right" w:leader="dot" w:pos="9528"/>
        </w:tabs>
        <w:spacing w:line="1200" w:lineRule="exact"/>
        <w:rPr>
          <w:rFonts w:hAnsi="宋体" w:eastAsia="宋体"/>
          <w:color w:val="auto"/>
          <w:sz w:val="32"/>
          <w:szCs w:val="32"/>
          <w:highlight w:val="none"/>
          <w:shd w:val="clear" w:color="auto" w:fill="auto"/>
        </w:rPr>
      </w:pPr>
      <w:r>
        <w:rPr>
          <w:rFonts w:hint="eastAsia" w:hAnsi="宋体" w:eastAsia="宋体"/>
          <w:color w:val="auto"/>
          <w:sz w:val="32"/>
          <w:szCs w:val="32"/>
          <w:highlight w:val="none"/>
          <w:shd w:val="clear" w:color="auto" w:fill="auto"/>
        </w:rPr>
        <w:t>第五章</w:t>
      </w:r>
      <w:r>
        <w:rPr>
          <w:rFonts w:hAnsi="宋体" w:eastAsia="宋体"/>
          <w:color w:val="auto"/>
          <w:sz w:val="32"/>
          <w:szCs w:val="32"/>
          <w:highlight w:val="none"/>
          <w:shd w:val="clear" w:color="auto" w:fill="auto"/>
        </w:rPr>
        <w:t xml:space="preserve"> </w:t>
      </w:r>
      <w:r>
        <w:rPr>
          <w:rFonts w:hint="eastAsia" w:hAnsi="宋体" w:eastAsia="宋体"/>
          <w:color w:val="auto"/>
          <w:sz w:val="32"/>
          <w:szCs w:val="32"/>
          <w:highlight w:val="none"/>
          <w:shd w:val="clear" w:color="auto" w:fill="auto"/>
        </w:rPr>
        <w:t>合同授予</w:t>
      </w:r>
    </w:p>
    <w:p>
      <w:pPr>
        <w:spacing w:line="1200" w:lineRule="exact"/>
        <w:rPr>
          <w:rFonts w:hAnsi="宋体"/>
          <w:color w:val="auto"/>
          <w:sz w:val="32"/>
          <w:szCs w:val="32"/>
          <w:highlight w:val="none"/>
          <w:shd w:val="clear" w:color="auto" w:fill="auto"/>
        </w:rPr>
      </w:pPr>
      <w:r>
        <w:rPr>
          <w:rFonts w:hAnsi="宋体"/>
          <w:color w:val="auto"/>
          <w:sz w:val="32"/>
          <w:szCs w:val="32"/>
          <w:highlight w:val="none"/>
          <w:shd w:val="clear" w:color="auto" w:fill="auto"/>
        </w:rPr>
        <w:t>第</w:t>
      </w:r>
      <w:r>
        <w:rPr>
          <w:rFonts w:hint="eastAsia" w:hAnsi="宋体"/>
          <w:color w:val="auto"/>
          <w:sz w:val="32"/>
          <w:szCs w:val="32"/>
          <w:highlight w:val="none"/>
          <w:shd w:val="clear" w:color="auto" w:fill="auto"/>
        </w:rPr>
        <w:t>六</w:t>
      </w:r>
      <w:r>
        <w:rPr>
          <w:rFonts w:hAnsi="宋体"/>
          <w:color w:val="auto"/>
          <w:sz w:val="32"/>
          <w:szCs w:val="32"/>
          <w:highlight w:val="none"/>
          <w:shd w:val="clear" w:color="auto" w:fill="auto"/>
        </w:rPr>
        <w:t>章</w:t>
      </w:r>
      <w:r>
        <w:rPr>
          <w:rFonts w:hint="eastAsia" w:hAnsi="宋体"/>
          <w:color w:val="auto"/>
          <w:sz w:val="32"/>
          <w:szCs w:val="32"/>
          <w:highlight w:val="none"/>
          <w:shd w:val="clear" w:color="auto" w:fill="auto"/>
        </w:rPr>
        <w:t xml:space="preserve"> 质疑提出和处理</w:t>
      </w:r>
    </w:p>
    <w:p>
      <w:pPr>
        <w:spacing w:line="1200" w:lineRule="exact"/>
        <w:rPr>
          <w:rFonts w:hAnsi="宋体"/>
          <w:color w:val="auto"/>
          <w:sz w:val="36"/>
          <w:szCs w:val="36"/>
          <w:highlight w:val="none"/>
          <w:shd w:val="clear" w:color="auto" w:fill="auto"/>
        </w:rPr>
      </w:pPr>
      <w:r>
        <w:rPr>
          <w:rFonts w:hint="eastAsia" w:hAnsi="宋体"/>
          <w:color w:val="auto"/>
          <w:sz w:val="32"/>
          <w:szCs w:val="32"/>
          <w:highlight w:val="none"/>
          <w:shd w:val="clear" w:color="auto" w:fill="auto"/>
        </w:rPr>
        <w:t>第七章 响应文件组成及格式</w:t>
      </w:r>
    </w:p>
    <w:p>
      <w:pPr>
        <w:rPr>
          <w:rFonts w:hAnsi="宋体"/>
          <w:b/>
          <w:bCs/>
          <w:color w:val="auto"/>
          <w:sz w:val="36"/>
          <w:szCs w:val="36"/>
          <w:highlight w:val="none"/>
          <w:shd w:val="clear" w:color="auto" w:fill="auto"/>
        </w:rPr>
      </w:pPr>
      <w:r>
        <w:rPr>
          <w:rFonts w:hAnsi="宋体"/>
          <w:b/>
          <w:bCs/>
          <w:color w:val="auto"/>
          <w:sz w:val="36"/>
          <w:szCs w:val="36"/>
          <w:highlight w:val="none"/>
          <w:shd w:val="clear" w:color="auto" w:fill="auto"/>
        </w:rPr>
        <w:fldChar w:fldCharType="end"/>
      </w:r>
    </w:p>
    <w:p>
      <w:pPr>
        <w:rPr>
          <w:rFonts w:hAnsi="宋体"/>
          <w:b/>
          <w:bCs/>
          <w:color w:val="auto"/>
          <w:sz w:val="36"/>
          <w:szCs w:val="36"/>
          <w:highlight w:val="none"/>
          <w:shd w:val="clear" w:color="auto" w:fill="auto"/>
        </w:rPr>
      </w:pPr>
    </w:p>
    <w:p>
      <w:pPr>
        <w:rPr>
          <w:rFonts w:hAnsi="宋体"/>
          <w:b/>
          <w:bCs/>
          <w:color w:val="auto"/>
          <w:sz w:val="36"/>
          <w:szCs w:val="36"/>
          <w:highlight w:val="none"/>
          <w:shd w:val="clear" w:color="auto" w:fill="auto"/>
        </w:rPr>
      </w:pPr>
    </w:p>
    <w:p>
      <w:pPr>
        <w:rPr>
          <w:rFonts w:hAnsi="宋体"/>
          <w:b/>
          <w:bCs/>
          <w:color w:val="auto"/>
          <w:sz w:val="36"/>
          <w:szCs w:val="36"/>
          <w:highlight w:val="none"/>
          <w:shd w:val="clear" w:color="auto" w:fill="auto"/>
        </w:rPr>
      </w:pPr>
    </w:p>
    <w:p>
      <w:pPr>
        <w:snapToGrid w:val="0"/>
        <w:spacing w:line="360" w:lineRule="auto"/>
        <w:rPr>
          <w:rFonts w:hAnsi="宋体" w:cs="宋体"/>
          <w:b/>
          <w:color w:val="auto"/>
          <w:szCs w:val="21"/>
          <w:highlight w:val="none"/>
          <w:shd w:val="clear" w:color="auto" w:fill="auto"/>
        </w:rPr>
      </w:pPr>
      <w:r>
        <w:rPr>
          <w:rFonts w:hAnsi="宋体"/>
          <w:color w:val="auto"/>
          <w:w w:val="80"/>
          <w:szCs w:val="44"/>
          <w:highlight w:val="none"/>
          <w:shd w:val="clear" w:color="auto" w:fill="auto"/>
        </w:rPr>
        <w:br w:type="page"/>
      </w:r>
      <w:r>
        <w:rPr>
          <w:rFonts w:hint="eastAsia" w:hAnsi="宋体" w:cs="宋体"/>
          <w:b/>
          <w:color w:val="auto"/>
          <w:szCs w:val="21"/>
          <w:highlight w:val="none"/>
          <w:shd w:val="clear" w:color="auto" w:fill="auto"/>
        </w:rPr>
        <w:t>尊敬的供应商：</w:t>
      </w:r>
    </w:p>
    <w:p>
      <w:pPr>
        <w:pStyle w:val="2"/>
        <w:keepNext w:val="0"/>
        <w:keepLines w:val="0"/>
        <w:adjustRightInd w:val="0"/>
        <w:snapToGrid w:val="0"/>
        <w:spacing w:before="0" w:after="0" w:line="360" w:lineRule="auto"/>
        <w:ind w:firstLine="420" w:firstLineChars="200"/>
        <w:jc w:val="left"/>
        <w:textAlignment w:val="baseline"/>
        <w:rPr>
          <w:rFonts w:ascii="宋体" w:hAnsi="宋体" w:eastAsia="宋体"/>
          <w:color w:val="auto"/>
          <w:w w:val="80"/>
          <w:szCs w:val="44"/>
          <w:highlight w:val="none"/>
          <w:shd w:val="clear" w:color="auto" w:fill="auto"/>
        </w:rPr>
      </w:pPr>
      <w:r>
        <w:rPr>
          <w:rFonts w:hint="eastAsia" w:ascii="宋体" w:hAnsi="宋体" w:eastAsia="宋体" w:cs="宋体"/>
          <w:color w:val="auto"/>
          <w:kern w:val="2"/>
          <w:sz w:val="21"/>
          <w:szCs w:val="21"/>
          <w:highlight w:val="none"/>
          <w:shd w:val="clear" w:color="auto" w:fill="auto"/>
        </w:rPr>
        <w:t>欢迎参加本采购项目的竞争性磋商。为了保证本次磋商项目顺利进行，请在制作响应文件之前，仔细阅读本竞争性磋商文件的各项条款，并按要求制作和递交响应文件。谢谢合作！</w:t>
      </w:r>
    </w:p>
    <w:p>
      <w:pPr>
        <w:pStyle w:val="2"/>
        <w:keepNext w:val="0"/>
        <w:keepLines w:val="0"/>
        <w:adjustRightInd w:val="0"/>
        <w:snapToGrid w:val="0"/>
        <w:spacing w:before="0" w:after="0" w:line="800" w:lineRule="exact"/>
        <w:jc w:val="center"/>
        <w:textAlignment w:val="baseline"/>
        <w:rPr>
          <w:rFonts w:hint="eastAsia" w:ascii="宋体" w:hAnsi="宋体" w:eastAsia="宋体"/>
          <w:color w:val="auto"/>
          <w:w w:val="80"/>
          <w:szCs w:val="44"/>
          <w:highlight w:val="none"/>
          <w:shd w:val="clear" w:color="auto" w:fill="auto"/>
          <w:lang w:eastAsia="zh-CN"/>
        </w:rPr>
      </w:pPr>
      <w:r>
        <w:rPr>
          <w:rFonts w:hint="eastAsia" w:ascii="宋体" w:hAnsi="宋体" w:eastAsia="宋体"/>
          <w:color w:val="auto"/>
          <w:w w:val="80"/>
          <w:szCs w:val="44"/>
          <w:highlight w:val="none"/>
          <w:shd w:val="clear" w:color="auto" w:fill="auto"/>
        </w:rPr>
        <w:t>第一章  竞争性磋商</w:t>
      </w:r>
      <w:r>
        <w:rPr>
          <w:rFonts w:hint="eastAsia" w:ascii="宋体" w:hAnsi="宋体" w:eastAsia="宋体"/>
          <w:color w:val="auto"/>
          <w:w w:val="80"/>
          <w:szCs w:val="44"/>
          <w:highlight w:val="none"/>
          <w:shd w:val="clear" w:color="auto" w:fill="auto"/>
          <w:lang w:eastAsia="zh-CN"/>
        </w:rPr>
        <w:t>公告</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rPr>
        <w:t>江苏正扬招标代理有限公司（以下简称代理机构）受</w:t>
      </w:r>
      <w:r>
        <w:rPr>
          <w:rFonts w:hint="eastAsia" w:hAnsi="宋体"/>
          <w:color w:val="auto"/>
          <w:szCs w:val="21"/>
          <w:highlight w:val="none"/>
          <w:shd w:val="clear" w:color="auto" w:fill="auto"/>
          <w:lang w:eastAsia="zh-CN"/>
        </w:rPr>
        <w:t>南通博物苑</w:t>
      </w:r>
      <w:r>
        <w:rPr>
          <w:rFonts w:hint="eastAsia" w:hAnsi="宋体"/>
          <w:color w:val="auto"/>
          <w:szCs w:val="21"/>
          <w:highlight w:val="none"/>
          <w:shd w:val="clear" w:color="auto" w:fill="auto"/>
        </w:rPr>
        <w:t>（以下简称采购人）的委托，对</w:t>
      </w:r>
      <w:r>
        <w:rPr>
          <w:rFonts w:hint="eastAsia" w:hAnsi="宋体"/>
          <w:color w:val="auto"/>
          <w:szCs w:val="21"/>
          <w:highlight w:val="none"/>
          <w:shd w:val="clear" w:color="auto" w:fill="auto"/>
          <w:lang w:eastAsia="zh-CN"/>
        </w:rPr>
        <w:t>南通博物苑“百年如意—故宫博物院典藏如意特展”</w:t>
      </w:r>
      <w:r>
        <w:rPr>
          <w:rFonts w:hint="eastAsia" w:hAnsi="宋体" w:cs="Times New Roman"/>
          <w:b w:val="0"/>
          <w:bCs w:val="0"/>
          <w:color w:val="auto"/>
          <w:sz w:val="21"/>
          <w:szCs w:val="21"/>
          <w:highlight w:val="none"/>
          <w:shd w:val="clear" w:color="auto" w:fill="auto"/>
          <w:lang w:val="en-US" w:eastAsia="zh-CN"/>
        </w:rPr>
        <w:t>展览运输布置项目</w:t>
      </w:r>
      <w:r>
        <w:rPr>
          <w:rFonts w:hint="eastAsia" w:hAnsi="宋体"/>
          <w:color w:val="auto"/>
          <w:szCs w:val="21"/>
          <w:highlight w:val="none"/>
          <w:shd w:val="clear" w:color="auto" w:fill="auto"/>
        </w:rPr>
        <w:t>组织竞争性磋商采购，诚邀符合条件的潜在供应商参加该项目的竞争性磋商。</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一、项目基本情况</w:t>
      </w:r>
    </w:p>
    <w:p>
      <w:pPr>
        <w:spacing w:line="480" w:lineRule="exact"/>
        <w:ind w:firstLine="420" w:firstLineChars="200"/>
        <w:rPr>
          <w:rFonts w:hint="eastAsia" w:hAnsi="宋体"/>
          <w:color w:val="auto"/>
          <w:szCs w:val="21"/>
          <w:highlight w:val="none"/>
          <w:shd w:val="clear" w:color="auto" w:fill="auto"/>
          <w:lang w:eastAsia="zh-CN"/>
        </w:rPr>
      </w:pPr>
      <w:r>
        <w:rPr>
          <w:rFonts w:hint="eastAsia" w:hAnsi="宋体"/>
          <w:color w:val="auto"/>
          <w:szCs w:val="21"/>
          <w:highlight w:val="none"/>
          <w:shd w:val="clear" w:color="auto" w:fill="auto"/>
          <w:lang w:eastAsia="zh-CN"/>
        </w:rPr>
        <w:t>1.</w:t>
      </w:r>
      <w:r>
        <w:rPr>
          <w:rFonts w:hint="eastAsia" w:hAnsi="宋体"/>
          <w:color w:val="auto"/>
          <w:szCs w:val="21"/>
          <w:highlight w:val="none"/>
          <w:shd w:val="clear" w:color="auto" w:fill="auto"/>
          <w:lang w:val="en-US" w:eastAsia="zh-CN"/>
        </w:rPr>
        <w:t>项目编号：NTWC2025058；</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2.</w:t>
      </w:r>
      <w:r>
        <w:rPr>
          <w:rFonts w:hint="eastAsia" w:hAnsi="宋体"/>
          <w:color w:val="auto"/>
          <w:szCs w:val="21"/>
          <w:highlight w:val="none"/>
          <w:shd w:val="clear" w:color="auto" w:fill="auto"/>
        </w:rPr>
        <w:t>项目名称：</w:t>
      </w:r>
      <w:r>
        <w:rPr>
          <w:rFonts w:hint="eastAsia" w:hAnsi="宋体"/>
          <w:color w:val="auto"/>
          <w:szCs w:val="21"/>
          <w:highlight w:val="none"/>
          <w:shd w:val="clear" w:color="auto" w:fill="auto"/>
          <w:lang w:eastAsia="zh-CN"/>
        </w:rPr>
        <w:t>南通博物苑“百年如意—故宫博物院典藏如意特展”</w:t>
      </w:r>
      <w:bookmarkStart w:id="0" w:name="OLE_LINK1"/>
      <w:r>
        <w:rPr>
          <w:rFonts w:hint="eastAsia" w:hAnsi="宋体" w:cs="Times New Roman"/>
          <w:b w:val="0"/>
          <w:bCs w:val="0"/>
          <w:color w:val="auto"/>
          <w:sz w:val="21"/>
          <w:szCs w:val="21"/>
          <w:highlight w:val="none"/>
          <w:shd w:val="clear" w:color="auto" w:fill="auto"/>
          <w:lang w:val="en-US" w:eastAsia="zh-CN"/>
        </w:rPr>
        <w:t>展览运输布置项目</w:t>
      </w:r>
      <w:bookmarkEnd w:id="0"/>
      <w:r>
        <w:rPr>
          <w:rFonts w:hint="eastAsia" w:hAnsi="宋体"/>
          <w:color w:val="auto"/>
          <w:szCs w:val="21"/>
          <w:highlight w:val="none"/>
          <w:shd w:val="clear" w:color="auto" w:fill="auto"/>
        </w:rPr>
        <w:t>；</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.采购方式：竞争性磋商；</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.项目预算：</w:t>
      </w:r>
      <w:r>
        <w:rPr>
          <w:rFonts w:hint="eastAsia" w:hAnsi="宋体"/>
          <w:color w:val="auto"/>
          <w:szCs w:val="21"/>
          <w:highlight w:val="none"/>
          <w:shd w:val="clear" w:color="auto" w:fill="auto"/>
          <w:lang w:val="en-US" w:eastAsia="zh-CN"/>
        </w:rPr>
        <w:t>38.5万元</w:t>
      </w:r>
      <w:r>
        <w:rPr>
          <w:rFonts w:hint="eastAsia" w:hAnsi="宋体"/>
          <w:color w:val="auto"/>
          <w:szCs w:val="21"/>
          <w:highlight w:val="none"/>
          <w:shd w:val="clear" w:color="auto" w:fill="auto"/>
        </w:rPr>
        <w:t>；</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.最高限价：</w:t>
      </w:r>
      <w:r>
        <w:rPr>
          <w:rFonts w:hint="eastAsia" w:hAnsi="宋体"/>
          <w:color w:val="auto"/>
          <w:szCs w:val="21"/>
          <w:highlight w:val="none"/>
          <w:shd w:val="clear" w:color="auto" w:fill="auto"/>
          <w:lang w:val="en-US" w:eastAsia="zh-CN"/>
        </w:rPr>
        <w:t>38.5万元</w:t>
      </w:r>
      <w:r>
        <w:rPr>
          <w:rFonts w:hint="eastAsia" w:hAnsi="宋体"/>
          <w:color w:val="auto"/>
          <w:szCs w:val="21"/>
          <w:highlight w:val="none"/>
          <w:shd w:val="clear" w:color="auto" w:fill="auto"/>
        </w:rPr>
        <w:t>；</w:t>
      </w:r>
    </w:p>
    <w:p>
      <w:pPr>
        <w:spacing w:line="480" w:lineRule="exact"/>
        <w:ind w:firstLine="420" w:firstLineChars="200"/>
        <w:rPr>
          <w:rFonts w:hint="default" w:hAnsi="宋体"/>
          <w:color w:val="auto"/>
          <w:szCs w:val="21"/>
          <w:highlight w:val="none"/>
          <w:shd w:val="clear" w:color="auto" w:fill="auto"/>
          <w:lang w:val="en-US" w:eastAsia="zh-CN"/>
        </w:rPr>
      </w:pP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.采购需求：</w:t>
      </w:r>
      <w:r>
        <w:rPr>
          <w:rFonts w:hint="eastAsia" w:hAnsi="宋体"/>
          <w:color w:val="auto"/>
          <w:szCs w:val="21"/>
          <w:highlight w:val="none"/>
          <w:shd w:val="clear" w:color="auto" w:fill="auto"/>
          <w:lang w:val="en-US" w:eastAsia="zh-CN"/>
        </w:rPr>
        <w:t>详见第三章；</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7</w:t>
      </w:r>
      <w:r>
        <w:rPr>
          <w:rFonts w:hint="eastAsia" w:hAnsi="宋体"/>
          <w:color w:val="auto"/>
          <w:szCs w:val="21"/>
          <w:highlight w:val="none"/>
          <w:shd w:val="clear" w:color="auto" w:fill="auto"/>
        </w:rPr>
        <w:t>.合同履行期限：</w:t>
      </w:r>
      <w:r>
        <w:rPr>
          <w:rStyle w:val="28"/>
          <w:rFonts w:hint="eastAsia" w:ascii="宋体" w:hAnsi="宋体" w:eastAsia="宋体" w:cs="宋体"/>
          <w:bCs/>
          <w:color w:val="auto"/>
          <w:sz w:val="21"/>
          <w:szCs w:val="21"/>
          <w:highlight w:val="none"/>
          <w:lang w:val="en-US" w:eastAsia="zh-CN"/>
        </w:rPr>
        <w:t>自合同签订之日起</w:t>
      </w:r>
      <w:r>
        <w:rPr>
          <w:rFonts w:hint="eastAsia" w:ascii="宋体" w:hAnsi="宋体" w:cs="宋体"/>
          <w:color w:val="auto"/>
          <w:highlight w:val="none"/>
          <w:lang w:val="en-US" w:eastAsia="zh-CN"/>
        </w:rPr>
        <w:t>至借展文物展品全部交还借展单位止</w:t>
      </w:r>
      <w:r>
        <w:rPr>
          <w:rFonts w:hint="eastAsia" w:hAnsi="宋体"/>
          <w:color w:val="auto"/>
          <w:szCs w:val="21"/>
          <w:highlight w:val="none"/>
          <w:shd w:val="clear" w:color="auto" w:fill="auto"/>
          <w:lang w:val="en-US" w:eastAsia="zh-CN"/>
        </w:rPr>
        <w:t>；</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lang w:val="en-US" w:eastAsia="zh-CN"/>
        </w:rPr>
        <w:t>8</w:t>
      </w:r>
      <w:r>
        <w:rPr>
          <w:rFonts w:hint="eastAsia" w:hAnsi="宋体"/>
          <w:color w:val="auto"/>
          <w:szCs w:val="21"/>
          <w:highlight w:val="none"/>
          <w:shd w:val="clear" w:color="auto" w:fill="auto"/>
        </w:rPr>
        <w:t>.本项目不接受联合体参与磋商。</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二、供应商资格要求</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提供证明材料或承诺函，承诺函格式自拟）。</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供应商其它资格要求：</w:t>
      </w:r>
    </w:p>
    <w:p>
      <w:pPr>
        <w:spacing w:line="480" w:lineRule="exact"/>
        <w:ind w:firstLine="420" w:firstLineChars="200"/>
        <w:rPr>
          <w:rFonts w:hint="eastAsia" w:hAnsi="宋体"/>
          <w:color w:val="auto"/>
          <w:szCs w:val="21"/>
          <w:highlight w:val="none"/>
          <w:shd w:val="clear" w:color="auto" w:fill="auto"/>
          <w:lang w:val="en-US" w:eastAsia="zh-CN"/>
        </w:rPr>
      </w:pPr>
      <w:r>
        <w:rPr>
          <w:rFonts w:hint="eastAsia" w:hAnsi="宋体"/>
          <w:color w:val="auto"/>
          <w:szCs w:val="21"/>
          <w:highlight w:val="none"/>
          <w:shd w:val="clear" w:color="auto" w:fill="auto"/>
          <w:lang w:val="en-US" w:eastAsia="zh-CN"/>
        </w:rPr>
        <w:t>2.供应商提供有效的营业执照复印件。</w:t>
      </w:r>
    </w:p>
    <w:p>
      <w:pPr>
        <w:spacing w:line="480" w:lineRule="exact"/>
        <w:ind w:firstLine="420" w:firstLineChars="200"/>
        <w:rPr>
          <w:rFonts w:hint="eastAsia" w:hAnsi="宋体"/>
          <w:color w:val="auto"/>
          <w:szCs w:val="21"/>
          <w:highlight w:val="none"/>
          <w:shd w:val="clear" w:color="auto" w:fill="auto"/>
          <w:lang w:val="en-US" w:eastAsia="zh-CN"/>
        </w:rPr>
      </w:pPr>
      <w:r>
        <w:rPr>
          <w:rFonts w:hint="eastAsia" w:hAnsi="宋体"/>
          <w:color w:val="auto"/>
          <w:szCs w:val="21"/>
          <w:highlight w:val="none"/>
          <w:shd w:val="clear" w:color="auto" w:fill="auto"/>
          <w:lang w:val="en-US" w:eastAsia="zh-CN"/>
        </w:rPr>
        <w:t>3.供应商需具备有效期内的</w:t>
      </w:r>
      <w:r>
        <w:rPr>
          <w:rFonts w:hint="eastAsia" w:hAnsi="宋体"/>
          <w:color w:val="auto"/>
          <w:szCs w:val="21"/>
          <w:highlight w:val="none"/>
          <w:shd w:val="clear" w:color="auto" w:fill="auto"/>
        </w:rPr>
        <w:t>道路运输许可证</w:t>
      </w:r>
      <w:r>
        <w:rPr>
          <w:rFonts w:hint="eastAsia" w:hAnsi="宋体"/>
          <w:color w:val="auto"/>
          <w:szCs w:val="21"/>
          <w:highlight w:val="none"/>
          <w:shd w:val="clear" w:color="auto" w:fill="auto"/>
          <w:lang w:val="en-US" w:eastAsia="zh-CN"/>
        </w:rPr>
        <w:t>。</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供应商法定代表人参加磋商的，必须提供法定代表人身份证明及法定代表人本人身份证复印件；非法定代表人参加磋商的，必须提供法定代表人签字或盖章的授权委托书及法定代表人、被授权人的两人身份证的复印件</w:t>
      </w:r>
      <w:r>
        <w:rPr>
          <w:rFonts w:hint="eastAsia" w:hAnsi="宋体"/>
          <w:color w:val="auto"/>
          <w:szCs w:val="21"/>
          <w:highlight w:val="none"/>
          <w:shd w:val="clear" w:color="auto" w:fill="auto"/>
          <w:lang w:val="en-US" w:eastAsia="zh-CN"/>
        </w:rPr>
        <w:t>。</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.供应商须提供参与本次项目采购活动前三年内，在经营活动中没有重大违法记录的书面《无重大违法记录声明函》（格式参见</w:t>
      </w:r>
      <w:r>
        <w:rPr>
          <w:rFonts w:hint="eastAsia" w:hAnsi="宋体"/>
          <w:color w:val="auto"/>
          <w:szCs w:val="21"/>
          <w:highlight w:val="none"/>
          <w:shd w:val="clear" w:color="auto" w:fill="auto"/>
          <w:lang w:val="en-US" w:eastAsia="zh-CN"/>
        </w:rPr>
        <w:t>附件</w:t>
      </w:r>
      <w:r>
        <w:rPr>
          <w:rFonts w:hint="eastAsia" w:hAnsi="宋体"/>
          <w:color w:val="auto"/>
          <w:szCs w:val="21"/>
          <w:highlight w:val="none"/>
          <w:shd w:val="clear" w:color="auto" w:fill="auto"/>
        </w:rPr>
        <w:t>）。</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.关于资格文件的声明函（格式参见</w:t>
      </w:r>
      <w:r>
        <w:rPr>
          <w:rFonts w:hint="eastAsia" w:hAnsi="宋体"/>
          <w:color w:val="auto"/>
          <w:szCs w:val="21"/>
          <w:highlight w:val="none"/>
          <w:shd w:val="clear" w:color="auto" w:fill="auto"/>
          <w:lang w:val="en-US" w:eastAsia="zh-CN"/>
        </w:rPr>
        <w:t>附件</w:t>
      </w:r>
      <w:r>
        <w:rPr>
          <w:rFonts w:hint="eastAsia" w:hAnsi="宋体"/>
          <w:color w:val="auto"/>
          <w:szCs w:val="21"/>
          <w:highlight w:val="none"/>
          <w:shd w:val="clear" w:color="auto" w:fill="auto"/>
        </w:rPr>
        <w:t>）。</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具体资格要求详见第七章中的“资格审查文件”。</w:t>
      </w:r>
    </w:p>
    <w:p>
      <w:pPr>
        <w:spacing w:line="480" w:lineRule="exact"/>
        <w:ind w:firstLine="420" w:firstLineChars="200"/>
        <w:rPr>
          <w:rFonts w:hAnsi="宋体"/>
          <w:color w:val="auto"/>
          <w:szCs w:val="21"/>
          <w:highlight w:val="none"/>
          <w:shd w:val="clear" w:color="auto" w:fill="auto"/>
        </w:rPr>
      </w:pPr>
      <w:r>
        <w:rPr>
          <w:rFonts w:hint="eastAsia" w:hAnsi="宋体"/>
          <w:color w:val="auto"/>
          <w:szCs w:val="21"/>
          <w:highlight w:val="none"/>
          <w:shd w:val="clear" w:color="auto" w:fill="auto"/>
        </w:rPr>
        <w:t>请供应商认真对照资格要求，如不符合要求，仍参与磋商的，所产生的一切后果由供应商承担。对提供虚假材料的响应供应商作无效响应处理。</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三、获取采购文件</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color w:val="auto"/>
          <w:szCs w:val="21"/>
          <w:highlight w:val="none"/>
          <w:shd w:val="clear" w:color="auto" w:fill="auto"/>
          <w:lang w:val="en-US" w:eastAsia="zh-CN"/>
        </w:rPr>
        <w:t>1.</w:t>
      </w:r>
      <w:r>
        <w:rPr>
          <w:rFonts w:hint="default" w:hAnsi="宋体"/>
          <w:color w:val="auto"/>
          <w:szCs w:val="21"/>
          <w:highlight w:val="none"/>
          <w:shd w:val="clear" w:color="auto" w:fill="auto"/>
        </w:rPr>
        <w:t>地点：南通市文化广电和旅游局-政府采购栏、南通博物苑-资讯-招标信息栏</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color w:val="auto"/>
          <w:szCs w:val="21"/>
          <w:highlight w:val="none"/>
          <w:shd w:val="clear" w:color="auto" w:fill="auto"/>
          <w:lang w:val="en-US" w:eastAsia="zh-CN"/>
        </w:rPr>
        <w:t>2.</w:t>
      </w:r>
      <w:r>
        <w:rPr>
          <w:rFonts w:hint="default" w:hAnsi="宋体"/>
          <w:color w:val="auto"/>
          <w:szCs w:val="21"/>
          <w:highlight w:val="none"/>
          <w:shd w:val="clear" w:color="auto" w:fill="auto"/>
        </w:rPr>
        <w:t>方式：自行下载</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.有关本次招标的事项若存在变动或修改，敬请及时关注</w:t>
      </w:r>
      <w:r>
        <w:rPr>
          <w:rFonts w:hint="eastAsia" w:hAnsi="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南通市文化广电和旅游局-政府采购栏</w:t>
      </w:r>
      <w:r>
        <w:rPr>
          <w:rFonts w:hint="eastAsia" w:hAnsi="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“南通博物苑-资讯-招标信息栏”</w:t>
      </w:r>
      <w:r>
        <w:rPr>
          <w:rFonts w:hint="eastAsia" w:hAnsi="宋体"/>
          <w:color w:val="auto"/>
          <w:szCs w:val="21"/>
          <w:highlight w:val="none"/>
          <w:shd w:val="clear" w:color="auto" w:fill="auto"/>
        </w:rPr>
        <w:t>发布的信息更正公告，恕不另行通知，如有遗漏采购人概不负责。</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四、响应文件提交</w:t>
      </w:r>
    </w:p>
    <w:p>
      <w:pPr>
        <w:spacing w:line="480" w:lineRule="exact"/>
        <w:ind w:firstLine="420" w:firstLineChars="200"/>
        <w:rPr>
          <w:rFonts w:hint="eastAsia" w:hAnsi="宋体"/>
          <w:b w:val="0"/>
          <w:bCs w:val="0"/>
          <w:color w:val="auto"/>
          <w:szCs w:val="21"/>
          <w:highlight w:val="none"/>
          <w:shd w:val="clear" w:color="auto" w:fill="auto"/>
        </w:rPr>
      </w:pPr>
      <w:r>
        <w:rPr>
          <w:rFonts w:hint="eastAsia" w:hAnsi="宋体"/>
          <w:b w:val="0"/>
          <w:bCs w:val="0"/>
          <w:color w:val="auto"/>
          <w:szCs w:val="21"/>
          <w:highlight w:val="none"/>
          <w:shd w:val="clear" w:color="auto" w:fill="auto"/>
        </w:rPr>
        <w:t>1.响应文件接收截止及评审开始时间：</w:t>
      </w:r>
      <w:r>
        <w:rPr>
          <w:rFonts w:hint="eastAsia" w:hAnsi="宋体"/>
          <w:b/>
          <w:bCs/>
          <w:color w:val="auto"/>
          <w:szCs w:val="21"/>
          <w:highlight w:val="none"/>
          <w:shd w:val="clear" w:color="auto" w:fill="auto"/>
          <w:lang w:eastAsia="zh-CN"/>
        </w:rPr>
        <w:t>2025年</w:t>
      </w:r>
      <w:r>
        <w:rPr>
          <w:rFonts w:hint="eastAsia" w:hAnsi="宋体"/>
          <w:b/>
          <w:bCs/>
          <w:color w:val="auto"/>
          <w:szCs w:val="21"/>
          <w:highlight w:val="none"/>
          <w:shd w:val="clear" w:color="auto" w:fill="auto"/>
          <w:lang w:val="en-US" w:eastAsia="zh-CN"/>
        </w:rPr>
        <w:t>12</w:t>
      </w:r>
      <w:r>
        <w:rPr>
          <w:rFonts w:hint="eastAsia" w:hAnsi="宋体"/>
          <w:b/>
          <w:bCs/>
          <w:color w:val="auto"/>
          <w:szCs w:val="21"/>
          <w:highlight w:val="none"/>
          <w:shd w:val="clear" w:color="auto" w:fill="auto"/>
        </w:rPr>
        <w:t>月</w:t>
      </w:r>
      <w:r>
        <w:rPr>
          <w:rFonts w:hint="eastAsia" w:hAnsi="宋体"/>
          <w:b/>
          <w:bCs/>
          <w:color w:val="auto"/>
          <w:szCs w:val="21"/>
          <w:highlight w:val="none"/>
          <w:shd w:val="clear" w:color="auto" w:fill="auto"/>
          <w:lang w:val="en-US" w:eastAsia="zh-CN"/>
        </w:rPr>
        <w:t>1</w:t>
      </w:r>
      <w:r>
        <w:rPr>
          <w:rFonts w:hint="eastAsia" w:hAnsi="宋体"/>
          <w:b/>
          <w:bCs/>
          <w:color w:val="auto"/>
          <w:szCs w:val="21"/>
          <w:highlight w:val="none"/>
          <w:shd w:val="clear" w:color="auto" w:fill="auto"/>
        </w:rPr>
        <w:t>日</w:t>
      </w:r>
      <w:r>
        <w:rPr>
          <w:rFonts w:hint="eastAsia" w:hAnsi="宋体"/>
          <w:b/>
          <w:bCs/>
          <w:color w:val="auto"/>
          <w:szCs w:val="21"/>
          <w:highlight w:val="none"/>
          <w:shd w:val="clear" w:color="auto" w:fill="auto"/>
          <w:lang w:val="en-US" w:eastAsia="zh-CN"/>
        </w:rPr>
        <w:t>16</w:t>
      </w:r>
      <w:r>
        <w:rPr>
          <w:rFonts w:hint="eastAsia" w:hAnsi="宋体"/>
          <w:b/>
          <w:bCs/>
          <w:color w:val="auto"/>
          <w:szCs w:val="21"/>
          <w:highlight w:val="none"/>
          <w:shd w:val="clear" w:color="auto" w:fill="auto"/>
        </w:rPr>
        <w:t>时</w:t>
      </w:r>
      <w:r>
        <w:rPr>
          <w:rFonts w:hint="eastAsia" w:hAnsi="宋体"/>
          <w:b/>
          <w:bCs/>
          <w:color w:val="auto"/>
          <w:szCs w:val="21"/>
          <w:highlight w:val="none"/>
          <w:shd w:val="clear" w:color="auto" w:fill="auto"/>
          <w:lang w:val="en-US" w:eastAsia="zh-CN"/>
        </w:rPr>
        <w:t>00</w:t>
      </w:r>
      <w:r>
        <w:rPr>
          <w:rFonts w:hint="eastAsia" w:hAnsi="宋体"/>
          <w:b/>
          <w:bCs/>
          <w:color w:val="auto"/>
          <w:szCs w:val="21"/>
          <w:highlight w:val="none"/>
          <w:shd w:val="clear" w:color="auto" w:fill="auto"/>
        </w:rPr>
        <w:t>分</w:t>
      </w:r>
      <w:r>
        <w:rPr>
          <w:rFonts w:hint="eastAsia" w:hAnsi="宋体"/>
          <w:b w:val="0"/>
          <w:bCs w:val="0"/>
          <w:color w:val="auto"/>
          <w:szCs w:val="21"/>
          <w:highlight w:val="none"/>
          <w:shd w:val="clear" w:color="auto" w:fill="auto"/>
        </w:rPr>
        <w:t>（北京时间）</w:t>
      </w:r>
    </w:p>
    <w:p>
      <w:pPr>
        <w:spacing w:line="480" w:lineRule="exact"/>
        <w:ind w:firstLine="420" w:firstLineChars="200"/>
        <w:rPr>
          <w:rFonts w:hint="eastAsia" w:hAnsi="宋体"/>
          <w:b w:val="0"/>
          <w:bCs w:val="0"/>
          <w:color w:val="auto"/>
          <w:szCs w:val="21"/>
          <w:highlight w:val="none"/>
          <w:shd w:val="clear" w:color="auto" w:fill="auto"/>
        </w:rPr>
      </w:pPr>
      <w:r>
        <w:rPr>
          <w:rFonts w:hint="eastAsia" w:hAnsi="宋体"/>
          <w:b w:val="0"/>
          <w:bCs w:val="0"/>
          <w:color w:val="auto"/>
          <w:szCs w:val="21"/>
          <w:highlight w:val="none"/>
          <w:shd w:val="clear" w:color="auto" w:fill="auto"/>
        </w:rPr>
        <w:t>2.响应文件递交地址：南通市行政中心综合楼</w:t>
      </w:r>
      <w:r>
        <w:rPr>
          <w:rFonts w:hint="eastAsia" w:hAnsi="宋体"/>
          <w:b w:val="0"/>
          <w:bCs w:val="0"/>
          <w:color w:val="auto"/>
          <w:szCs w:val="21"/>
          <w:highlight w:val="none"/>
          <w:shd w:val="clear" w:color="auto" w:fill="auto"/>
          <w:lang w:val="en-US" w:eastAsia="zh-CN"/>
        </w:rPr>
        <w:t>538</w:t>
      </w:r>
      <w:r>
        <w:rPr>
          <w:rFonts w:hint="eastAsia" w:hAnsi="宋体"/>
          <w:b w:val="0"/>
          <w:bCs w:val="0"/>
          <w:color w:val="auto"/>
          <w:szCs w:val="21"/>
          <w:highlight w:val="none"/>
          <w:shd w:val="clear" w:color="auto" w:fill="auto"/>
        </w:rPr>
        <w:t>会议室（南通市崇川区世纪大道6号），如有变动另行通知。</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五、开启</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rPr>
        <w:t>1.响应文件开启时间：</w:t>
      </w:r>
      <w:r>
        <w:rPr>
          <w:rFonts w:hint="eastAsia" w:hAnsi="宋体"/>
          <w:b/>
          <w:bCs/>
          <w:color w:val="auto"/>
          <w:szCs w:val="21"/>
          <w:highlight w:val="none"/>
          <w:shd w:val="clear" w:color="auto" w:fill="auto"/>
          <w:lang w:eastAsia="zh-CN"/>
        </w:rPr>
        <w:t>2025年</w:t>
      </w:r>
      <w:r>
        <w:rPr>
          <w:rFonts w:hint="eastAsia" w:hAnsi="宋体"/>
          <w:b/>
          <w:bCs/>
          <w:color w:val="auto"/>
          <w:szCs w:val="21"/>
          <w:highlight w:val="none"/>
          <w:shd w:val="clear" w:color="auto" w:fill="auto"/>
          <w:lang w:val="en-US" w:eastAsia="zh-CN"/>
        </w:rPr>
        <w:t>12</w:t>
      </w:r>
      <w:r>
        <w:rPr>
          <w:rFonts w:hint="eastAsia" w:hAnsi="宋体"/>
          <w:b/>
          <w:bCs/>
          <w:color w:val="auto"/>
          <w:szCs w:val="21"/>
          <w:highlight w:val="none"/>
          <w:shd w:val="clear" w:color="auto" w:fill="auto"/>
        </w:rPr>
        <w:t>月</w:t>
      </w:r>
      <w:r>
        <w:rPr>
          <w:rFonts w:hint="eastAsia" w:hAnsi="宋体"/>
          <w:b/>
          <w:bCs/>
          <w:color w:val="auto"/>
          <w:szCs w:val="21"/>
          <w:highlight w:val="none"/>
          <w:shd w:val="clear" w:color="auto" w:fill="auto"/>
          <w:lang w:val="en-US" w:eastAsia="zh-CN"/>
        </w:rPr>
        <w:t>1</w:t>
      </w:r>
      <w:r>
        <w:rPr>
          <w:rFonts w:hint="eastAsia" w:hAnsi="宋体"/>
          <w:b/>
          <w:bCs/>
          <w:color w:val="auto"/>
          <w:szCs w:val="21"/>
          <w:highlight w:val="none"/>
          <w:shd w:val="clear" w:color="auto" w:fill="auto"/>
        </w:rPr>
        <w:t>日</w:t>
      </w:r>
      <w:r>
        <w:rPr>
          <w:rFonts w:hint="eastAsia" w:hAnsi="宋体"/>
          <w:b/>
          <w:bCs/>
          <w:color w:val="auto"/>
          <w:szCs w:val="21"/>
          <w:highlight w:val="none"/>
          <w:shd w:val="clear" w:color="auto" w:fill="auto"/>
          <w:lang w:val="en-US" w:eastAsia="zh-CN"/>
        </w:rPr>
        <w:t>16</w:t>
      </w:r>
      <w:r>
        <w:rPr>
          <w:rFonts w:hint="eastAsia" w:hAnsi="宋体"/>
          <w:b/>
          <w:bCs/>
          <w:color w:val="auto"/>
          <w:szCs w:val="21"/>
          <w:highlight w:val="none"/>
          <w:shd w:val="clear" w:color="auto" w:fill="auto"/>
        </w:rPr>
        <w:t>时</w:t>
      </w:r>
      <w:r>
        <w:rPr>
          <w:rFonts w:hint="eastAsia" w:hAnsi="宋体"/>
          <w:b/>
          <w:bCs/>
          <w:color w:val="auto"/>
          <w:szCs w:val="21"/>
          <w:highlight w:val="none"/>
          <w:shd w:val="clear" w:color="auto" w:fill="auto"/>
          <w:lang w:val="en-US" w:eastAsia="zh-CN"/>
        </w:rPr>
        <w:t>00</w:t>
      </w:r>
      <w:r>
        <w:rPr>
          <w:rFonts w:hint="eastAsia" w:hAnsi="宋体"/>
          <w:b/>
          <w:bCs/>
          <w:color w:val="auto"/>
          <w:szCs w:val="21"/>
          <w:highlight w:val="none"/>
          <w:shd w:val="clear" w:color="auto" w:fill="auto"/>
        </w:rPr>
        <w:t>分</w:t>
      </w:r>
      <w:r>
        <w:rPr>
          <w:rFonts w:hint="eastAsia" w:hAnsi="宋体"/>
          <w:color w:val="auto"/>
          <w:szCs w:val="21"/>
          <w:highlight w:val="none"/>
          <w:shd w:val="clear" w:color="auto" w:fill="auto"/>
        </w:rPr>
        <w:t>（北京时间）</w:t>
      </w:r>
    </w:p>
    <w:p>
      <w:pPr>
        <w:spacing w:line="480" w:lineRule="exact"/>
        <w:ind w:firstLine="420" w:firstLineChars="200"/>
        <w:rPr>
          <w:rFonts w:hint="eastAsia" w:hAnsi="宋体"/>
          <w:color w:val="auto"/>
          <w:szCs w:val="21"/>
          <w:highlight w:val="none"/>
          <w:shd w:val="clear" w:color="auto" w:fill="auto"/>
        </w:rPr>
      </w:pPr>
      <w:r>
        <w:rPr>
          <w:rFonts w:hint="eastAsia" w:hAnsi="宋体"/>
          <w:color w:val="auto"/>
          <w:szCs w:val="21"/>
          <w:highlight w:val="none"/>
          <w:shd w:val="clear" w:color="auto" w:fill="auto"/>
        </w:rPr>
        <w:t>2.响应文件开启地点：</w:t>
      </w:r>
      <w:r>
        <w:rPr>
          <w:rFonts w:hint="eastAsia" w:hAnsi="宋体"/>
          <w:b w:val="0"/>
          <w:bCs w:val="0"/>
          <w:color w:val="auto"/>
          <w:szCs w:val="21"/>
          <w:highlight w:val="none"/>
          <w:shd w:val="clear" w:color="auto" w:fill="auto"/>
        </w:rPr>
        <w:t>南通市行政中心综合楼</w:t>
      </w:r>
      <w:r>
        <w:rPr>
          <w:rFonts w:hint="eastAsia" w:hAnsi="宋体"/>
          <w:b w:val="0"/>
          <w:bCs w:val="0"/>
          <w:color w:val="auto"/>
          <w:szCs w:val="21"/>
          <w:highlight w:val="none"/>
          <w:shd w:val="clear" w:color="auto" w:fill="auto"/>
          <w:lang w:val="en-US" w:eastAsia="zh-CN"/>
        </w:rPr>
        <w:t>538会议室</w:t>
      </w:r>
      <w:r>
        <w:rPr>
          <w:rFonts w:hint="eastAsia" w:hAnsi="宋体"/>
          <w:b w:val="0"/>
          <w:bCs w:val="0"/>
          <w:color w:val="auto"/>
          <w:szCs w:val="21"/>
          <w:highlight w:val="none"/>
          <w:shd w:val="clear" w:color="auto" w:fill="auto"/>
        </w:rPr>
        <w:t>（南通市崇川区世纪大道6号）</w:t>
      </w:r>
      <w:r>
        <w:rPr>
          <w:rFonts w:hint="eastAsia" w:hAnsi="宋体"/>
          <w:color w:val="auto"/>
          <w:szCs w:val="21"/>
          <w:highlight w:val="none"/>
          <w:shd w:val="clear" w:color="auto" w:fill="auto"/>
        </w:rPr>
        <w:t>，如有变动另行通知。</w:t>
      </w:r>
    </w:p>
    <w:p>
      <w:pPr>
        <w:spacing w:line="480" w:lineRule="exact"/>
        <w:ind w:firstLine="420" w:firstLineChars="200"/>
        <w:rPr>
          <w:rFonts w:hAnsi="宋体"/>
          <w:color w:val="auto"/>
          <w:szCs w:val="21"/>
          <w:highlight w:val="none"/>
          <w:shd w:val="clear" w:color="auto" w:fill="auto"/>
        </w:rPr>
      </w:pPr>
      <w:r>
        <w:rPr>
          <w:rFonts w:hint="eastAsia" w:hAnsi="宋体"/>
          <w:b/>
          <w:bCs/>
          <w:color w:val="auto"/>
          <w:szCs w:val="21"/>
          <w:highlight w:val="none"/>
          <w:shd w:val="clear" w:color="auto" w:fill="auto"/>
        </w:rPr>
        <w:t>六、</w:t>
      </w:r>
      <w:r>
        <w:rPr>
          <w:rFonts w:hint="eastAsia" w:hAnsi="宋体"/>
          <w:b/>
          <w:bCs/>
          <w:color w:val="auto"/>
          <w:szCs w:val="21"/>
          <w:highlight w:val="none"/>
          <w:shd w:val="clear" w:color="auto" w:fill="auto"/>
          <w:lang w:eastAsia="zh-CN"/>
        </w:rPr>
        <w:t>公告</w:t>
      </w:r>
      <w:r>
        <w:rPr>
          <w:rFonts w:hint="eastAsia" w:hAnsi="宋体"/>
          <w:b/>
          <w:bCs/>
          <w:color w:val="auto"/>
          <w:szCs w:val="21"/>
          <w:highlight w:val="none"/>
          <w:shd w:val="clear" w:color="auto" w:fill="auto"/>
        </w:rPr>
        <w:t>期限：</w:t>
      </w:r>
      <w:r>
        <w:rPr>
          <w:rFonts w:hint="eastAsia" w:hAnsi="宋体"/>
          <w:color w:val="auto"/>
          <w:szCs w:val="21"/>
          <w:highlight w:val="none"/>
          <w:shd w:val="clear" w:color="auto" w:fill="auto"/>
        </w:rPr>
        <w:t>自本</w:t>
      </w:r>
      <w:r>
        <w:rPr>
          <w:rFonts w:hint="eastAsia" w:hAnsi="宋体"/>
          <w:color w:val="auto"/>
          <w:szCs w:val="21"/>
          <w:highlight w:val="none"/>
          <w:shd w:val="clear" w:color="auto" w:fill="auto"/>
          <w:lang w:eastAsia="zh-CN"/>
        </w:rPr>
        <w:t>公告</w:t>
      </w:r>
      <w:r>
        <w:rPr>
          <w:rFonts w:hint="eastAsia" w:hAnsi="宋体"/>
          <w:color w:val="auto"/>
          <w:szCs w:val="21"/>
          <w:highlight w:val="none"/>
          <w:shd w:val="clear" w:color="auto" w:fill="auto"/>
        </w:rPr>
        <w:t>发布之日起3个工作日。</w:t>
      </w:r>
    </w:p>
    <w:p>
      <w:pPr>
        <w:spacing w:line="480" w:lineRule="exact"/>
        <w:ind w:firstLine="420" w:firstLineChars="200"/>
        <w:rPr>
          <w:rFonts w:hAnsi="宋体"/>
          <w:b/>
          <w:bCs/>
          <w:color w:val="auto"/>
          <w:szCs w:val="21"/>
          <w:highlight w:val="none"/>
          <w:shd w:val="clear" w:color="auto" w:fill="auto"/>
        </w:rPr>
      </w:pPr>
      <w:r>
        <w:rPr>
          <w:rFonts w:hint="eastAsia" w:hAnsi="宋体"/>
          <w:b/>
          <w:bCs/>
          <w:color w:val="auto"/>
          <w:szCs w:val="21"/>
          <w:highlight w:val="none"/>
          <w:shd w:val="clear" w:color="auto" w:fill="auto"/>
        </w:rPr>
        <w:t>七、凡对本次采购提出询问，请按以下方式联系</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1.采购人信息</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名称：南通博物苑</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地址：江苏省南通市崇川区濠南路19号</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联系方式：0513-85062508</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2.主管部门</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名称：南通市文化广电和旅游局</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地址：南通市崇川区世纪大道6号</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联系方式：0513-85099576</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3.采购代理机构信息</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名称：江苏正扬招标代理有限公司</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地址：南通市崇川区青年中路153号4号楼213室</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联系方式：0513-85991998</w:t>
      </w:r>
      <w:r>
        <w:rPr>
          <w:rFonts w:hint="eastAsia" w:hAnsi="宋体"/>
          <w:color w:val="auto"/>
          <w:szCs w:val="21"/>
          <w:highlight w:val="none"/>
          <w:shd w:val="clear" w:color="auto" w:fill="auto"/>
          <w:lang w:eastAsia="zh-CN"/>
        </w:rPr>
        <w:t>；</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4.项目联系方式：</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 xml:space="preserve">联系人：李艳梅；     </w:t>
      </w:r>
    </w:p>
    <w:p>
      <w:pPr>
        <w:spacing w:line="480" w:lineRule="exact"/>
        <w:ind w:firstLine="420" w:firstLineChars="200"/>
        <w:rPr>
          <w:rFonts w:hint="eastAsia" w:hAnsi="宋体" w:eastAsia="宋体"/>
          <w:color w:val="auto"/>
          <w:szCs w:val="21"/>
          <w:highlight w:val="none"/>
          <w:shd w:val="clear" w:color="auto" w:fill="auto"/>
          <w:lang w:eastAsia="zh-CN"/>
        </w:rPr>
      </w:pPr>
      <w:r>
        <w:rPr>
          <w:rFonts w:hint="eastAsia" w:hAnsi="宋体" w:eastAsia="宋体"/>
          <w:color w:val="auto"/>
          <w:szCs w:val="21"/>
          <w:highlight w:val="none"/>
          <w:shd w:val="clear" w:color="auto" w:fill="auto"/>
          <w:lang w:eastAsia="zh-CN"/>
        </w:rPr>
        <w:t>联系电话：0513-85991998。</w:t>
      </w:r>
    </w:p>
    <w:p>
      <w:pPr>
        <w:rPr>
          <w:rFonts w:hint="eastAsia" w:ascii="宋体" w:hAnsi="宋体"/>
          <w:b/>
          <w:color w:val="auto"/>
          <w:w w:val="80"/>
          <w:kern w:val="44"/>
          <w:sz w:val="44"/>
          <w:szCs w:val="44"/>
          <w:highlight w:val="none"/>
          <w:shd w:val="clear" w:color="auto" w:fill="auto"/>
        </w:rPr>
      </w:pPr>
      <w:r>
        <w:rPr>
          <w:rFonts w:hint="eastAsia" w:ascii="宋体" w:hAnsi="宋体"/>
          <w:b/>
          <w:color w:val="auto"/>
          <w:w w:val="80"/>
          <w:kern w:val="44"/>
          <w:sz w:val="44"/>
          <w:szCs w:val="44"/>
          <w:highlight w:val="none"/>
          <w:shd w:val="clear" w:color="auto" w:fill="auto"/>
        </w:rPr>
        <w:br w:type="page"/>
      </w:r>
    </w:p>
    <w:p>
      <w:pPr>
        <w:spacing w:line="480" w:lineRule="exact"/>
        <w:jc w:val="center"/>
        <w:rPr>
          <w:rFonts w:ascii="宋体" w:hAnsi="宋体"/>
          <w:b/>
          <w:color w:val="auto"/>
          <w:w w:val="80"/>
          <w:kern w:val="44"/>
          <w:sz w:val="44"/>
          <w:szCs w:val="44"/>
          <w:highlight w:val="none"/>
          <w:shd w:val="clear" w:color="auto" w:fill="auto"/>
        </w:rPr>
      </w:pPr>
      <w:r>
        <w:rPr>
          <w:rFonts w:hint="eastAsia" w:ascii="宋体" w:hAnsi="宋体"/>
          <w:b/>
          <w:color w:val="auto"/>
          <w:w w:val="80"/>
          <w:kern w:val="44"/>
          <w:sz w:val="44"/>
          <w:szCs w:val="44"/>
          <w:highlight w:val="none"/>
          <w:shd w:val="clear" w:color="auto" w:fill="auto"/>
        </w:rPr>
        <w:t>第二章  供应商须知</w:t>
      </w:r>
    </w:p>
    <w:p>
      <w:pPr>
        <w:snapToGrid w:val="0"/>
        <w:spacing w:line="480" w:lineRule="exact"/>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一、说明</w:t>
      </w:r>
    </w:p>
    <w:p>
      <w:pPr>
        <w:snapToGrid w:val="0"/>
        <w:spacing w:line="480" w:lineRule="exact"/>
        <w:ind w:firstLine="480" w:firstLineChars="200"/>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rPr>
        <w:t>1.本竞争性磋商文件仅适用于采购人组织的竞争性磋商采购活动。</w:t>
      </w:r>
    </w:p>
    <w:p>
      <w:pPr>
        <w:snapToGrid w:val="0"/>
        <w:spacing w:line="480" w:lineRule="exact"/>
        <w:ind w:firstLine="480" w:firstLineChars="200"/>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rPr>
        <w:t>2.竞争性磋商活动及因本次磋商产生的合同受中国法律制约和保护。</w:t>
      </w:r>
    </w:p>
    <w:p>
      <w:pPr>
        <w:snapToGrid w:val="0"/>
        <w:spacing w:line="480" w:lineRule="exact"/>
        <w:ind w:firstLine="480" w:firstLineChars="200"/>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rPr>
        <w:t>3.竞争性磋商文件的解释权属于采购人。</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供应商获取磋商文件后，应仔细检查磋商文件的所有内容。如内容中有页码短缺、资格要求以及任何设置有不合理的条件对供应商实行差别待遇或者歧视待遇的，应在磋商文件发布后的4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hAnsi="宋体" w:cs="宋体"/>
          <w:b/>
          <w:color w:val="auto"/>
          <w:sz w:val="24"/>
          <w:szCs w:val="24"/>
          <w:highlight w:val="none"/>
          <w:shd w:val="clear" w:color="auto" w:fill="auto"/>
        </w:rPr>
        <w:t>非书面形式的不作为日后质疑提出的依据。</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5.供应商应认真审阅磋商文件中所有的事项、格式、条款和规范要求等，如果供应商没有按照磋商文件要求提交响应文件，或者响应文件没有对磋商文件做出实质性响应，将被拒绝参与项目的磋商。</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6.供应商在磋商开始前自行踏勘现场，供应商务必自行认真踏勘现场条件，进一步获取所需信息，一旦成交不得对现场条件提出额外要求，不得要求增加费用，采购人可视情组织答疑会。</w:t>
      </w:r>
    </w:p>
    <w:p>
      <w:pPr>
        <w:snapToGrid w:val="0"/>
        <w:spacing w:line="480" w:lineRule="exact"/>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二、磋商文件的澄清、修改、答疑</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1.代理机构有权对发出的磋商文件进行必要的澄清、修改或补充。</w:t>
      </w:r>
    </w:p>
    <w:p>
      <w:pPr>
        <w:snapToGrid w:val="0"/>
        <w:spacing w:line="480" w:lineRule="exact"/>
        <w:ind w:firstLine="480" w:firstLineChars="200"/>
        <w:jc w:val="lef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2.磋商文件的澄清、修改、补充等内容均以书面明确的形式发布，并以</w:t>
      </w:r>
      <w:r>
        <w:rPr>
          <w:rFonts w:hint="eastAsia" w:hAnsi="宋体" w:cs="宋体"/>
          <w:color w:val="auto"/>
          <w:sz w:val="24"/>
          <w:szCs w:val="24"/>
          <w:highlight w:val="none"/>
          <w:shd w:val="clear" w:color="auto" w:fill="auto"/>
          <w:lang w:eastAsia="zh-CN"/>
        </w:rPr>
        <w:t>“南通市文化广电和旅游局-政府采购栏”“南通博物苑-资讯-招标信息栏”</w:t>
      </w:r>
      <w:r>
        <w:rPr>
          <w:rFonts w:hint="eastAsia" w:hAnsi="宋体" w:cs="宋体"/>
          <w:color w:val="auto"/>
          <w:sz w:val="24"/>
          <w:szCs w:val="24"/>
          <w:highlight w:val="none"/>
          <w:shd w:val="clear" w:color="auto" w:fill="auto"/>
        </w:rPr>
        <w:t>发布的信息为准。</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3.代理机构对磋商文件的澄清、修改将构成磋商文件的一部分，对响应磋商的供应商具有约束力。</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4.澄清或者修改的内容可能影响到响应文件编制的，代理机构将在提交响应文件接收截止之日5日前，发布澄清或者修改</w:t>
      </w:r>
      <w:r>
        <w:rPr>
          <w:rFonts w:hint="eastAsia" w:hAnsi="宋体" w:cs="宋体"/>
          <w:color w:val="auto"/>
          <w:sz w:val="24"/>
          <w:szCs w:val="24"/>
          <w:highlight w:val="none"/>
          <w:shd w:val="clear" w:color="auto" w:fill="auto"/>
          <w:lang w:eastAsia="zh-CN"/>
        </w:rPr>
        <w:t>公告</w:t>
      </w:r>
      <w:r>
        <w:rPr>
          <w:rFonts w:hint="eastAsia" w:hAnsi="宋体" w:cs="宋体"/>
          <w:color w:val="auto"/>
          <w:sz w:val="24"/>
          <w:szCs w:val="24"/>
          <w:highlight w:val="none"/>
          <w:shd w:val="clear" w:color="auto" w:fill="auto"/>
        </w:rPr>
        <w:t>，不足5日的，当顺延提交响应文件接收截止时间。</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5.除非代理机构以书面的形式对磋商文件作出澄清、修改及补充，供应商对涉及磋商文件的任何推论、理解和结论所造成的结果，均由供应商自负。</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6.采购人视情组织答疑会。如有产生答疑且对磋商文件内容有修改，代理机构将按照本须知有关规定，以补充通知（</w:t>
      </w:r>
      <w:r>
        <w:rPr>
          <w:rFonts w:hint="eastAsia" w:hAnsi="宋体" w:cs="宋体"/>
          <w:color w:val="auto"/>
          <w:sz w:val="24"/>
          <w:szCs w:val="24"/>
          <w:highlight w:val="none"/>
          <w:shd w:val="clear" w:color="auto" w:fill="auto"/>
          <w:lang w:eastAsia="zh-CN"/>
        </w:rPr>
        <w:t>公告</w:t>
      </w:r>
      <w:r>
        <w:rPr>
          <w:rFonts w:hint="eastAsia" w:hAnsi="宋体" w:cs="宋体"/>
          <w:color w:val="auto"/>
          <w:sz w:val="24"/>
          <w:szCs w:val="24"/>
          <w:highlight w:val="none"/>
          <w:shd w:val="clear" w:color="auto" w:fill="auto"/>
        </w:rPr>
        <w:t>）的方式发出。</w:t>
      </w:r>
    </w:p>
    <w:p>
      <w:pPr>
        <w:snapToGrid w:val="0"/>
        <w:spacing w:line="480" w:lineRule="exact"/>
        <w:ind w:firstLine="480"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三、响应文件的编制及装订</w:t>
      </w:r>
    </w:p>
    <w:p>
      <w:pPr>
        <w:spacing w:line="48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供应商按磋商文件要求编写响应文件，并牢固装订成册。响应文件均需采用A4纸（图纸等除外），不要使用活页夹、拉杆夹、文件夹、塑料方便式书脊（插入式或穿孔式）装订。响应文件不得行间插字、涂改、增删，如修改错漏处，须经响应文件签署人签字并加盖公章。</w:t>
      </w:r>
    </w:p>
    <w:p>
      <w:pPr>
        <w:snapToGrid w:val="0"/>
        <w:spacing w:line="480" w:lineRule="exact"/>
        <w:ind w:firstLine="480" w:firstLineChars="200"/>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四、响应文件的份数和签署</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1.响应文件由：</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1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①</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资格审查文件、</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2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②</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技术响应文件、③</w:t>
      </w:r>
      <w:r>
        <w:rPr>
          <w:rFonts w:hint="eastAsia" w:hAnsi="宋体" w:cs="宋体"/>
          <w:color w:val="auto"/>
          <w:sz w:val="24"/>
          <w:szCs w:val="24"/>
          <w:highlight w:val="none"/>
          <w:shd w:val="clear" w:color="auto" w:fill="auto"/>
          <w:lang w:eastAsia="zh-CN"/>
        </w:rPr>
        <w:t>报价响应文件</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rPr>
        <w:fldChar w:fldCharType="begin"/>
      </w:r>
      <w:r>
        <w:rPr>
          <w:rFonts w:hint="eastAsia" w:ascii="宋体" w:hAnsi="宋体" w:cs="宋体"/>
          <w:color w:val="auto"/>
          <w:sz w:val="24"/>
          <w:szCs w:val="24"/>
          <w:highlight w:val="none"/>
          <w:shd w:val="clear" w:color="auto" w:fill="auto"/>
        </w:rPr>
        <w:instrText xml:space="preserve"> = 4 \* GB3 \* MERGEFORMAT </w:instrText>
      </w:r>
      <w:r>
        <w:rPr>
          <w:rFonts w:hint="eastAsia" w:ascii="宋体" w:hAnsi="宋体" w:cs="宋体"/>
          <w:color w:val="auto"/>
          <w:sz w:val="24"/>
          <w:szCs w:val="24"/>
          <w:highlight w:val="none"/>
          <w:shd w:val="clear" w:color="auto" w:fill="auto"/>
        </w:rPr>
        <w:fldChar w:fldCharType="separate"/>
      </w:r>
      <w:r>
        <w:rPr>
          <w:rFonts w:hint="eastAsia" w:ascii="宋体" w:hAnsi="宋体" w:cs="宋体"/>
          <w:color w:val="auto"/>
          <w:sz w:val="24"/>
          <w:szCs w:val="24"/>
          <w:highlight w:val="none"/>
          <w:shd w:val="clear" w:color="auto" w:fill="auto"/>
        </w:rPr>
        <w:t>④</w:t>
      </w:r>
      <w:r>
        <w:rPr>
          <w:rFonts w:hint="eastAsia" w:ascii="宋体" w:hAnsi="宋体" w:cs="宋体"/>
          <w:color w:val="auto"/>
          <w:sz w:val="24"/>
          <w:szCs w:val="24"/>
          <w:highlight w:val="none"/>
          <w:shd w:val="clear" w:color="auto" w:fill="auto"/>
        </w:rPr>
        <w:fldChar w:fldCharType="end"/>
      </w:r>
      <w:r>
        <w:rPr>
          <w:rFonts w:hint="eastAsia" w:ascii="宋体" w:hAnsi="宋体" w:cs="宋体"/>
          <w:color w:val="auto"/>
          <w:sz w:val="24"/>
          <w:szCs w:val="24"/>
          <w:highlight w:val="none"/>
          <w:shd w:val="clear" w:color="auto" w:fill="auto"/>
        </w:rPr>
        <w:t>响应文件电子版共4部分组成（以下由文件序号代称）</w:t>
      </w:r>
      <w:r>
        <w:rPr>
          <w:rFonts w:hint="eastAsia" w:hAnsi="宋体" w:cs="宋体"/>
          <w:color w:val="auto"/>
          <w:sz w:val="24"/>
          <w:szCs w:val="24"/>
          <w:highlight w:val="none"/>
          <w:shd w:val="clear" w:color="auto" w:fill="auto"/>
        </w:rPr>
        <w:t>。</w:t>
      </w:r>
    </w:p>
    <w:p>
      <w:pPr>
        <w:snapToGrid w:val="0"/>
        <w:spacing w:line="480" w:lineRule="exact"/>
        <w:ind w:firstLine="480" w:firstLineChars="200"/>
        <w:rPr>
          <w:rFonts w:hAnsi="宋体" w:cs="宋体"/>
          <w:b/>
          <w:color w:val="auto"/>
          <w:sz w:val="24"/>
          <w:szCs w:val="24"/>
          <w:highlight w:val="none"/>
          <w:u w:val="single"/>
          <w:shd w:val="clear" w:color="auto" w:fill="auto"/>
        </w:rPr>
      </w:pPr>
      <w:r>
        <w:rPr>
          <w:rFonts w:hint="eastAsia" w:hAnsi="宋体" w:cs="宋体"/>
          <w:color w:val="auto"/>
          <w:sz w:val="24"/>
          <w:szCs w:val="24"/>
          <w:highlight w:val="none"/>
          <w:shd w:val="clear" w:color="auto" w:fill="auto"/>
        </w:rPr>
        <w:t>2.响应文件均为一式叁份，其中“正本”壹份和“副本”贰份。</w:t>
      </w:r>
    </w:p>
    <w:p>
      <w:pPr>
        <w:snapToGrid w:val="0"/>
        <w:spacing w:line="480" w:lineRule="exact"/>
        <w:ind w:firstLine="470" w:firstLineChars="19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w:t>
      </w:r>
      <w:r>
        <w:rPr>
          <w:rFonts w:hint="eastAsia" w:ascii="宋体" w:hAnsi="宋体" w:cs="宋体"/>
          <w:b/>
          <w:bCs/>
          <w:color w:val="auto"/>
          <w:sz w:val="24"/>
          <w:szCs w:val="24"/>
          <w:highlight w:val="none"/>
          <w:shd w:val="clear" w:color="auto" w:fill="auto"/>
        </w:rPr>
        <w:fldChar w:fldCharType="begin"/>
      </w:r>
      <w:r>
        <w:rPr>
          <w:rFonts w:hint="eastAsia" w:ascii="宋体" w:hAnsi="宋体" w:cs="宋体"/>
          <w:b/>
          <w:bCs/>
          <w:color w:val="auto"/>
          <w:sz w:val="24"/>
          <w:szCs w:val="24"/>
          <w:highlight w:val="none"/>
          <w:shd w:val="clear" w:color="auto" w:fill="auto"/>
        </w:rPr>
        <w:instrText xml:space="preserve"> = 4 \* GB3 \* MERGEFORMAT </w:instrText>
      </w:r>
      <w:r>
        <w:rPr>
          <w:rFonts w:hint="eastAsia" w:ascii="宋体" w:hAnsi="宋体" w:cs="宋体"/>
          <w:b/>
          <w:bCs/>
          <w:color w:val="auto"/>
          <w:sz w:val="24"/>
          <w:szCs w:val="24"/>
          <w:highlight w:val="none"/>
          <w:shd w:val="clear" w:color="auto" w:fill="auto"/>
        </w:rPr>
        <w:fldChar w:fldCharType="separate"/>
      </w:r>
      <w:r>
        <w:rPr>
          <w:rFonts w:hint="eastAsia" w:ascii="宋体" w:hAnsi="宋体" w:cs="宋体"/>
          <w:b/>
          <w:bCs/>
          <w:color w:val="auto"/>
          <w:sz w:val="24"/>
          <w:szCs w:val="24"/>
          <w:highlight w:val="none"/>
          <w:shd w:val="clear" w:color="auto" w:fill="auto"/>
        </w:rPr>
        <w:t>④</w:t>
      </w:r>
      <w:r>
        <w:rPr>
          <w:rFonts w:hint="eastAsia" w:ascii="宋体" w:hAnsi="宋体" w:cs="宋体"/>
          <w:b/>
          <w:bCs/>
          <w:color w:val="auto"/>
          <w:sz w:val="24"/>
          <w:szCs w:val="24"/>
          <w:highlight w:val="none"/>
          <w:shd w:val="clear" w:color="auto" w:fill="auto"/>
        </w:rPr>
        <w:fldChar w:fldCharType="end"/>
      </w:r>
      <w:r>
        <w:rPr>
          <w:rFonts w:hint="eastAsia" w:ascii="宋体" w:hAnsi="宋体" w:cs="宋体"/>
          <w:b/>
          <w:bCs/>
          <w:color w:val="auto"/>
          <w:sz w:val="24"/>
          <w:szCs w:val="24"/>
          <w:highlight w:val="none"/>
          <w:shd w:val="clear" w:color="auto" w:fill="auto"/>
        </w:rPr>
        <w:t>响应文件电子版需将</w:t>
      </w:r>
      <w:r>
        <w:rPr>
          <w:rFonts w:hint="eastAsia" w:ascii="宋体" w:hAnsi="宋体" w:cs="宋体"/>
          <w:b/>
          <w:bCs/>
          <w:color w:val="auto"/>
          <w:sz w:val="24"/>
          <w:szCs w:val="24"/>
          <w:highlight w:val="none"/>
          <w:shd w:val="clear" w:color="auto" w:fill="auto"/>
        </w:rPr>
        <w:fldChar w:fldCharType="begin"/>
      </w:r>
      <w:r>
        <w:rPr>
          <w:rFonts w:hint="eastAsia" w:ascii="宋体" w:hAnsi="宋体" w:cs="宋体"/>
          <w:b/>
          <w:bCs/>
          <w:color w:val="auto"/>
          <w:sz w:val="24"/>
          <w:szCs w:val="24"/>
          <w:highlight w:val="none"/>
          <w:shd w:val="clear" w:color="auto" w:fill="auto"/>
        </w:rPr>
        <w:instrText xml:space="preserve"> = 1 \* GB3 </w:instrText>
      </w:r>
      <w:r>
        <w:rPr>
          <w:rFonts w:hint="eastAsia" w:ascii="宋体" w:hAnsi="宋体" w:cs="宋体"/>
          <w:b/>
          <w:bCs/>
          <w:color w:val="auto"/>
          <w:sz w:val="24"/>
          <w:szCs w:val="24"/>
          <w:highlight w:val="none"/>
          <w:shd w:val="clear" w:color="auto" w:fill="auto"/>
        </w:rPr>
        <w:fldChar w:fldCharType="separate"/>
      </w:r>
      <w:r>
        <w:rPr>
          <w:rFonts w:hint="eastAsia" w:ascii="宋体" w:hAnsi="宋体" w:cs="宋体"/>
          <w:b/>
          <w:bCs/>
          <w:color w:val="auto"/>
          <w:sz w:val="24"/>
          <w:szCs w:val="24"/>
          <w:highlight w:val="none"/>
          <w:shd w:val="clear" w:color="auto" w:fill="auto"/>
        </w:rPr>
        <w:t>①</w:t>
      </w:r>
      <w:r>
        <w:rPr>
          <w:rFonts w:hint="eastAsia" w:ascii="宋体" w:hAnsi="宋体" w:cs="宋体"/>
          <w:b/>
          <w:bCs/>
          <w:color w:val="auto"/>
          <w:sz w:val="24"/>
          <w:szCs w:val="24"/>
          <w:highlight w:val="none"/>
          <w:shd w:val="clear" w:color="auto" w:fill="auto"/>
        </w:rPr>
        <w:fldChar w:fldCharType="end"/>
      </w:r>
      <w:r>
        <w:rPr>
          <w:rFonts w:hint="eastAsia" w:ascii="宋体" w:hAnsi="宋体" w:cs="宋体"/>
          <w:b/>
          <w:bCs/>
          <w:color w:val="auto"/>
          <w:sz w:val="24"/>
          <w:szCs w:val="24"/>
          <w:highlight w:val="none"/>
          <w:shd w:val="clear" w:color="auto" w:fill="auto"/>
        </w:rPr>
        <w:fldChar w:fldCharType="begin"/>
      </w:r>
      <w:r>
        <w:rPr>
          <w:rFonts w:hint="eastAsia" w:ascii="宋体" w:hAnsi="宋体" w:cs="宋体"/>
          <w:b/>
          <w:bCs/>
          <w:color w:val="auto"/>
          <w:sz w:val="24"/>
          <w:szCs w:val="24"/>
          <w:highlight w:val="none"/>
          <w:shd w:val="clear" w:color="auto" w:fill="auto"/>
        </w:rPr>
        <w:instrText xml:space="preserve"> = 2 \* GB3 </w:instrText>
      </w:r>
      <w:r>
        <w:rPr>
          <w:rFonts w:hint="eastAsia" w:ascii="宋体" w:hAnsi="宋体" w:cs="宋体"/>
          <w:b/>
          <w:bCs/>
          <w:color w:val="auto"/>
          <w:sz w:val="24"/>
          <w:szCs w:val="24"/>
          <w:highlight w:val="none"/>
          <w:shd w:val="clear" w:color="auto" w:fill="auto"/>
        </w:rPr>
        <w:fldChar w:fldCharType="separate"/>
      </w:r>
      <w:r>
        <w:rPr>
          <w:rFonts w:hint="eastAsia" w:ascii="宋体" w:hAnsi="宋体" w:cs="宋体"/>
          <w:b/>
          <w:bCs/>
          <w:color w:val="auto"/>
          <w:sz w:val="24"/>
          <w:szCs w:val="24"/>
          <w:highlight w:val="none"/>
          <w:shd w:val="clear" w:color="auto" w:fill="auto"/>
        </w:rPr>
        <w:t>②</w:t>
      </w:r>
      <w:r>
        <w:rPr>
          <w:rFonts w:hint="eastAsia" w:ascii="宋体" w:hAnsi="宋体" w:cs="宋体"/>
          <w:b/>
          <w:bCs/>
          <w:color w:val="auto"/>
          <w:sz w:val="24"/>
          <w:szCs w:val="24"/>
          <w:highlight w:val="none"/>
          <w:shd w:val="clear" w:color="auto" w:fill="auto"/>
        </w:rPr>
        <w:fldChar w:fldCharType="end"/>
      </w:r>
      <w:r>
        <w:rPr>
          <w:rFonts w:hint="eastAsia" w:ascii="宋体" w:hAnsi="宋体" w:cs="宋体"/>
          <w:b/>
          <w:bCs/>
          <w:color w:val="auto"/>
          <w:sz w:val="24"/>
          <w:szCs w:val="24"/>
          <w:highlight w:val="none"/>
          <w:shd w:val="clear" w:color="auto" w:fill="auto"/>
        </w:rPr>
        <w:t>③的正本盖章后扫描一份存于U盘中，单独密封递交。</w:t>
      </w:r>
    </w:p>
    <w:p>
      <w:pPr>
        <w:snapToGrid w:val="0"/>
        <w:spacing w:line="480" w:lineRule="exact"/>
        <w:ind w:firstLine="470" w:firstLineChars="19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4.在每份响应文件上要明确标注项目名称、对应的响应文件名称、供应商的全称、日期、“正本”“副本”字样。“正本”和“副本”若有差异，概以“正本”为准。</w:t>
      </w:r>
    </w:p>
    <w:p>
      <w:pPr>
        <w:snapToGrid w:val="0"/>
        <w:spacing w:line="480" w:lineRule="exact"/>
        <w:ind w:firstLine="470" w:firstLineChars="19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5.响应文件中的所有“正本”，其正文内容须按磋商文件要求由供应商法定代表人或被授权人签字（或盖章）并加盖单位公章。“副本”可复印，但须加盖单位公章。</w:t>
      </w:r>
    </w:p>
    <w:p>
      <w:pPr>
        <w:snapToGrid w:val="0"/>
        <w:spacing w:line="480" w:lineRule="exact"/>
        <w:ind w:firstLine="470" w:firstLineChars="196"/>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五、响应文件的密封及标记</w:t>
      </w:r>
    </w:p>
    <w:p>
      <w:pPr>
        <w:snapToGrid w:val="0"/>
        <w:spacing w:line="480" w:lineRule="exact"/>
        <w:ind w:firstLine="480" w:firstLineChars="200"/>
        <w:rPr>
          <w:rFonts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1.供应商须将本项目响应文件：</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1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①</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2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②</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3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③</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4 \* GB3 \* MERGEFORMAT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④</w:t>
      </w:r>
      <w:r>
        <w:rPr>
          <w:rFonts w:hint="eastAsia" w:hAnsi="宋体" w:cs="宋体"/>
          <w:color w:val="auto"/>
          <w:sz w:val="24"/>
          <w:szCs w:val="24"/>
          <w:highlight w:val="none"/>
          <w:shd w:val="clear" w:color="auto" w:fill="auto"/>
        </w:rPr>
        <w:fldChar w:fldCharType="end"/>
      </w:r>
      <w:r>
        <w:rPr>
          <w:rFonts w:hint="eastAsia" w:hAnsi="宋体" w:cs="宋体"/>
          <w:b/>
          <w:color w:val="auto"/>
          <w:sz w:val="24"/>
          <w:szCs w:val="24"/>
          <w:highlight w:val="none"/>
          <w:shd w:val="clear" w:color="auto" w:fill="auto"/>
        </w:rPr>
        <w:t>单独密封</w:t>
      </w:r>
      <w:r>
        <w:rPr>
          <w:rFonts w:hint="eastAsia" w:hAnsi="宋体" w:cs="宋体"/>
          <w:color w:val="auto"/>
          <w:sz w:val="24"/>
          <w:szCs w:val="24"/>
          <w:highlight w:val="none"/>
          <w:shd w:val="clear" w:color="auto" w:fill="auto"/>
        </w:rPr>
        <w:t>。</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2.密封后，应在每一密封的响应文件上明确标注磋商项目名称、响应文件各自对应的名称、供应商的全称及日期。</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3.在边缝处加盖供应商公章或骑缝签字。</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b/>
          <w:color w:val="auto"/>
          <w:sz w:val="24"/>
          <w:szCs w:val="24"/>
          <w:highlight w:val="none"/>
          <w:shd w:val="clear" w:color="auto" w:fill="auto"/>
        </w:rPr>
        <w:t>【特别提醒】</w:t>
      </w:r>
      <w:r>
        <w:rPr>
          <w:rFonts w:hint="eastAsia" w:hAnsi="宋体" w:cs="宋体"/>
          <w:color w:val="auto"/>
          <w:sz w:val="24"/>
          <w:szCs w:val="24"/>
          <w:highlight w:val="none"/>
          <w:shd w:val="clear" w:color="auto" w:fill="auto"/>
        </w:rPr>
        <w:t>响应文件中的</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1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①</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和</w:t>
      </w:r>
      <w:r>
        <w:rPr>
          <w:rFonts w:hint="eastAsia" w:hAnsi="宋体" w:cs="宋体"/>
          <w:color w:val="auto"/>
          <w:sz w:val="24"/>
          <w:szCs w:val="24"/>
          <w:highlight w:val="none"/>
          <w:shd w:val="clear" w:color="auto" w:fill="auto"/>
        </w:rPr>
        <w:fldChar w:fldCharType="begin"/>
      </w:r>
      <w:r>
        <w:rPr>
          <w:rFonts w:hint="eastAsia" w:hAnsi="宋体" w:cs="宋体"/>
          <w:color w:val="auto"/>
          <w:sz w:val="24"/>
          <w:szCs w:val="24"/>
          <w:highlight w:val="none"/>
          <w:shd w:val="clear" w:color="auto" w:fill="auto"/>
        </w:rPr>
        <w:instrText xml:space="preserve"> = 2 \* GB3 </w:instrText>
      </w:r>
      <w:r>
        <w:rPr>
          <w:rFonts w:hint="eastAsia" w:hAnsi="宋体" w:cs="宋体"/>
          <w:color w:val="auto"/>
          <w:sz w:val="24"/>
          <w:szCs w:val="24"/>
          <w:highlight w:val="none"/>
          <w:shd w:val="clear" w:color="auto" w:fill="auto"/>
        </w:rPr>
        <w:fldChar w:fldCharType="separate"/>
      </w:r>
      <w:r>
        <w:rPr>
          <w:rFonts w:hint="eastAsia" w:hAnsi="宋体" w:cs="宋体"/>
          <w:color w:val="auto"/>
          <w:sz w:val="24"/>
          <w:szCs w:val="24"/>
          <w:highlight w:val="none"/>
          <w:shd w:val="clear" w:color="auto" w:fill="auto"/>
        </w:rPr>
        <w:t>②</w:t>
      </w:r>
      <w:r>
        <w:rPr>
          <w:rFonts w:hint="eastAsia" w:hAnsi="宋体" w:cs="宋体"/>
          <w:color w:val="auto"/>
          <w:sz w:val="24"/>
          <w:szCs w:val="24"/>
          <w:highlight w:val="none"/>
          <w:shd w:val="clear" w:color="auto" w:fill="auto"/>
        </w:rPr>
        <w:fldChar w:fldCharType="end"/>
      </w:r>
      <w:r>
        <w:rPr>
          <w:rFonts w:hint="eastAsia" w:hAnsi="宋体" w:cs="宋体"/>
          <w:color w:val="auto"/>
          <w:sz w:val="24"/>
          <w:szCs w:val="24"/>
          <w:highlight w:val="none"/>
          <w:shd w:val="clear" w:color="auto" w:fill="auto"/>
        </w:rPr>
        <w:t>的“正本”或“副本”中，均不得含有</w:t>
      </w:r>
      <w:r>
        <w:rPr>
          <w:rFonts w:hint="eastAsia" w:hAnsi="宋体" w:cs="宋体"/>
          <w:color w:val="auto"/>
          <w:sz w:val="24"/>
          <w:szCs w:val="24"/>
          <w:highlight w:val="none"/>
          <w:shd w:val="clear" w:color="auto" w:fill="auto"/>
          <w:lang w:eastAsia="zh-CN"/>
        </w:rPr>
        <w:t>报价响应文件</w:t>
      </w:r>
      <w:r>
        <w:rPr>
          <w:rFonts w:hint="eastAsia" w:hAnsi="宋体" w:cs="宋体"/>
          <w:color w:val="auto"/>
          <w:sz w:val="24"/>
          <w:szCs w:val="24"/>
          <w:highlight w:val="none"/>
          <w:shd w:val="clear" w:color="auto" w:fill="auto"/>
        </w:rPr>
        <w:t>中报价表（报价单）内的任何项目价格，否则作无效响应处理。</w:t>
      </w:r>
    </w:p>
    <w:p>
      <w:pPr>
        <w:snapToGrid w:val="0"/>
        <w:spacing w:line="480" w:lineRule="exact"/>
        <w:ind w:firstLine="494" w:firstLineChars="206"/>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六、磋商报价</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1.本项目不接受任何有选择的报价。</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2.磋商报价均以人民币为报价的币种。</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3.磋商报价表必须加盖单位公章且必须经法定代表人或被授权人签字或盖章。报价表中的大写金额与小写金额、总价金额与按单价汇总金额，</w:t>
      </w:r>
      <w:r>
        <w:rPr>
          <w:rFonts w:hint="eastAsia" w:ascii="宋体" w:hAnsi="宋体" w:cs="宋体"/>
          <w:color w:val="auto"/>
          <w:sz w:val="24"/>
          <w:szCs w:val="24"/>
          <w:highlight w:val="none"/>
          <w:shd w:val="clear" w:color="auto" w:fill="auto"/>
        </w:rPr>
        <w:t>若有差异将按下列条款执行：</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（1）磋商响应文件中开标一览表（报价表）内容与磋商响应文件中相应内容不一致的，以开标一览表（报价表）为准；</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（2）大写金额和小写金额不一致的，以大写金额为准；</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（3）单价金额小数点或者百分比有明显错位的，以开标一览表的总价为准，并修改单价；</w:t>
      </w:r>
    </w:p>
    <w:p>
      <w:pPr>
        <w:snapToGrid w:val="0"/>
        <w:spacing w:line="520" w:lineRule="exact"/>
        <w:ind w:firstLine="494" w:firstLineChars="206"/>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（4）总价金额与按单价汇总金额不一致的，以单价金额计算结果为准。</w:t>
      </w:r>
    </w:p>
    <w:p>
      <w:pPr>
        <w:snapToGrid w:val="0"/>
        <w:spacing w:line="520" w:lineRule="exact"/>
        <w:ind w:firstLine="494" w:firstLineChars="206"/>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（5）同时出现两种以上不一致的，按照前款规定的顺序修正。修正后的报价供应商确认后产生约束力，供应商不确认的，其报价无效。</w:t>
      </w:r>
    </w:p>
    <w:p>
      <w:pPr>
        <w:snapToGrid w:val="0"/>
        <w:spacing w:line="520" w:lineRule="exact"/>
        <w:ind w:firstLine="494" w:firstLineChars="206"/>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4.供应商应按本竞争性磋商文件内</w:t>
      </w:r>
      <w:r>
        <w:rPr>
          <w:rFonts w:hint="eastAsia" w:ascii="宋体" w:hAnsi="宋体" w:cs="宋体"/>
          <w:color w:val="auto"/>
          <w:sz w:val="24"/>
          <w:szCs w:val="24"/>
          <w:highlight w:val="none"/>
          <w:shd w:val="clear" w:color="auto" w:fill="auto"/>
          <w:lang w:val="en-US" w:eastAsia="zh-CN"/>
        </w:rPr>
        <w:t>项目需求</w:t>
      </w:r>
      <w:r>
        <w:rPr>
          <w:rFonts w:hint="eastAsia" w:ascii="宋体" w:hAnsi="宋体" w:cs="宋体"/>
          <w:color w:val="auto"/>
          <w:sz w:val="24"/>
          <w:szCs w:val="24"/>
          <w:highlight w:val="none"/>
          <w:shd w:val="clear" w:color="auto" w:fill="auto"/>
        </w:rPr>
        <w:t>的全部采购内容计算单价和总价。</w:t>
      </w:r>
    </w:p>
    <w:p>
      <w:pPr>
        <w:snapToGrid w:val="0"/>
        <w:spacing w:line="520" w:lineRule="exact"/>
        <w:ind w:firstLine="494" w:firstLineChars="206"/>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w:t>
      </w:r>
      <w:r>
        <w:rPr>
          <w:rFonts w:hint="eastAsia" w:ascii="宋体" w:hAnsi="宋体" w:cs="宋体"/>
          <w:color w:val="auto"/>
          <w:sz w:val="24"/>
          <w:szCs w:val="24"/>
          <w:highlight w:val="none"/>
        </w:rPr>
        <w:t>本项目</w:t>
      </w:r>
      <w:r>
        <w:rPr>
          <w:rFonts w:hint="eastAsia" w:ascii="宋体" w:hAnsi="宋体" w:eastAsia="宋体" w:cs="宋体"/>
          <w:color w:val="auto"/>
          <w:sz w:val="24"/>
          <w:szCs w:val="24"/>
          <w:highlight w:val="none"/>
        </w:rPr>
        <w:t>报价（以人民币计价）应包含</w:t>
      </w:r>
      <w:r>
        <w:rPr>
          <w:rFonts w:hint="eastAsia" w:hAnsi="宋体" w:cs="宋体"/>
          <w:color w:val="auto"/>
          <w:sz w:val="24"/>
          <w:szCs w:val="24"/>
          <w:highlight w:val="none"/>
          <w:lang w:val="en-US" w:eastAsia="zh-CN"/>
        </w:rPr>
        <w:t>但不限于</w:t>
      </w:r>
      <w:r>
        <w:rPr>
          <w:rFonts w:hint="eastAsia" w:hAnsi="宋体" w:cs="宋体"/>
          <w:color w:val="auto"/>
          <w:sz w:val="24"/>
          <w:szCs w:val="24"/>
          <w:highlight w:val="none"/>
        </w:rPr>
        <w:t>设备及材料费、运输费、保险费、质保期（展览期内）内的维保费</w:t>
      </w:r>
      <w:r>
        <w:rPr>
          <w:rFonts w:hint="eastAsia" w:hAnsi="宋体" w:cs="宋体"/>
          <w:color w:val="auto"/>
          <w:sz w:val="24"/>
          <w:szCs w:val="24"/>
          <w:highlight w:val="none"/>
          <w:lang w:val="en-US" w:eastAsia="zh-CN"/>
        </w:rPr>
        <w:t>、</w:t>
      </w:r>
      <w:r>
        <w:rPr>
          <w:rFonts w:hint="eastAsia" w:hAnsi="宋体" w:cs="宋体"/>
          <w:color w:val="auto"/>
          <w:sz w:val="24"/>
          <w:szCs w:val="24"/>
          <w:highlight w:val="none"/>
        </w:rPr>
        <w:t>货物本身已支付或将支付的各种税费、以及交付用户使用前所产生的其他所有费用</w:t>
      </w:r>
      <w:r>
        <w:rPr>
          <w:rFonts w:hint="eastAsia" w:ascii="宋体" w:hAnsi="宋体" w:eastAsia="宋体" w:cs="宋体"/>
          <w:color w:val="auto"/>
          <w:sz w:val="24"/>
          <w:szCs w:val="24"/>
          <w:highlight w:val="none"/>
        </w:rPr>
        <w:t>；原材料的涨价及政策性调整等风险费</w:t>
      </w:r>
      <w:r>
        <w:rPr>
          <w:rFonts w:hint="eastAsia" w:ascii="宋体" w:hAnsi="宋体" w:cs="宋体"/>
          <w:color w:val="auto"/>
          <w:sz w:val="24"/>
          <w:szCs w:val="24"/>
          <w:highlight w:val="none"/>
        </w:rPr>
        <w:t>；相关伴随服务以及质保、售后服务等一切费用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shd w:val="clear" w:color="auto" w:fill="auto"/>
          <w:lang w:val="en-US" w:eastAsia="zh-CN"/>
        </w:rPr>
        <w:t>供应商</w:t>
      </w:r>
      <w:r>
        <w:rPr>
          <w:rFonts w:hint="eastAsia" w:ascii="宋体" w:hAnsi="宋体" w:cs="宋体"/>
          <w:color w:val="auto"/>
          <w:sz w:val="24"/>
          <w:szCs w:val="24"/>
          <w:highlight w:val="none"/>
          <w:shd w:val="clear" w:color="auto" w:fill="auto"/>
        </w:rPr>
        <w:t>的报价应包括为完成本项目所发生的一切费用和税费，即响应磋商文件采购要求的所有各项应有费用</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采购人</w:t>
      </w:r>
      <w:r>
        <w:rPr>
          <w:rFonts w:hint="eastAsia" w:ascii="宋体" w:hAnsi="宋体" w:cs="宋体"/>
          <w:color w:val="auto"/>
          <w:sz w:val="24"/>
          <w:szCs w:val="24"/>
          <w:highlight w:val="none"/>
          <w:shd w:val="clear" w:color="auto" w:fill="auto"/>
        </w:rPr>
        <w:t>将不再支付报价以外的任何费用。</w:t>
      </w:r>
    </w:p>
    <w:p>
      <w:pPr>
        <w:snapToGrid w:val="0"/>
        <w:spacing w:line="520" w:lineRule="exact"/>
        <w:ind w:firstLine="494" w:firstLineChars="206"/>
        <w:rPr>
          <w:rFonts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6.供应商应详细阅</w:t>
      </w:r>
      <w:r>
        <w:rPr>
          <w:rFonts w:hint="eastAsia" w:hAnsi="宋体" w:cs="宋体"/>
          <w:color w:val="auto"/>
          <w:sz w:val="24"/>
          <w:szCs w:val="24"/>
          <w:highlight w:val="none"/>
          <w:shd w:val="clear" w:color="auto" w:fill="auto"/>
        </w:rPr>
        <w:t>读竞争性磋商文件的全部内容，根据</w:t>
      </w:r>
      <w:r>
        <w:rPr>
          <w:rFonts w:hint="eastAsia" w:ascii="宋体" w:hAnsi="宋体" w:cs="宋体"/>
          <w:color w:val="auto"/>
          <w:sz w:val="24"/>
          <w:szCs w:val="24"/>
          <w:highlight w:val="none"/>
          <w:shd w:val="clear" w:color="auto" w:fill="auto"/>
          <w:lang w:val="en-US" w:eastAsia="zh-CN"/>
        </w:rPr>
        <w:t>项目需求</w:t>
      </w:r>
      <w:r>
        <w:rPr>
          <w:rFonts w:hint="eastAsia" w:hAnsi="宋体" w:cs="宋体"/>
          <w:color w:val="auto"/>
          <w:sz w:val="24"/>
          <w:szCs w:val="24"/>
          <w:highlight w:val="none"/>
          <w:shd w:val="clear" w:color="auto" w:fill="auto"/>
        </w:rPr>
        <w:t>，准确制定相关工作方案等，必须对本采购项目全部进行报价，如有漏项，视同对本项目的优惠。不按竞争性磋商文件的要求提供响应文件，导致报价无效，作无效响应处理。</w:t>
      </w:r>
    </w:p>
    <w:p>
      <w:pPr>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7.竞争性磋商的最终报价为成交价。同时，供应商的最终成交价在合同实施期间不因市场变化因素而变动。</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8.最低的磋商报价是成交的重要条件，但不是成交的唯一条件。</w:t>
      </w:r>
    </w:p>
    <w:p>
      <w:pPr>
        <w:snapToGrid w:val="0"/>
        <w:spacing w:line="500" w:lineRule="exact"/>
        <w:ind w:firstLine="494" w:firstLineChars="206"/>
        <w:rPr>
          <w:rFonts w:asci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9.本项目供应商独立承担用人风险。供应商自行建立风险管理调控机制，对意外伤害或工伤等风险充分预估，报价时自行考虑，一旦出现上述问题，采购人不承担任何连带赔偿责任。</w:t>
      </w:r>
    </w:p>
    <w:p>
      <w:pPr>
        <w:snapToGrid w:val="0"/>
        <w:spacing w:line="480" w:lineRule="exact"/>
        <w:ind w:firstLine="494" w:firstLineChars="206"/>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七、联合体参与磋商</w:t>
      </w:r>
    </w:p>
    <w:p>
      <w:pPr>
        <w:snapToGrid w:val="0"/>
        <w:spacing w:line="48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不接受任何形式的联合体参与本项目的竞争性磋商。</w:t>
      </w:r>
    </w:p>
    <w:p>
      <w:pPr>
        <w:snapToGrid w:val="0"/>
        <w:spacing w:line="480" w:lineRule="exact"/>
        <w:ind w:firstLine="460" w:firstLineChars="192"/>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八、响应文件及磋商费用</w:t>
      </w:r>
    </w:p>
    <w:p>
      <w:pPr>
        <w:snapToGrid w:val="0"/>
        <w:spacing w:line="480" w:lineRule="exact"/>
        <w:ind w:firstLine="484" w:firstLineChars="202"/>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1</w:t>
      </w:r>
      <w:r>
        <w:rPr>
          <w:rFonts w:hint="eastAsia" w:hAnsi="宋体" w:eastAsia="宋体" w:cs="宋体"/>
          <w:color w:val="auto"/>
          <w:sz w:val="24"/>
          <w:szCs w:val="24"/>
          <w:highlight w:val="none"/>
          <w:shd w:val="clear" w:color="auto" w:fill="auto"/>
        </w:rPr>
        <w:t>.本项目代理服务费由成交供应商支付。代理服务费按成交价的</w:t>
      </w:r>
      <w:r>
        <w:rPr>
          <w:rFonts w:hint="eastAsia" w:hAnsi="宋体" w:cs="宋体"/>
          <w:color w:val="auto"/>
          <w:sz w:val="24"/>
          <w:szCs w:val="24"/>
          <w:highlight w:val="none"/>
          <w:shd w:val="clear" w:color="auto" w:fill="auto"/>
          <w:lang w:val="en-US" w:eastAsia="zh-CN"/>
        </w:rPr>
        <w:t>1.2</w:t>
      </w:r>
      <w:r>
        <w:rPr>
          <w:rFonts w:hint="eastAsia" w:hAnsi="宋体" w:eastAsia="宋体" w:cs="宋体"/>
          <w:color w:val="auto"/>
          <w:sz w:val="24"/>
          <w:szCs w:val="24"/>
          <w:highlight w:val="none"/>
          <w:shd w:val="clear" w:color="auto" w:fill="auto"/>
        </w:rPr>
        <w:t>%计算，保底价</w:t>
      </w:r>
      <w:r>
        <w:rPr>
          <w:rFonts w:hint="eastAsia" w:hAnsi="宋体" w:eastAsia="宋体" w:cs="宋体"/>
          <w:color w:val="auto"/>
          <w:sz w:val="24"/>
          <w:szCs w:val="24"/>
          <w:highlight w:val="none"/>
          <w:shd w:val="clear" w:color="auto" w:fill="auto"/>
          <w:lang w:val="en-US" w:eastAsia="zh-CN"/>
        </w:rPr>
        <w:t>2</w:t>
      </w:r>
      <w:r>
        <w:rPr>
          <w:rFonts w:hint="eastAsia" w:hAnsi="宋体" w:eastAsia="宋体" w:cs="宋体"/>
          <w:color w:val="auto"/>
          <w:sz w:val="24"/>
          <w:szCs w:val="24"/>
          <w:highlight w:val="none"/>
          <w:shd w:val="clear" w:color="auto" w:fill="auto"/>
        </w:rPr>
        <w:t>000</w:t>
      </w:r>
      <w:r>
        <w:rPr>
          <w:rFonts w:hint="eastAsia" w:hAnsi="宋体" w:cs="宋体"/>
          <w:color w:val="auto"/>
          <w:sz w:val="24"/>
          <w:szCs w:val="24"/>
          <w:highlight w:val="none"/>
          <w:shd w:val="clear" w:color="auto" w:fill="auto"/>
        </w:rPr>
        <w:t>元。</w:t>
      </w:r>
      <w:r>
        <w:rPr>
          <w:rFonts w:hint="eastAsia" w:hAnsi="宋体" w:cs="宋体"/>
          <w:color w:val="auto"/>
          <w:sz w:val="24"/>
          <w:szCs w:val="24"/>
          <w:highlight w:val="none"/>
        </w:rPr>
        <w:t>此项费用含在响应报价中，并不单独立项</w:t>
      </w:r>
      <w:r>
        <w:rPr>
          <w:rFonts w:hint="eastAsia" w:hAnsi="宋体" w:cs="宋体"/>
          <w:color w:val="auto"/>
          <w:sz w:val="24"/>
          <w:szCs w:val="24"/>
          <w:highlight w:val="none"/>
          <w:lang w:eastAsia="zh-CN"/>
        </w:rPr>
        <w:t>。</w:t>
      </w:r>
    </w:p>
    <w:p>
      <w:pPr>
        <w:snapToGrid w:val="0"/>
        <w:spacing w:line="480" w:lineRule="exact"/>
        <w:ind w:firstLine="484" w:firstLineChars="202"/>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2</w:t>
      </w:r>
      <w:r>
        <w:rPr>
          <w:rFonts w:hint="eastAsia" w:hAnsi="宋体" w:cs="宋体"/>
          <w:color w:val="auto"/>
          <w:sz w:val="24"/>
          <w:szCs w:val="24"/>
          <w:highlight w:val="none"/>
          <w:shd w:val="clear" w:color="auto" w:fill="auto"/>
        </w:rPr>
        <w:t>.磋商程序顺利进行后，除供应商的原件可退回外，其余所有的响应文件都将作为档案保存，不论成交与否，代理机构均不退回。</w:t>
      </w:r>
    </w:p>
    <w:p>
      <w:pPr>
        <w:snapToGrid w:val="0"/>
        <w:spacing w:line="480" w:lineRule="exact"/>
        <w:ind w:firstLine="460" w:firstLineChars="19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3</w:t>
      </w:r>
      <w:r>
        <w:rPr>
          <w:rFonts w:hint="eastAsia" w:hAnsi="宋体" w:cs="宋体"/>
          <w:color w:val="auto"/>
          <w:sz w:val="24"/>
          <w:szCs w:val="24"/>
          <w:highlight w:val="none"/>
          <w:shd w:val="clear" w:color="auto" w:fill="auto"/>
        </w:rPr>
        <w:t>.无论磋商过程和结果如何，参加项目磋商的供应商自行承担与本次项目磋商有关的全部费用。</w:t>
      </w:r>
    </w:p>
    <w:p>
      <w:pPr>
        <w:snapToGrid w:val="0"/>
        <w:spacing w:line="360" w:lineRule="auto"/>
        <w:ind w:firstLine="206" w:firstLineChars="206"/>
        <w:outlineLvl w:val="1"/>
        <w:rPr>
          <w:rFonts w:hAnsi="宋体" w:cs="宋体"/>
          <w:b/>
          <w:bCs/>
          <w:color w:val="auto"/>
          <w:sz w:val="10"/>
          <w:szCs w:val="10"/>
          <w:highlight w:val="none"/>
          <w:shd w:val="clear" w:color="auto" w:fill="auto"/>
        </w:rPr>
      </w:pPr>
    </w:p>
    <w:p>
      <w:pPr>
        <w:snapToGrid w:val="0"/>
        <w:spacing w:line="480" w:lineRule="exact"/>
        <w:ind w:firstLine="494" w:firstLineChars="206"/>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九、未尽事宜</w:t>
      </w:r>
    </w:p>
    <w:p>
      <w:pPr>
        <w:snapToGrid w:val="0"/>
        <w:spacing w:line="480" w:lineRule="exact"/>
        <w:ind w:firstLine="494" w:firstLineChars="206"/>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按有关法律法规的规定执行。</w:t>
      </w:r>
    </w:p>
    <w:p>
      <w:pPr>
        <w:rPr>
          <w:color w:val="auto"/>
          <w:highlight w:val="none"/>
          <w:shd w:val="clear" w:color="auto" w:fill="auto"/>
        </w:rPr>
      </w:pPr>
    </w:p>
    <w:p>
      <w:pPr>
        <w:pStyle w:val="2"/>
        <w:keepNext w:val="0"/>
        <w:keepLines w:val="0"/>
        <w:adjustRightInd w:val="0"/>
        <w:snapToGrid w:val="0"/>
        <w:spacing w:before="0" w:after="0" w:line="800" w:lineRule="exact"/>
        <w:jc w:val="center"/>
        <w:textAlignment w:val="baseline"/>
        <w:rPr>
          <w:rFonts w:ascii="宋体" w:hAnsi="宋体" w:eastAsia="宋体" w:cs="宋体"/>
          <w:color w:val="auto"/>
          <w:w w:val="80"/>
          <w:szCs w:val="44"/>
          <w:highlight w:val="none"/>
          <w:shd w:val="clear" w:color="auto" w:fill="auto"/>
        </w:rPr>
      </w:pPr>
      <w:bookmarkStart w:id="1" w:name="_Toc432763305"/>
    </w:p>
    <w:p>
      <w:pPr>
        <w:pStyle w:val="2"/>
        <w:keepNext w:val="0"/>
        <w:keepLines w:val="0"/>
        <w:adjustRightInd w:val="0"/>
        <w:snapToGrid w:val="0"/>
        <w:spacing w:before="0" w:after="0" w:line="800" w:lineRule="exact"/>
        <w:jc w:val="center"/>
        <w:textAlignment w:val="baseline"/>
        <w:rPr>
          <w:rFonts w:ascii="宋体" w:hAnsi="宋体" w:eastAsia="宋体" w:cs="宋体"/>
          <w:color w:val="auto"/>
          <w:w w:val="80"/>
          <w:szCs w:val="44"/>
          <w:highlight w:val="none"/>
          <w:shd w:val="clear" w:color="auto" w:fill="auto"/>
        </w:rPr>
        <w:sectPr>
          <w:footerReference r:id="rId3" w:type="default"/>
          <w:pgSz w:w="11906" w:h="16838"/>
          <w:pgMar w:top="1247" w:right="1418" w:bottom="1247" w:left="1418" w:header="851" w:footer="992" w:gutter="0"/>
          <w:cols w:space="720" w:num="1"/>
          <w:docGrid w:type="linesAndChars" w:linePitch="312" w:charSpace="0"/>
        </w:sectPr>
      </w:pPr>
    </w:p>
    <w:p>
      <w:pPr>
        <w:pStyle w:val="2"/>
        <w:keepNext w:val="0"/>
        <w:keepLines w:val="0"/>
        <w:numPr>
          <w:ilvl w:val="0"/>
          <w:numId w:val="2"/>
        </w:numPr>
        <w:adjustRightInd w:val="0"/>
        <w:snapToGrid w:val="0"/>
        <w:spacing w:before="0" w:after="0" w:line="800" w:lineRule="exact"/>
        <w:jc w:val="center"/>
        <w:textAlignment w:val="baseline"/>
        <w:rPr>
          <w:rFonts w:hint="eastAsia" w:ascii="宋体" w:hAnsi="宋体" w:eastAsia="宋体" w:cs="宋体"/>
          <w:color w:val="auto"/>
          <w:w w:val="80"/>
          <w:szCs w:val="44"/>
          <w:highlight w:val="none"/>
          <w:shd w:val="clear" w:color="auto" w:fill="auto"/>
        </w:rPr>
      </w:pPr>
      <w:r>
        <w:rPr>
          <w:rFonts w:hint="eastAsia" w:ascii="宋体" w:hAnsi="宋体" w:eastAsia="宋体" w:cs="宋体"/>
          <w:color w:val="auto"/>
          <w:w w:val="80"/>
          <w:szCs w:val="44"/>
          <w:highlight w:val="none"/>
          <w:shd w:val="clear" w:color="auto" w:fill="auto"/>
        </w:rPr>
        <w:t xml:space="preserve"> </w:t>
      </w:r>
      <w:bookmarkEnd w:id="1"/>
      <w:r>
        <w:rPr>
          <w:rFonts w:hint="eastAsia" w:ascii="宋体" w:hAnsi="宋体" w:eastAsia="宋体" w:cs="宋体"/>
          <w:color w:val="auto"/>
          <w:w w:val="80"/>
          <w:szCs w:val="44"/>
          <w:highlight w:val="none"/>
          <w:shd w:val="clear" w:color="auto" w:fill="auto"/>
          <w:lang w:val="en-US" w:eastAsia="zh-CN"/>
        </w:rPr>
        <w:t>项目需求</w:t>
      </w:r>
    </w:p>
    <w:p>
      <w:pPr>
        <w:pStyle w:val="9"/>
        <w:rPr>
          <w:color w:val="auto"/>
          <w:highlight w:val="none"/>
          <w:shd w:val="clear" w:color="auto" w:fill="auto"/>
        </w:rPr>
      </w:pP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b/>
          <w:bCs/>
          <w:color w:val="auto"/>
          <w:sz w:val="24"/>
          <w:szCs w:val="24"/>
          <w:highlight w:val="none"/>
          <w:shd w:val="clear" w:color="auto" w:fill="auto"/>
          <w:lang w:val="en-US" w:eastAsia="zh-CN"/>
        </w:rPr>
      </w:pPr>
      <w:r>
        <w:rPr>
          <w:rFonts w:hint="eastAsia" w:asciiTheme="majorEastAsia" w:hAnsiTheme="majorEastAsia" w:eastAsiaTheme="majorEastAsia"/>
          <w:b/>
          <w:bCs/>
          <w:color w:val="auto"/>
          <w:sz w:val="24"/>
          <w:szCs w:val="24"/>
          <w:highlight w:val="none"/>
          <w:shd w:val="clear" w:color="auto" w:fill="auto"/>
          <w:lang w:val="en-US" w:eastAsia="zh-CN"/>
        </w:rPr>
        <w:t>一、项目概况：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olor w:val="auto"/>
          <w:sz w:val="21"/>
          <w:szCs w:val="21"/>
          <w:highlight w:val="none"/>
          <w:shd w:val="clear" w:color="auto" w:fill="auto"/>
          <w:lang w:val="en-US" w:eastAsia="zh-CN"/>
        </w:rPr>
      </w:pPr>
      <w:r>
        <w:rPr>
          <w:rFonts w:hint="eastAsia" w:ascii="宋体" w:hAnsi="宋体" w:cs="宋体"/>
          <w:color w:val="auto"/>
          <w:sz w:val="24"/>
          <w:szCs w:val="24"/>
          <w:highlight w:val="none"/>
          <w:lang w:val="en-US" w:eastAsia="zh-CN"/>
        </w:rPr>
        <w:t>供应商需</w:t>
      </w:r>
      <w:r>
        <w:rPr>
          <w:rFonts w:hint="eastAsia" w:ascii="宋体" w:hAnsi="宋体" w:eastAsia="宋体" w:cs="宋体"/>
          <w:color w:val="auto"/>
          <w:sz w:val="24"/>
          <w:szCs w:val="24"/>
          <w:highlight w:val="none"/>
          <w:lang w:val="en-US" w:eastAsia="zh-CN"/>
        </w:rPr>
        <w:t>策划组织实施整个“如意展”运输及保险服务，主要包括制作来回运输方案、文物包装保护方案、调度相应车辆、提供布展以及撤展服务、购买相应保险等内容</w:t>
      </w:r>
      <w:r>
        <w:rPr>
          <w:rFonts w:hint="eastAsia" w:asciiTheme="majorEastAsia" w:hAnsiTheme="majorEastAsia" w:eastAsiaTheme="majorEastAsia"/>
          <w:color w:val="auto"/>
          <w:sz w:val="21"/>
          <w:szCs w:val="21"/>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二、项目内容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运输路线：</w:t>
      </w:r>
      <w:r>
        <w:rPr>
          <w:rFonts w:hint="eastAsia" w:ascii="宋体" w:hAnsi="宋体" w:eastAsia="宋体" w:cs="宋体"/>
          <w:color w:val="auto"/>
          <w:sz w:val="24"/>
          <w:szCs w:val="24"/>
          <w:highlight w:val="none"/>
          <w:lang w:val="en-US" w:eastAsia="zh-CN"/>
        </w:rPr>
        <w:t>即故宫博物院</w:t>
      </w:r>
      <w:r>
        <w:rPr>
          <w:rFonts w:hint="eastAsia" w:ascii="宋体" w:hAnsi="宋体" w:cs="宋体"/>
          <w:color w:val="auto"/>
          <w:sz w:val="24"/>
          <w:szCs w:val="24"/>
          <w:highlight w:val="none"/>
          <w:lang w:val="en-US" w:eastAsia="zh-CN"/>
        </w:rPr>
        <w:t>至</w:t>
      </w:r>
      <w:r>
        <w:rPr>
          <w:rFonts w:hint="eastAsia" w:ascii="宋体" w:hAnsi="宋体" w:eastAsia="宋体" w:cs="宋体"/>
          <w:color w:val="auto"/>
          <w:sz w:val="24"/>
          <w:szCs w:val="24"/>
          <w:highlight w:val="none"/>
          <w:lang w:val="en-US" w:eastAsia="zh-CN"/>
        </w:rPr>
        <w:t>南通博物苑</w:t>
      </w:r>
      <w:r>
        <w:rPr>
          <w:rFonts w:hint="eastAsia" w:ascii="宋体" w:hAnsi="宋体" w:cs="宋体"/>
          <w:color w:val="auto"/>
          <w:sz w:val="24"/>
          <w:szCs w:val="24"/>
          <w:highlight w:val="none"/>
          <w:lang w:val="en-US" w:eastAsia="zh-CN"/>
        </w:rPr>
        <w:t>往返</w:t>
      </w:r>
      <w:r>
        <w:rPr>
          <w:rFonts w:hint="eastAsia" w:ascii="宋体" w:hAnsi="宋体" w:eastAsia="宋体" w:cs="宋体"/>
          <w:color w:val="auto"/>
          <w:sz w:val="24"/>
          <w:szCs w:val="24"/>
          <w:highlight w:val="none"/>
          <w:lang w:val="en-US" w:eastAsia="zh-CN"/>
        </w:rPr>
        <w:t>运输，</w:t>
      </w:r>
      <w:r>
        <w:rPr>
          <w:rFonts w:hint="eastAsia" w:ascii="宋体" w:hAnsi="宋体" w:cs="宋体"/>
          <w:color w:val="auto"/>
          <w:sz w:val="24"/>
          <w:szCs w:val="24"/>
          <w:highlight w:val="none"/>
          <w:lang w:val="en-US" w:eastAsia="zh-CN"/>
        </w:rPr>
        <w:t>并配备专业的安保押运人员和车辆</w:t>
      </w:r>
      <w:r>
        <w:rPr>
          <w:rFonts w:hint="eastAsia" w:ascii="宋体" w:hAnsi="宋体" w:eastAsia="宋体" w:cs="宋体"/>
          <w:color w:val="auto"/>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2.展览时间：</w:t>
      </w:r>
      <w:r>
        <w:rPr>
          <w:rFonts w:hint="eastAsia" w:ascii="宋体" w:hAnsi="宋体"/>
          <w:color w:val="auto"/>
          <w:sz w:val="24"/>
          <w:highlight w:val="none"/>
        </w:rPr>
        <w:t>2025年12月18日至</w:t>
      </w:r>
      <w:r>
        <w:rPr>
          <w:rFonts w:hint="eastAsia" w:ascii="宋体" w:hAnsi="宋体"/>
          <w:color w:val="auto"/>
          <w:sz w:val="24"/>
          <w:highlight w:val="none"/>
        </w:rPr>
        <w:t>2026年3月18日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3.包装数量及要</w:t>
      </w:r>
      <w:r>
        <w:rPr>
          <w:rFonts w:hint="eastAsia" w:ascii="宋体" w:hAnsi="宋体" w:cs="宋体"/>
          <w:color w:val="auto"/>
          <w:sz w:val="24"/>
          <w:szCs w:val="24"/>
          <w:highlight w:val="none"/>
          <w:lang w:val="en-US" w:eastAsia="zh-CN"/>
        </w:rPr>
        <w:t>求</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（1）文物展品：涉及的文物为故宫博物院文物107件，总估价人民币17,860万元整。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（2）要求根据文物的不同造型进行重新包装。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（3）供应商须具备符合包装文物的无酸性包装材料。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购买从202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日参展全部文物展品的“钉到钉”商业保险（全额、全险种、无免赔）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17860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5.包装前的藏品状况确认：在包装进行前,由涉及此次运输的双方代表确认各件藏品的现状，并在确认单上签字确认。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6.包装程序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（1）依据藏品尺寸、形态、数量，提前准备各种包装材料。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（2）供应商须派出至少3年以上经验的项目主管主导包装。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（3）用手取文物时须戴上干净的棉质手套，不得直接接触展品。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（4）木箱制作：包装箱木板须进行特殊的杀菌、杀虫处理等。具体要求如下：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a.全部包装材料均符合国家相关包装运输规范要求。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b.在包装时，较重展品放在下层，较轻展品放在上层。上下层之间用不少于3cmPE板隔开。每层的内包装箱挖旋固定。确保每个内箱四周PE板层厚度不少于3cm。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外箱内最底层与四周铺厚度不少于5cmPE板，能够充分吸收木箱在运输过程中受到的震动冲击。同时各个内箱间的PE板间隔起到二次缓冲，避免使受到直接冲击的内箱不会因木箱整体惯性原因而互相撞击产生展品损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上下层内箱间以不少于3cm厚的PE板整版隔开，在保证上下缓冲效果的同时，使上层整体重量均匀分布到下层，下层内箱间隔PE板与内箱共同分担上层压力。避免产生某一内箱承担压力过大或上层展品重量全部由下层内箱负担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e.包装内外箱的设计要合理且适合被包装物的材质、形状特点，包装材料及辅材的使用要达到相应的强度及环保要求。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f.包装操作必须按照规定的正确手法及包装流程进行展品及文物珍品的拿取、移动、包装及拆包装，在操作过程中督导员要在现场进行监督，如发现隐患须及时纠正解决。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g.为保护藏品安全，进行包装时，藏品在箱中只能平放，不能侧放。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h.所有藏品需双层包装，即均须有外包装木箱和内箱。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i.每件藏品的编号应标记在泡沫或内盒上，以便识别。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j.每件藏品须用无酸材料包装。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k.所有内箱和分格中间应用不少于2cm厚的PE板垫。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）将包装好的藏品装入特制木箱/原装木箱。木箱内放置PE缓冲保护材料。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）供应商须做一份详细的清单，标明各件藏品的连续编号及其具体信息。由此次搬运的双方代表在清单上签字确认。双方各执一份。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7.装车/运输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（1）确定包装箱件数，</w:t>
      </w:r>
      <w:r>
        <w:rPr>
          <w:rFonts w:hint="eastAsia" w:ascii="宋体" w:hAnsi="宋体" w:cs="宋体"/>
          <w:color w:val="auto"/>
          <w:sz w:val="24"/>
          <w:szCs w:val="24"/>
          <w:highlight w:val="none"/>
          <w:lang w:val="en-US" w:eastAsia="zh-CN"/>
        </w:rPr>
        <w:t>文物</w:t>
      </w:r>
      <w:r>
        <w:rPr>
          <w:rFonts w:hint="eastAsia" w:ascii="宋体" w:hAnsi="宋体" w:eastAsia="宋体" w:cs="宋体"/>
          <w:color w:val="auto"/>
          <w:sz w:val="24"/>
          <w:szCs w:val="24"/>
          <w:highlight w:val="none"/>
          <w:lang w:val="en-US" w:eastAsia="zh-CN"/>
        </w:rPr>
        <w:t>装车。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（2）车内做铺垫保护，做安全固定。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（3）将车厢门上锁掐铅封。保证在运输过程中车厢门始终关闭。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不可抗力（包括不可抗拒的自然灾害，公路断路施工维修，重大交通事故，大雨大雾，罢工、战争、洪水、爆炸等，或其它任何不能预见而且对其发生和后果不能防止或不能避免的事件），可能会导致运输时间延长时提前与采购单位沟通并及时采取相应的应急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（5）运输方式：陆路运输；运输车辆：专业展品运输车。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（6）提取地址：具体地址由采购单位另行通知。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（7）送货地址：南通博物苑，具体地址由采购单位另行通知。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（8）反馈沟通：车辆从出发开始至抵达目的地前，包装运输公司客服人员每天2次（早上10:00 和下午15:00）向采购单位工作人员报告车辆行驶情况（包括车辆行驶轨迹、车速）、具体位置、货物及押运情况。为保证展品运输安全，载货车辆时速不得高于80公里/时；无论载货汽车还是中小型载客汽车，要求2名司机负责驾驶一辆车，每间隔4小时司机轮换一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8.目的地交接/送货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（1）将运输车辆停在采购单位指定处，将把所有藏品包装搬到采购单位指定位置。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（2）根据起始地装车时的交接清单检查外包装件数。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（3）拆木箱，对藏品拆包装。确认藏品数量及检查藏品状态。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（4）双方代表确认各件藏品的状况是否同包装时的交接清单的状况一致，并在确认单上签字确认。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ajorEastAsia" w:hAnsiTheme="majorEastAsia" w:eastAsiaTheme="majorEastAsia"/>
          <w:b/>
          <w:bCs/>
          <w:color w:val="auto"/>
          <w:sz w:val="24"/>
          <w:szCs w:val="24"/>
          <w:highlight w:val="none"/>
          <w:shd w:val="clear" w:color="auto" w:fill="auto"/>
          <w:lang w:val="en-US" w:eastAsia="zh-CN"/>
        </w:rPr>
      </w:pPr>
      <w:r>
        <w:rPr>
          <w:rFonts w:hint="eastAsia" w:ascii="宋体" w:hAnsi="宋体" w:eastAsia="宋体" w:cs="宋体"/>
          <w:color w:val="auto"/>
          <w:sz w:val="24"/>
          <w:szCs w:val="24"/>
          <w:highlight w:val="none"/>
          <w:lang w:val="en-US" w:eastAsia="zh-CN"/>
        </w:rPr>
        <w:t>（5）收集整理原包装材料，放置指定位置。待返程使用。返程与去程操作基本相似</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三、技术要求：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（一）押运车辆要求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1.供应商需自有符合文物、艺术品安全运输要求的专业运输车辆，车辆需符合国家法律法规及车辆型号公告要求且原厂原车未经私自改装。在此基础上：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（1）配有减震气垫；</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（2）配有恒温恒湿温控设备及配有电动升降尾板；</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（3）车辆配备可视化监控系统（车厢内及车厢外）、GPS定位系统；</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（4）安全中心控制室监控，手机实时监控；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2.同时具有辅助运输工具电动叉车和地牛叉车、文物吊装工具龙门吊、专业文物包装材料设施（自有、租赁均可）。</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四、服务期限</w:t>
      </w:r>
    </w:p>
    <w:p>
      <w:pPr>
        <w:spacing w:line="480" w:lineRule="exact"/>
        <w:ind w:firstLine="480" w:firstLineChars="200"/>
        <w:rPr>
          <w:rFonts w:hint="eastAsia" w:hAnsi="宋体"/>
          <w:color w:val="auto"/>
          <w:szCs w:val="21"/>
          <w:highlight w:val="none"/>
          <w:shd w:val="clear" w:color="auto" w:fill="auto"/>
        </w:rPr>
      </w:pPr>
      <w:r>
        <w:rPr>
          <w:rFonts w:hint="eastAsia" w:ascii="宋体" w:hAnsi="宋体" w:eastAsia="宋体" w:cs="宋体"/>
          <w:color w:val="auto"/>
          <w:sz w:val="24"/>
          <w:szCs w:val="24"/>
          <w:highlight w:val="none"/>
          <w:lang w:val="en-US" w:eastAsia="zh-CN"/>
        </w:rPr>
        <w:t>自合同签订之日起至借展文物展品全部交还借展单位止</w:t>
      </w:r>
      <w:r>
        <w:rPr>
          <w:rFonts w:hint="eastAsia" w:hAnsi="宋体"/>
          <w:color w:val="auto"/>
          <w:szCs w:val="21"/>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asciiTheme="majorEastAsia" w:hAnsiTheme="majorEastAsia" w:eastAsiaTheme="majorEastAsia"/>
          <w:b/>
          <w:bCs/>
          <w:color w:val="auto"/>
          <w:sz w:val="24"/>
          <w:szCs w:val="24"/>
          <w:highlight w:val="none"/>
          <w:shd w:val="clear" w:color="auto" w:fill="auto"/>
          <w:lang w:val="en-US" w:eastAsia="zh-CN"/>
        </w:rPr>
      </w:pPr>
      <w:r>
        <w:rPr>
          <w:rFonts w:hint="eastAsia" w:cs="Times New Roman" w:asciiTheme="majorEastAsia" w:hAnsiTheme="majorEastAsia" w:eastAsiaTheme="majorEastAsia"/>
          <w:b/>
          <w:bCs/>
          <w:color w:val="auto"/>
          <w:sz w:val="24"/>
          <w:szCs w:val="24"/>
          <w:highlight w:val="none"/>
          <w:shd w:val="clear" w:color="auto" w:fill="auto"/>
          <w:lang w:val="en-US" w:eastAsia="zh-CN"/>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合同签订后支付合同总额的30%，余款合同履行完成一次性付清。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338" w:firstLineChars="200"/>
        <w:textAlignment w:val="auto"/>
        <w:rPr>
          <w:rFonts w:hint="eastAsia" w:hAnsi="宋体" w:cs="宋体"/>
          <w:b/>
          <w:iCs/>
          <w:color w:val="auto"/>
          <w:w w:val="80"/>
          <w:sz w:val="21"/>
          <w:szCs w:val="21"/>
          <w:highlight w:val="none"/>
          <w:shd w:val="clear" w:color="auto" w:fill="auto"/>
        </w:rPr>
      </w:pPr>
      <w:r>
        <w:rPr>
          <w:rFonts w:hint="eastAsia" w:hAnsi="宋体" w:cs="宋体"/>
          <w:b/>
          <w:iCs/>
          <w:color w:val="auto"/>
          <w:w w:val="80"/>
          <w:sz w:val="21"/>
          <w:szCs w:val="21"/>
          <w:highlight w:val="none"/>
          <w:shd w:val="clear" w:color="auto" w:fill="auto"/>
        </w:rPr>
        <w:br w:type="page"/>
      </w:r>
    </w:p>
    <w:p>
      <w:pPr>
        <w:snapToGrid w:val="0"/>
        <w:spacing w:before="332" w:after="332" w:line="360" w:lineRule="auto"/>
        <w:jc w:val="center"/>
        <w:outlineLvl w:val="1"/>
        <w:rPr>
          <w:rFonts w:hAnsi="宋体" w:cs="宋体"/>
          <w:color w:val="auto"/>
          <w:kern w:val="0"/>
          <w:sz w:val="24"/>
          <w:szCs w:val="24"/>
          <w:highlight w:val="none"/>
          <w:shd w:val="clear" w:color="auto" w:fill="auto"/>
        </w:rPr>
      </w:pPr>
      <w:r>
        <w:rPr>
          <w:rFonts w:hint="eastAsia" w:hAnsi="宋体" w:cs="宋体"/>
          <w:b/>
          <w:iCs/>
          <w:color w:val="auto"/>
          <w:w w:val="80"/>
          <w:sz w:val="44"/>
          <w:szCs w:val="44"/>
          <w:highlight w:val="none"/>
          <w:shd w:val="clear" w:color="auto" w:fill="auto"/>
        </w:rPr>
        <w:t xml:space="preserve">第四章  </w:t>
      </w:r>
      <w:bookmarkStart w:id="2" w:name="_Toc182848996"/>
      <w:bookmarkStart w:id="3" w:name="_Toc43217893"/>
      <w:bookmarkStart w:id="4" w:name="_Toc37322565"/>
      <w:bookmarkStart w:id="5" w:name="_Toc38121794"/>
      <w:bookmarkStart w:id="6" w:name="_Toc85627670"/>
      <w:r>
        <w:rPr>
          <w:rFonts w:hint="eastAsia" w:hAnsi="宋体" w:cs="宋体"/>
          <w:b/>
          <w:iCs/>
          <w:color w:val="auto"/>
          <w:w w:val="80"/>
          <w:sz w:val="44"/>
          <w:szCs w:val="44"/>
          <w:highlight w:val="none"/>
          <w:shd w:val="clear" w:color="auto" w:fill="auto"/>
        </w:rPr>
        <w:t>评审方法和程序</w:t>
      </w:r>
    </w:p>
    <w:bookmarkEnd w:id="2"/>
    <w:bookmarkEnd w:id="3"/>
    <w:bookmarkEnd w:id="4"/>
    <w:bookmarkEnd w:id="5"/>
    <w:bookmarkEnd w:id="6"/>
    <w:p>
      <w:pPr>
        <w:snapToGrid w:val="0"/>
        <w:spacing w:line="520" w:lineRule="exact"/>
        <w:ind w:firstLine="482" w:firstLineChars="200"/>
        <w:outlineLvl w:val="1"/>
        <w:rPr>
          <w:rFonts w:hAnsi="宋体" w:cs="宋体"/>
          <w:b/>
          <w:color w:val="auto"/>
          <w:sz w:val="24"/>
          <w:szCs w:val="24"/>
          <w:highlight w:val="none"/>
          <w:shd w:val="clear" w:color="auto" w:fill="auto"/>
        </w:rPr>
      </w:pPr>
      <w:bookmarkStart w:id="7" w:name="_Toc363573857"/>
      <w:bookmarkEnd w:id="7"/>
      <w:r>
        <w:rPr>
          <w:rFonts w:hint="eastAsia" w:hAnsi="宋体" w:cs="宋体"/>
          <w:b/>
          <w:color w:val="auto"/>
          <w:sz w:val="24"/>
          <w:szCs w:val="24"/>
          <w:highlight w:val="none"/>
          <w:shd w:val="clear" w:color="auto" w:fill="auto"/>
        </w:rPr>
        <w:t>一、代理机构组织磋商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1.本次竞争性磋商依据有关法规成立磋商小组。磋商小组由采购人代表和评审专家共3人以上单数组成。</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2.磋商小组的职责：</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（1）磋商小组成员应当按照客观、公正、审慎的原则，根据磋商文件规定的评审程序、评审方法和评审标准进行独立评审。</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（2）磋商小组成员应当遵守评审工作纪律，不得泄露评审情况和评审中获悉的商业秘密，对个人的评审意见承担法律责任；</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（3）磋商小组成员在评审过程中发现供应商有行贿、提供虚假材料或者串通等违法行为的，应当及时向</w:t>
      </w:r>
      <w:r>
        <w:rPr>
          <w:rFonts w:hint="eastAsia" w:hAnsi="宋体" w:cs="宋体"/>
          <w:color w:val="auto"/>
          <w:sz w:val="24"/>
          <w:szCs w:val="24"/>
          <w:highlight w:val="none"/>
          <w:shd w:val="clear" w:color="auto" w:fill="auto"/>
          <w:lang w:val="en-US" w:eastAsia="zh-CN"/>
        </w:rPr>
        <w:t>相关</w:t>
      </w:r>
      <w:r>
        <w:rPr>
          <w:rFonts w:hint="eastAsia" w:hAnsi="宋体" w:cs="宋体"/>
          <w:color w:val="auto"/>
          <w:sz w:val="24"/>
          <w:szCs w:val="24"/>
          <w:highlight w:val="none"/>
          <w:shd w:val="clear" w:color="auto" w:fill="auto"/>
        </w:rPr>
        <w:t>部门报告。</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（4）磋商小组成员在评审过程中受到非法干涉的，应当及时向</w:t>
      </w:r>
      <w:r>
        <w:rPr>
          <w:rFonts w:hint="eastAsia" w:hAnsi="宋体" w:cs="宋体"/>
          <w:color w:val="auto"/>
          <w:sz w:val="24"/>
          <w:szCs w:val="24"/>
          <w:highlight w:val="none"/>
          <w:shd w:val="clear" w:color="auto" w:fill="auto"/>
          <w:lang w:val="en-US" w:eastAsia="zh-CN"/>
        </w:rPr>
        <w:t>相关</w:t>
      </w:r>
      <w:r>
        <w:rPr>
          <w:rFonts w:hint="eastAsia" w:hAnsi="宋体" w:cs="宋体"/>
          <w:color w:val="auto"/>
          <w:sz w:val="24"/>
          <w:szCs w:val="24"/>
          <w:highlight w:val="none"/>
          <w:shd w:val="clear" w:color="auto" w:fill="auto"/>
        </w:rPr>
        <w:t>部门举报。</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（5）配合采购人答复供应商提出的质疑；配合</w:t>
      </w:r>
      <w:r>
        <w:rPr>
          <w:rFonts w:hint="eastAsia" w:hAnsi="宋体" w:cs="宋体"/>
          <w:color w:val="auto"/>
          <w:sz w:val="24"/>
          <w:szCs w:val="24"/>
          <w:highlight w:val="none"/>
          <w:shd w:val="clear" w:color="auto" w:fill="auto"/>
          <w:lang w:val="en-US" w:eastAsia="zh-CN"/>
        </w:rPr>
        <w:t>相关</w:t>
      </w:r>
      <w:r>
        <w:rPr>
          <w:rFonts w:hint="eastAsia" w:hAnsi="宋体" w:cs="宋体"/>
          <w:color w:val="auto"/>
          <w:sz w:val="24"/>
          <w:szCs w:val="24"/>
          <w:highlight w:val="none"/>
          <w:shd w:val="clear" w:color="auto" w:fill="auto"/>
        </w:rPr>
        <w:t>部门的投诉处理和监督检查工作。</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3.评审有关记录由磋商小组成员签名，存档备查。</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4.供应商的法定代表人或被授权人须持身份证准时参加磋商开标会。</w:t>
      </w:r>
    </w:p>
    <w:p>
      <w:pPr>
        <w:snapToGrid w:val="0"/>
        <w:spacing w:line="52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二、磋商的原则及方法</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1.磋商小组依据相关法规，遵循“公开、公平、公正、择优、信用”的原则进行磋商评审。</w:t>
      </w:r>
    </w:p>
    <w:p>
      <w:pPr>
        <w:snapToGrid w:val="0"/>
        <w:spacing w:line="52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2.磋商小组将按照竞争性磋商文件的规定，独立对每个进入打分程序的有效供应商的响应文件的</w:t>
      </w:r>
      <w:r>
        <w:rPr>
          <w:rFonts w:hint="eastAsia"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技术部分以打分的形式进行评审和评价。</w:t>
      </w:r>
      <w:r>
        <w:rPr>
          <w:rFonts w:hint="eastAsia"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技术分取算术平均值（计算结果均四舍五入保留两位小数）。</w:t>
      </w:r>
    </w:p>
    <w:p>
      <w:pPr>
        <w:snapToGrid w:val="0"/>
        <w:spacing w:line="520" w:lineRule="exact"/>
        <w:ind w:firstLine="484" w:firstLineChars="202"/>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4.磋商小组所有成员可集中与单一供应商分别进行磋商，并给予所有参加磋商的供应商平等的磋商机会。</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6.对磋商文件作出的实质性变动是磋商文件的有效组成部分，磋商小组应当及时以书面形式同时通知所有参加磋商的供应商。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8.经磋商确定最终采购需求和提交最后报价的供应商：磋商文件能够详细列明采购标的的技术、服务要求的，磋商结束后，磋商小组应当要求所有实质性响应的供应商在规定时间内提交最后报价。</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10.除非在磋商中磋商小组对采购人需求内容作了调整增加，或对采购内容作了实质性变更，否则</w:t>
      </w:r>
      <w:r>
        <w:rPr>
          <w:rFonts w:hint="eastAsia" w:hAnsi="宋体" w:cs="宋体"/>
          <w:b/>
          <w:color w:val="auto"/>
          <w:sz w:val="24"/>
          <w:szCs w:val="24"/>
          <w:highlight w:val="none"/>
          <w:shd w:val="clear" w:color="auto" w:fill="auto"/>
        </w:rPr>
        <w:t>采购人不接受供应商高于自己前一轮的磋商报价</w:t>
      </w:r>
      <w:r>
        <w:rPr>
          <w:rFonts w:hint="eastAsia" w:hAnsi="宋体" w:cs="宋体"/>
          <w:color w:val="auto"/>
          <w:sz w:val="24"/>
          <w:szCs w:val="24"/>
          <w:highlight w:val="none"/>
          <w:shd w:val="clear" w:color="auto" w:fill="auto"/>
        </w:rPr>
        <w:t>。</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11.对于在磋商顺利开始后至最终报价前，根据磋商情况退出磋商的供应商，须以书面形式说明退出磋商的原因，经磋商小组同意可以退出磋商。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12.在磋商中，磋商的任何一方不得透露与磋商有关的其他响应磋商的供应商的技术资料、价格及其他信息。</w:t>
      </w:r>
    </w:p>
    <w:p>
      <w:pPr>
        <w:snapToGrid w:val="0"/>
        <w:spacing w:line="520" w:lineRule="exact"/>
        <w:ind w:firstLine="480" w:firstLineChars="200"/>
        <w:rPr>
          <w:rFonts w:hAnsi="宋体"/>
          <w:color w:val="auto"/>
          <w:sz w:val="24"/>
          <w:szCs w:val="24"/>
          <w:highlight w:val="none"/>
          <w:shd w:val="clear" w:color="auto" w:fill="auto"/>
        </w:rPr>
      </w:pPr>
      <w:r>
        <w:rPr>
          <w:rFonts w:hint="eastAsia" w:hAnsi="宋体" w:cs="宋体"/>
          <w:color w:val="auto"/>
          <w:sz w:val="24"/>
          <w:szCs w:val="24"/>
          <w:highlight w:val="none"/>
          <w:shd w:val="clear" w:color="auto" w:fill="auto"/>
        </w:rPr>
        <w:t>13.</w:t>
      </w:r>
      <w:r>
        <w:rPr>
          <w:rFonts w:hint="eastAsia" w:hAnsi="宋体"/>
          <w:color w:val="auto"/>
          <w:sz w:val="24"/>
          <w:szCs w:val="24"/>
          <w:highlight w:val="none"/>
          <w:shd w:val="clear" w:color="auto" w:fill="auto"/>
        </w:rPr>
        <w:t>单位负责人为同一人或者存在直接控股、管理关系的不同供应商，都不得在同一采购项目相同标段中同时参加磋商，一经发现，将视同围标处理。</w:t>
      </w:r>
    </w:p>
    <w:p>
      <w:pPr>
        <w:snapToGrid w:val="0"/>
        <w:spacing w:line="480" w:lineRule="exact"/>
        <w:ind w:firstLine="480" w:firstLineChars="200"/>
        <w:rPr>
          <w:rFonts w:hint="eastAsia" w:hAnsi="宋体"/>
          <w:color w:val="auto"/>
          <w:sz w:val="24"/>
          <w:szCs w:val="24"/>
          <w:highlight w:val="none"/>
        </w:rPr>
      </w:pPr>
      <w:r>
        <w:rPr>
          <w:rFonts w:hint="eastAsia" w:hAnsi="宋体" w:cs="宋体"/>
          <w:color w:val="auto"/>
          <w:sz w:val="24"/>
          <w:szCs w:val="24"/>
          <w:highlight w:val="none"/>
          <w:shd w:val="clear" w:color="auto" w:fill="auto"/>
        </w:rPr>
        <w:t>14.</w:t>
      </w:r>
      <w:r>
        <w:rPr>
          <w:rFonts w:hint="eastAsia" w:hAnsi="宋体"/>
          <w:color w:val="auto"/>
          <w:sz w:val="24"/>
          <w:szCs w:val="24"/>
          <w:highlight w:val="none"/>
        </w:rPr>
        <w:t>评审过程中出现下列情形之一的，磋商小组应当启动异常低价响应审查程序：</w:t>
      </w:r>
    </w:p>
    <w:p>
      <w:pPr>
        <w:snapToGrid w:val="0"/>
        <w:spacing w:line="480" w:lineRule="exact"/>
        <w:ind w:firstLine="480" w:firstLineChars="200"/>
        <w:rPr>
          <w:rFonts w:hint="eastAsia" w:hAnsi="宋体"/>
          <w:color w:val="auto"/>
          <w:sz w:val="24"/>
          <w:szCs w:val="24"/>
          <w:highlight w:val="none"/>
        </w:rPr>
      </w:pPr>
      <w:r>
        <w:rPr>
          <w:rFonts w:hint="eastAsia" w:hAnsi="宋体"/>
          <w:color w:val="auto"/>
          <w:sz w:val="24"/>
          <w:szCs w:val="24"/>
          <w:highlight w:val="none"/>
        </w:rPr>
        <w:t>（1）报价低于采购项目预算50%的，即报价＜采购项目预算*50%；</w:t>
      </w:r>
    </w:p>
    <w:p>
      <w:pPr>
        <w:snapToGrid w:val="0"/>
        <w:spacing w:line="480" w:lineRule="exact"/>
        <w:ind w:firstLine="480" w:firstLineChars="200"/>
        <w:rPr>
          <w:rFonts w:hint="eastAsia" w:hAnsi="宋体"/>
          <w:color w:val="auto"/>
          <w:sz w:val="24"/>
          <w:szCs w:val="24"/>
          <w:highlight w:val="none"/>
        </w:rPr>
      </w:pPr>
      <w:r>
        <w:rPr>
          <w:rFonts w:hint="eastAsia" w:hAnsi="宋体"/>
          <w:color w:val="auto"/>
          <w:sz w:val="24"/>
          <w:szCs w:val="24"/>
          <w:highlight w:val="none"/>
        </w:rPr>
        <w:t>（2）报价低于采购项目最高限价45%的，即报价＜采购项目最高限价*45%；</w:t>
      </w:r>
    </w:p>
    <w:p>
      <w:pPr>
        <w:snapToGrid w:val="0"/>
        <w:spacing w:line="480" w:lineRule="exact"/>
        <w:ind w:firstLine="480" w:firstLineChars="200"/>
        <w:rPr>
          <w:rFonts w:hAnsi="宋体"/>
          <w:color w:val="auto"/>
          <w:sz w:val="24"/>
          <w:szCs w:val="24"/>
          <w:highlight w:val="none"/>
        </w:rPr>
      </w:pPr>
      <w:r>
        <w:rPr>
          <w:rFonts w:hint="eastAsia" w:hAnsi="宋体"/>
          <w:color w:val="auto"/>
          <w:sz w:val="24"/>
          <w:szCs w:val="24"/>
          <w:highlight w:val="none"/>
        </w:rPr>
        <w:t>（3）磋商小组认定的供应商报价过低、有可能影响产品质量或者不能诚信履约的其他情形。</w:t>
      </w:r>
    </w:p>
    <w:p>
      <w:pPr>
        <w:snapToGrid w:val="0"/>
        <w:spacing w:line="480" w:lineRule="exact"/>
        <w:ind w:firstLine="480" w:firstLineChars="200"/>
        <w:rPr>
          <w:rFonts w:hint="eastAsia" w:ascii="宋体" w:hAnsi="宋体" w:eastAsia="宋体" w:cs="宋体"/>
          <w:b/>
          <w:bCs/>
          <w:color w:val="auto"/>
          <w:sz w:val="24"/>
          <w:szCs w:val="24"/>
          <w:highlight w:val="none"/>
          <w:lang w:eastAsia="zh-CN"/>
        </w:rPr>
      </w:pPr>
      <w:r>
        <w:rPr>
          <w:rFonts w:hint="eastAsia" w:hAnsi="宋体" w:cs="宋体"/>
          <w:color w:val="auto"/>
          <w:sz w:val="24"/>
          <w:szCs w:val="24"/>
          <w:highlight w:val="none"/>
        </w:rPr>
        <w:t>15.启动异常低价响应审查后，磋商小组应当要求相关供应商在合理的时间内，提供项目具体成本测算等与报价合理性相关的书面说明及相关证明材料，对响应价格做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情况应当在评审报告中进行记录</w:t>
      </w:r>
      <w:r>
        <w:rPr>
          <w:rFonts w:hint="eastAsia" w:hAnsi="宋体" w:cs="宋体"/>
          <w:color w:val="auto"/>
          <w:sz w:val="24"/>
          <w:szCs w:val="24"/>
          <w:highlight w:val="none"/>
          <w:lang w:eastAsia="zh-CN"/>
        </w:rPr>
        <w:t>。</w:t>
      </w:r>
    </w:p>
    <w:p>
      <w:pPr>
        <w:snapToGrid w:val="0"/>
        <w:spacing w:line="520" w:lineRule="exact"/>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三、评审步骤</w:t>
      </w:r>
    </w:p>
    <w:p>
      <w:pPr>
        <w:snapToGrid w:val="0"/>
        <w:spacing w:line="520" w:lineRule="exact"/>
        <w:ind w:firstLine="482" w:firstLineChars="200"/>
        <w:rPr>
          <w:rFonts w:ascii="宋体" w:hAnsi="宋体" w:cs="宋体"/>
          <w:b/>
          <w:bCs/>
          <w:color w:val="auto"/>
          <w:sz w:val="24"/>
          <w:szCs w:val="24"/>
          <w:highlight w:val="none"/>
          <w:shd w:val="clear" w:color="auto" w:fill="auto"/>
          <w:lang w:val="zh-CN"/>
        </w:rPr>
      </w:pPr>
      <w:r>
        <w:rPr>
          <w:rFonts w:hint="eastAsia" w:ascii="宋体" w:hAnsi="宋体" w:cs="宋体"/>
          <w:b/>
          <w:bCs/>
          <w:color w:val="auto"/>
          <w:sz w:val="24"/>
          <w:szCs w:val="24"/>
          <w:highlight w:val="none"/>
          <w:shd w:val="clear" w:color="auto" w:fill="auto"/>
          <w:lang w:val="zh-CN"/>
        </w:rPr>
        <w:t>1.评审步骤规定：</w:t>
      </w:r>
    </w:p>
    <w:p>
      <w:pPr>
        <w:snapToGrid w:val="0"/>
        <w:spacing w:line="520" w:lineRule="exact"/>
        <w:ind w:firstLine="482" w:firstLineChars="200"/>
        <w:rPr>
          <w:rFonts w:ascii="宋体" w:hAnsi="宋体" w:cs="宋体"/>
          <w:b/>
          <w:bCs/>
          <w:color w:val="auto"/>
          <w:sz w:val="24"/>
          <w:szCs w:val="24"/>
          <w:highlight w:val="none"/>
          <w:shd w:val="clear" w:color="auto" w:fill="auto"/>
          <w:lang w:val="zh-CN"/>
        </w:rPr>
      </w:pPr>
      <w:r>
        <w:rPr>
          <w:rFonts w:hint="eastAsia" w:ascii="宋体" w:hAnsi="宋体" w:cs="宋体"/>
          <w:b/>
          <w:bCs/>
          <w:color w:val="auto"/>
          <w:sz w:val="24"/>
          <w:szCs w:val="24"/>
          <w:highlight w:val="none"/>
          <w:shd w:val="clear" w:color="auto" w:fill="auto"/>
          <w:lang w:val="zh-CN"/>
        </w:rPr>
        <w:t>本次资格审查采用资格后审，各供应商资格审查通过后方能进入</w:t>
      </w:r>
      <w:r>
        <w:rPr>
          <w:rFonts w:hint="eastAsia" w:ascii="宋体" w:hAnsi="宋体" w:cs="宋体"/>
          <w:b/>
          <w:bCs/>
          <w:color w:val="auto"/>
          <w:sz w:val="24"/>
          <w:szCs w:val="24"/>
          <w:highlight w:val="none"/>
          <w:shd w:val="clear" w:color="auto" w:fill="auto"/>
          <w:lang w:val="en-US" w:eastAsia="zh-CN"/>
        </w:rPr>
        <w:t>商务</w:t>
      </w:r>
      <w:r>
        <w:rPr>
          <w:rFonts w:hint="eastAsia" w:ascii="宋体" w:hAnsi="宋体" w:cs="宋体"/>
          <w:b/>
          <w:bCs/>
          <w:color w:val="auto"/>
          <w:sz w:val="24"/>
          <w:szCs w:val="24"/>
          <w:highlight w:val="none"/>
          <w:shd w:val="clear" w:color="auto" w:fill="auto"/>
          <w:lang w:val="zh-CN"/>
        </w:rPr>
        <w:t>技术标的开标。先开</w:t>
      </w:r>
      <w:r>
        <w:rPr>
          <w:rFonts w:hint="eastAsia" w:ascii="宋体" w:hAnsi="宋体" w:cs="宋体"/>
          <w:b/>
          <w:bCs/>
          <w:color w:val="auto"/>
          <w:sz w:val="24"/>
          <w:szCs w:val="24"/>
          <w:highlight w:val="none"/>
          <w:shd w:val="clear" w:color="auto" w:fill="auto"/>
          <w:lang w:val="en-US" w:eastAsia="zh-CN"/>
        </w:rPr>
        <w:t>商务</w:t>
      </w:r>
      <w:r>
        <w:rPr>
          <w:rFonts w:hint="eastAsia" w:ascii="宋体" w:hAnsi="宋体" w:cs="宋体"/>
          <w:b/>
          <w:bCs/>
          <w:color w:val="auto"/>
          <w:sz w:val="24"/>
          <w:szCs w:val="24"/>
          <w:highlight w:val="none"/>
          <w:shd w:val="clear" w:color="auto" w:fill="auto"/>
          <w:lang w:val="zh-CN"/>
        </w:rPr>
        <w:t>技术标，</w:t>
      </w:r>
      <w:r>
        <w:rPr>
          <w:rFonts w:hint="eastAsia" w:ascii="宋体" w:hAnsi="宋体" w:cs="宋体"/>
          <w:b/>
          <w:bCs/>
          <w:color w:val="auto"/>
          <w:sz w:val="24"/>
          <w:szCs w:val="24"/>
          <w:highlight w:val="none"/>
          <w:shd w:val="clear" w:color="auto" w:fill="auto"/>
          <w:lang w:val="en-US" w:eastAsia="zh-CN"/>
        </w:rPr>
        <w:t>商务</w:t>
      </w:r>
      <w:r>
        <w:rPr>
          <w:rFonts w:hint="eastAsia" w:ascii="宋体" w:hAnsi="宋体" w:cs="宋体"/>
          <w:b/>
          <w:bCs/>
          <w:color w:val="auto"/>
          <w:sz w:val="24"/>
          <w:szCs w:val="24"/>
          <w:highlight w:val="none"/>
          <w:shd w:val="clear" w:color="auto" w:fill="auto"/>
          <w:lang w:val="zh-CN"/>
        </w:rPr>
        <w:t>技术标打分结束后再开价格标。</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第一阶段：</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对每个供应商的资格进行审查。</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第二阶段：</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对每个符合资格要求的供应商的</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技术标进行</w:t>
      </w:r>
      <w:r>
        <w:rPr>
          <w:rFonts w:hint="eastAsia" w:ascii="宋体" w:hAnsi="宋体" w:cs="宋体"/>
          <w:color w:val="auto"/>
          <w:sz w:val="24"/>
          <w:szCs w:val="24"/>
          <w:highlight w:val="none"/>
          <w:shd w:val="clear" w:color="auto" w:fill="auto"/>
        </w:rPr>
        <w:t>评审</w:t>
      </w:r>
      <w:r>
        <w:rPr>
          <w:rFonts w:hint="eastAsia" w:ascii="宋体" w:hAnsi="宋体" w:cs="宋体"/>
          <w:color w:val="auto"/>
          <w:sz w:val="24"/>
          <w:szCs w:val="24"/>
          <w:highlight w:val="none"/>
          <w:shd w:val="clear" w:color="auto" w:fill="auto"/>
          <w:lang w:val="zh-CN"/>
        </w:rPr>
        <w:t>。主要审查</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技术标提交的内容是否齐全，</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技术方案及项目实施是否完全满足采购文件的要求。</w:t>
      </w:r>
      <w:r>
        <w:rPr>
          <w:rFonts w:hint="eastAsia" w:ascii="宋体" w:hAnsi="宋体" w:cs="宋体"/>
          <w:color w:val="auto"/>
          <w:sz w:val="24"/>
          <w:highlight w:val="none"/>
          <w:shd w:val="clear" w:color="auto" w:fill="auto"/>
        </w:rPr>
        <w:t>磋商小组严格按照磋商文件的要求、条件、评分标准，对供应商所提供货物或服务的先进性、可靠性、售后服务承诺、质量保证承诺等实质性响应内容进行比较。</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第三阶段：以</w:t>
      </w:r>
      <w:r>
        <w:rPr>
          <w:rFonts w:hint="eastAsia" w:ascii="宋体" w:hAnsi="宋体" w:cs="宋体"/>
          <w:color w:val="auto"/>
          <w:sz w:val="24"/>
          <w:szCs w:val="24"/>
          <w:highlight w:val="none"/>
          <w:shd w:val="clear" w:color="auto" w:fill="auto"/>
        </w:rPr>
        <w:t>供应商</w:t>
      </w:r>
      <w:r>
        <w:rPr>
          <w:rFonts w:hint="eastAsia" w:ascii="宋体" w:hAnsi="宋体" w:cs="宋体"/>
          <w:color w:val="auto"/>
          <w:sz w:val="24"/>
          <w:szCs w:val="24"/>
          <w:highlight w:val="none"/>
          <w:shd w:val="clear" w:color="auto" w:fill="auto"/>
          <w:lang w:val="zh-CN"/>
        </w:rPr>
        <w:t>价格标文件内的</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报价（即首次报价）为基础，</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rPr>
        <w:t>与供应商</w:t>
      </w:r>
      <w:r>
        <w:rPr>
          <w:rFonts w:hint="eastAsia" w:ascii="宋体" w:hAnsi="宋体" w:cs="宋体"/>
          <w:color w:val="auto"/>
          <w:sz w:val="24"/>
          <w:szCs w:val="24"/>
          <w:highlight w:val="none"/>
          <w:shd w:val="clear" w:color="auto" w:fill="auto"/>
          <w:lang w:val="zh-CN"/>
        </w:rPr>
        <w:t>单一分别进行</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：内容主要是对</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响应文件中的项目方案的澄清、修正、补充、确认以及价格调整等。</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明确各供应商符合并满足</w:t>
      </w:r>
      <w:r>
        <w:rPr>
          <w:rFonts w:hint="eastAsia"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文件要求，并能完全响应</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内容后，要求其二次报价。如</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内容导致</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文件有实质性变动的，</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 xml:space="preserve">应当以书面形式通知所有供应商。  </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第四阶段：单一分别</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结束后，</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告知所有供应商的项目二次报价，并要求所有作出实质性响应的有效供应商在规定的时间内，给出最终报价，同时最终报价中可包括但不限于如最终澄清方案、有关优惠承诺等。</w:t>
      </w:r>
    </w:p>
    <w:p>
      <w:pPr>
        <w:snapToGrid w:val="0"/>
        <w:spacing w:line="520" w:lineRule="exact"/>
        <w:ind w:firstLine="480" w:firstLineChars="200"/>
        <w:rPr>
          <w:rFonts w:ascii="宋体" w:hAnsi="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第五阶段：</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对供应商的最终报价进行评议和比较，在实质性响应</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文件，</w:t>
      </w:r>
      <w:r>
        <w:rPr>
          <w:rFonts w:hint="eastAsia" w:ascii="宋体" w:hAnsi="宋体" w:cs="宋体"/>
          <w:color w:val="auto"/>
          <w:sz w:val="24"/>
          <w:szCs w:val="24"/>
          <w:highlight w:val="none"/>
          <w:shd w:val="clear" w:color="auto" w:fill="auto"/>
          <w:lang w:val="en-US" w:eastAsia="zh-CN"/>
        </w:rPr>
        <w:t>商务</w:t>
      </w:r>
      <w:r>
        <w:rPr>
          <w:rFonts w:hint="eastAsia" w:ascii="宋体" w:hAnsi="宋体" w:cs="宋体"/>
          <w:color w:val="auto"/>
          <w:sz w:val="24"/>
          <w:szCs w:val="24"/>
          <w:highlight w:val="none"/>
          <w:shd w:val="clear" w:color="auto" w:fill="auto"/>
          <w:lang w:val="zh-CN"/>
        </w:rPr>
        <w:t>技术标和价格标部分都能满足</w:t>
      </w:r>
      <w:r>
        <w:rPr>
          <w:rFonts w:hint="eastAsia" w:ascii="宋体" w:hAnsi="宋体" w:cs="宋体"/>
          <w:color w:val="auto"/>
          <w:sz w:val="24"/>
          <w:szCs w:val="24"/>
          <w:highlight w:val="none"/>
          <w:shd w:val="clear" w:color="auto" w:fill="auto"/>
        </w:rPr>
        <w:t>竞争性磋商</w:t>
      </w:r>
      <w:r>
        <w:rPr>
          <w:rFonts w:hint="eastAsia" w:ascii="宋体" w:hAnsi="宋体" w:cs="宋体"/>
          <w:color w:val="auto"/>
          <w:sz w:val="24"/>
          <w:szCs w:val="24"/>
          <w:highlight w:val="none"/>
          <w:shd w:val="clear" w:color="auto" w:fill="auto"/>
          <w:lang w:val="zh-CN"/>
        </w:rPr>
        <w:t>文件的前提下，</w:t>
      </w:r>
      <w:r>
        <w:rPr>
          <w:rFonts w:hint="eastAsia" w:ascii="宋体" w:hAnsi="宋体" w:cs="宋体"/>
          <w:color w:val="auto"/>
          <w:sz w:val="24"/>
          <w:highlight w:val="none"/>
          <w:shd w:val="clear" w:color="auto" w:fill="auto"/>
        </w:rPr>
        <w:t>磋商小组</w:t>
      </w:r>
      <w:r>
        <w:rPr>
          <w:rFonts w:hint="eastAsia" w:ascii="宋体" w:hAnsi="宋体" w:cs="宋体"/>
          <w:color w:val="auto"/>
          <w:sz w:val="24"/>
          <w:szCs w:val="24"/>
          <w:highlight w:val="none"/>
          <w:shd w:val="clear" w:color="auto" w:fill="auto"/>
          <w:lang w:val="zh-CN"/>
        </w:rPr>
        <w:t>将校核后的各供应商的报价从低到高排序。</w:t>
      </w:r>
    </w:p>
    <w:p>
      <w:pPr>
        <w:snapToGrid w:val="0"/>
        <w:spacing w:line="52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zh-CN"/>
        </w:rPr>
        <w:t>2.在</w:t>
      </w:r>
      <w:r>
        <w:rPr>
          <w:rFonts w:hint="eastAsia" w:ascii="宋体" w:hAnsi="宋体" w:cs="宋体"/>
          <w:color w:val="auto"/>
          <w:sz w:val="24"/>
          <w:szCs w:val="24"/>
          <w:highlight w:val="none"/>
          <w:shd w:val="clear" w:color="auto" w:fill="auto"/>
        </w:rPr>
        <w:t>磋商</w:t>
      </w:r>
      <w:r>
        <w:rPr>
          <w:rFonts w:hint="eastAsia" w:ascii="宋体" w:hAnsi="宋体" w:cs="宋体"/>
          <w:color w:val="auto"/>
          <w:sz w:val="24"/>
          <w:szCs w:val="24"/>
          <w:highlight w:val="none"/>
          <w:shd w:val="clear" w:color="auto" w:fill="auto"/>
          <w:lang w:val="zh-CN"/>
        </w:rPr>
        <w:t>过程中，供应商提交的澄清文件和最终报价文件，由供应商法定代表人或被授权人签字盖章后生效，供应商受其约束。</w:t>
      </w:r>
    </w:p>
    <w:p>
      <w:pPr>
        <w:snapToGrid w:val="0"/>
        <w:spacing w:line="52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四、磋商评定结果的方法</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w:t>
      </w:r>
      <w:r>
        <w:rPr>
          <w:rFonts w:hint="eastAsia" w:hAnsi="宋体" w:cs="宋体"/>
          <w:b/>
          <w:color w:val="auto"/>
          <w:sz w:val="24"/>
          <w:szCs w:val="24"/>
          <w:highlight w:val="none"/>
          <w:u w:val="single"/>
          <w:shd w:val="clear" w:color="auto" w:fill="auto"/>
        </w:rPr>
        <w:t>经磋商确定最终采购需求和提交最后报价的供应商后，</w:t>
      </w:r>
      <w:r>
        <w:rPr>
          <w:rFonts w:hint="eastAsia" w:hAnsi="宋体" w:cs="宋体"/>
          <w:color w:val="auto"/>
          <w:sz w:val="24"/>
          <w:szCs w:val="24"/>
          <w:highlight w:val="none"/>
          <w:shd w:val="clear" w:color="auto" w:fill="auto"/>
        </w:rPr>
        <w:t>由磋商小组采用综合评分法</w:t>
      </w:r>
      <w:r>
        <w:rPr>
          <w:rFonts w:hint="eastAsia" w:hAnsi="宋体" w:cs="宋体"/>
          <w:b/>
          <w:color w:val="auto"/>
          <w:sz w:val="24"/>
          <w:szCs w:val="24"/>
          <w:highlight w:val="none"/>
          <w:u w:val="single"/>
          <w:shd w:val="clear" w:color="auto" w:fill="auto"/>
        </w:rPr>
        <w:t>对提交最后报价的供应商的响应文件和最后报价</w:t>
      </w:r>
      <w:r>
        <w:rPr>
          <w:rFonts w:hint="eastAsia" w:hAnsi="宋体" w:cs="宋体"/>
          <w:color w:val="auto"/>
          <w:sz w:val="24"/>
          <w:szCs w:val="24"/>
          <w:highlight w:val="none"/>
          <w:shd w:val="clear" w:color="auto" w:fill="auto"/>
        </w:rPr>
        <w:t>进行综合评分。</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2.评审时，磋商小组各成员应当独立对每个有效响应的文件进行评价、打分，然后汇总每个供应商每项评分因素的得分（计算结果均四舍五入保留两位小数）。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3.本次项目磋商的</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 xml:space="preserve">技术和报价评审总分值为100分。两部分评审因素比重如下： </w:t>
      </w:r>
    </w:p>
    <w:p>
      <w:pPr>
        <w:snapToGrid w:val="0"/>
        <w:spacing w:line="520" w:lineRule="exact"/>
        <w:ind w:firstLine="480" w:firstLineChars="200"/>
        <w:rPr>
          <w:rFonts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技术分值占总分值的比重为</w:t>
      </w:r>
      <w:r>
        <w:rPr>
          <w:rFonts w:hint="eastAsia" w:hAnsi="宋体" w:cs="宋体"/>
          <w:b/>
          <w:color w:val="auto"/>
          <w:sz w:val="24"/>
          <w:szCs w:val="24"/>
          <w:highlight w:val="none"/>
          <w:u w:val="single"/>
          <w:shd w:val="clear" w:color="auto" w:fill="auto"/>
          <w:lang w:val="en-US" w:eastAsia="zh-CN"/>
        </w:rPr>
        <w:t>80</w:t>
      </w:r>
      <w:r>
        <w:rPr>
          <w:rFonts w:hint="eastAsia" w:hAnsi="宋体" w:cs="宋体"/>
          <w:b/>
          <w:color w:val="auto"/>
          <w:sz w:val="24"/>
          <w:szCs w:val="24"/>
          <w:highlight w:val="none"/>
          <w:u w:val="single"/>
          <w:shd w:val="clear" w:color="auto" w:fill="auto"/>
        </w:rPr>
        <w:t>%（权重）</w:t>
      </w:r>
      <w:r>
        <w:rPr>
          <w:rFonts w:hint="eastAsia" w:hAnsi="宋体" w:cs="宋体"/>
          <w:color w:val="auto"/>
          <w:sz w:val="24"/>
          <w:szCs w:val="24"/>
          <w:highlight w:val="none"/>
          <w:shd w:val="clear" w:color="auto" w:fill="auto"/>
        </w:rPr>
        <w:t>（四舍五入保留两位小数）；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报价分值占总分值的比重为</w:t>
      </w:r>
      <w:r>
        <w:rPr>
          <w:rFonts w:hint="eastAsia" w:hAnsi="宋体" w:cs="宋体"/>
          <w:b/>
          <w:color w:val="auto"/>
          <w:sz w:val="24"/>
          <w:szCs w:val="24"/>
          <w:highlight w:val="none"/>
          <w:u w:val="single"/>
          <w:shd w:val="clear" w:color="auto" w:fill="auto"/>
          <w:lang w:val="en-US" w:eastAsia="zh-CN"/>
        </w:rPr>
        <w:t>20</w:t>
      </w:r>
      <w:r>
        <w:rPr>
          <w:rFonts w:hint="eastAsia" w:ascii="Times New Roman" w:hAnsi="宋体" w:eastAsia="宋体" w:cs="宋体"/>
          <w:b/>
          <w:color w:val="auto"/>
          <w:sz w:val="24"/>
          <w:szCs w:val="24"/>
          <w:highlight w:val="none"/>
          <w:u w:val="single"/>
          <w:shd w:val="clear" w:color="auto" w:fill="auto"/>
        </w:rPr>
        <w:t>%（权重</w:t>
      </w:r>
      <w:r>
        <w:rPr>
          <w:rFonts w:hint="eastAsia" w:hAnsi="宋体" w:cs="宋体"/>
          <w:b/>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技术分按算术平均值计算，分值四舍五入保留两位小数。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w:t>
      </w:r>
      <w:r>
        <w:rPr>
          <w:rFonts w:hint="eastAsia" w:hAnsi="宋体" w:cs="宋体"/>
          <w:color w:val="auto"/>
          <w:sz w:val="24"/>
          <w:szCs w:val="24"/>
          <w:highlight w:val="none"/>
          <w:shd w:val="clear" w:color="auto" w:fill="auto"/>
          <w:lang w:eastAsia="zh-CN"/>
        </w:rPr>
        <w:t>报价</w:t>
      </w:r>
      <w:r>
        <w:rPr>
          <w:rFonts w:hint="eastAsia" w:hAnsi="宋体" w:cs="宋体"/>
          <w:color w:val="auto"/>
          <w:sz w:val="24"/>
          <w:szCs w:val="24"/>
          <w:highlight w:val="none"/>
          <w:shd w:val="clear" w:color="auto" w:fill="auto"/>
        </w:rPr>
        <w:t>分统一采用低价优先法计算直接取得，与</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技术分相加为供应商的综合得分（四舍五入保留两位小数）。</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6.综合得分最高的供应商推荐为项目预成交人并出具评审磋商报告。</w:t>
      </w:r>
    </w:p>
    <w:p>
      <w:pPr>
        <w:snapToGrid w:val="0"/>
        <w:spacing w:line="520" w:lineRule="exact"/>
        <w:ind w:firstLine="480" w:firstLineChars="200"/>
        <w:outlineLvl w:val="1"/>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7.确定成交候选人的特殊情况处理： </w:t>
      </w:r>
    </w:p>
    <w:p>
      <w:pPr>
        <w:snapToGrid w:val="0"/>
        <w:spacing w:line="520" w:lineRule="exact"/>
        <w:ind w:firstLine="480" w:firstLineChars="200"/>
        <w:outlineLvl w:val="1"/>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（1）若总分相同，则按</w:t>
      </w:r>
      <w:r>
        <w:rPr>
          <w:rFonts w:hint="eastAsia" w:hAnsi="宋体" w:cs="宋体"/>
          <w:color w:val="auto"/>
          <w:sz w:val="24"/>
          <w:szCs w:val="24"/>
          <w:highlight w:val="none"/>
          <w:shd w:val="clear" w:color="auto" w:fill="auto"/>
          <w:lang w:eastAsia="zh-CN"/>
        </w:rPr>
        <w:t>价格标</w:t>
      </w:r>
      <w:r>
        <w:rPr>
          <w:rFonts w:hint="eastAsia" w:hAnsi="宋体" w:cs="宋体"/>
          <w:color w:val="auto"/>
          <w:sz w:val="24"/>
          <w:szCs w:val="24"/>
          <w:highlight w:val="none"/>
          <w:shd w:val="clear" w:color="auto" w:fill="auto"/>
        </w:rPr>
        <w:t>得分高者优先成交。</w:t>
      </w:r>
    </w:p>
    <w:p>
      <w:pPr>
        <w:snapToGrid w:val="0"/>
        <w:spacing w:line="520" w:lineRule="exact"/>
        <w:ind w:firstLine="480" w:firstLineChars="200"/>
        <w:outlineLvl w:val="1"/>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（2）若总分且</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技术分得分相同，则采取抽签的方式确定。</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8.磋商评审时，评委对评审的细则若有争议，由磋商小组集体讨论确定，并对未尽情况有最终解释权。</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9.对落标的供应商不做落标原因的解释。</w:t>
      </w:r>
    </w:p>
    <w:p>
      <w:pPr>
        <w:snapToGrid w:val="0"/>
        <w:spacing w:line="52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五、综合评分评审标准</w:t>
      </w:r>
    </w:p>
    <w:p>
      <w:pPr>
        <w:snapToGrid w:val="0"/>
        <w:spacing w:line="520" w:lineRule="exact"/>
        <w:ind w:firstLine="480" w:firstLineChars="200"/>
        <w:outlineLvl w:val="2"/>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（一）</w:t>
      </w:r>
      <w:r>
        <w:rPr>
          <w:rFonts w:hint="eastAsia" w:ascii="宋体" w:hAnsi="宋体" w:cs="宋体"/>
          <w:color w:val="auto"/>
          <w:sz w:val="24"/>
          <w:szCs w:val="24"/>
          <w:highlight w:val="none"/>
          <w:shd w:val="clear" w:color="auto" w:fill="auto"/>
          <w:lang w:val="en-US" w:eastAsia="zh-CN"/>
        </w:rPr>
        <w:t>商务</w:t>
      </w:r>
      <w:r>
        <w:rPr>
          <w:rFonts w:hint="eastAsia" w:hAnsi="宋体" w:cs="宋体"/>
          <w:color w:val="auto"/>
          <w:sz w:val="24"/>
          <w:szCs w:val="24"/>
          <w:highlight w:val="none"/>
          <w:shd w:val="clear" w:color="auto" w:fill="auto"/>
        </w:rPr>
        <w:t>技术分：（</w:t>
      </w:r>
      <w:r>
        <w:rPr>
          <w:rFonts w:hint="eastAsia" w:hAnsi="宋体" w:cs="宋体"/>
          <w:color w:val="auto"/>
          <w:sz w:val="24"/>
          <w:szCs w:val="24"/>
          <w:highlight w:val="none"/>
          <w:shd w:val="clear" w:color="auto" w:fill="auto"/>
          <w:lang w:val="en-US" w:eastAsia="zh-CN"/>
        </w:rPr>
        <w:t>80</w:t>
      </w:r>
      <w:r>
        <w:rPr>
          <w:rFonts w:hint="eastAsia" w:hAnsi="宋体" w:cs="宋体"/>
          <w:color w:val="auto"/>
          <w:sz w:val="24"/>
          <w:szCs w:val="24"/>
          <w:highlight w:val="none"/>
          <w:shd w:val="clear" w:color="auto" w:fill="auto"/>
        </w:rPr>
        <w:t>分）</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4"/>
        <w:gridCol w:w="8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评审因素</w:t>
            </w:r>
          </w:p>
        </w:tc>
        <w:tc>
          <w:tcPr>
            <w:tcW w:w="8144" w:type="dxa"/>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suppressLineNumbers w:val="0"/>
              <w:spacing w:before="0" w:beforeAutospacing="0" w:after="0" w:afterAutospacing="0" w:line="240" w:lineRule="atLeast"/>
              <w:ind w:left="0" w:right="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业绩</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val="en-US" w:eastAsia="zh-CN"/>
              </w:rPr>
              <w:t>10</w:t>
            </w:r>
            <w:r>
              <w:rPr>
                <w:rFonts w:hint="eastAsia" w:asciiTheme="minorEastAsia" w:hAnsiTheme="minorEastAsia" w:eastAsiaTheme="minorEastAsia" w:cstheme="minorEastAsia"/>
                <w:b w:val="0"/>
                <w:bCs/>
                <w:color w:val="auto"/>
                <w:sz w:val="21"/>
                <w:szCs w:val="21"/>
                <w:highlight w:val="none"/>
              </w:rPr>
              <w:t>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sz w:val="21"/>
                <w:szCs w:val="21"/>
                <w:highlight w:val="none"/>
                <w:u w:val="none"/>
                <w:lang w:val="en-US" w:eastAsia="zh-CN"/>
              </w:rPr>
              <w:t>提供自2019年1月1日（以合同签订日期为准）以来供应商独立承担的博物馆文物运输业绩，每提供一个得1分，最高10分。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kern w:val="2"/>
                <w:sz w:val="21"/>
                <w:szCs w:val="21"/>
                <w:highlight w:val="none"/>
                <w:u w:val="none"/>
                <w:lang w:val="en-US" w:eastAsia="zh-CN" w:bidi="ar-SA"/>
              </w:rPr>
              <w:t>注：</w:t>
            </w:r>
            <w:r>
              <w:rPr>
                <w:rFonts w:hint="eastAsia" w:asciiTheme="minorEastAsia" w:hAnsiTheme="minorEastAsia" w:eastAsiaTheme="minorEastAsia" w:cstheme="minorEastAsia"/>
                <w:color w:val="auto"/>
                <w:sz w:val="21"/>
                <w:szCs w:val="21"/>
                <w:highlight w:val="none"/>
                <w:u w:val="none"/>
                <w:lang w:val="en-US" w:eastAsia="zh-CN"/>
              </w:rPr>
              <w:t>每个业绩须提供以下三项材料，缺一不可:①合同复印件；②与合同对应的部分发票复印件；③与发票对应的对公收款回执复印件，否则不得分。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suppressLineNumbers w:val="0"/>
              <w:spacing w:before="0" w:beforeAutospacing="0" w:after="0" w:afterAutospacing="0" w:line="240" w:lineRule="atLeast"/>
              <w:ind w:left="0" w:right="0"/>
              <w:jc w:val="center"/>
              <w:rPr>
                <w:rFonts w:hint="eastAsia" w:asciiTheme="minorEastAsia" w:hAnsiTheme="minorEastAsia" w:eastAsiaTheme="minorEastAsia" w:cstheme="minorEastAsia"/>
                <w:b w:val="0"/>
                <w:bCs/>
                <w:color w:val="auto"/>
                <w:sz w:val="21"/>
                <w:szCs w:val="21"/>
                <w:highlight w:val="none"/>
                <w:lang w:val="en-US"/>
              </w:rPr>
            </w:pPr>
            <w:r>
              <w:rPr>
                <w:rFonts w:hint="eastAsia" w:asciiTheme="minorEastAsia" w:hAnsiTheme="minorEastAsia" w:eastAsiaTheme="minorEastAsia" w:cstheme="minorEastAsia"/>
                <w:b w:val="0"/>
                <w:bCs/>
                <w:color w:val="auto"/>
                <w:sz w:val="21"/>
                <w:szCs w:val="21"/>
                <w:highlight w:val="none"/>
                <w:lang w:val="en-US" w:eastAsia="zh-CN"/>
              </w:rPr>
              <w:t>服务承诺</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b w:val="0"/>
                <w:bCs/>
                <w:color w:val="auto"/>
                <w:sz w:val="21"/>
                <w:szCs w:val="21"/>
                <w:highlight w:val="none"/>
              </w:rPr>
              <w:t>分）</w:t>
            </w:r>
          </w:p>
        </w:tc>
        <w:tc>
          <w:tcPr>
            <w:tcW w:w="814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提供《承诺书》（格式自拟）的得2分，承诺书需包含“运输安全保障、服务质量”内容并加盖公章，否则不得分。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994" w:type="dxa"/>
            <w:vMerge w:val="restart"/>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服务人员配备方案</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val="en-US" w:eastAsia="zh-CN"/>
              </w:rPr>
              <w:t>10</w:t>
            </w:r>
            <w:r>
              <w:rPr>
                <w:rFonts w:hint="eastAsia" w:asciiTheme="minorEastAsia" w:hAnsiTheme="minorEastAsia" w:eastAsiaTheme="minorEastAsia" w:cstheme="minorEastAsia"/>
                <w:b w:val="0"/>
                <w:bCs/>
                <w:color w:val="auto"/>
                <w:sz w:val="21"/>
                <w:szCs w:val="21"/>
                <w:highlight w:val="none"/>
              </w:rPr>
              <w:t>分）</w:t>
            </w:r>
          </w:p>
        </w:tc>
        <w:tc>
          <w:tcPr>
            <w:tcW w:w="8144" w:type="dxa"/>
            <w:shd w:val="clear" w:color="auto" w:fill="auto"/>
            <w:noWrap w:val="0"/>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针对本项目的服务人员配备比较，须至少包括：包装人员、运输人员和随运保护人员，并就上述人员的从业经验和能力水准进行详细说明，本项最高10分。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内容详细完整、人员配备齐全、经验丰富的得10分；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内容较为完整、人员配备基本齐全，有过类似经验的得6分；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内容简单笼统、人员配备不足、无类似经验的得2分；</w:t>
            </w:r>
          </w:p>
          <w:p>
            <w:pPr>
              <w:pStyle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suppressLineNumbers w:val="0"/>
              <w:spacing w:before="0" w:beforeAutospacing="0" w:after="0" w:afterAutospacing="0" w:line="240" w:lineRule="atLeast"/>
              <w:ind w:left="0" w:right="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文物包装方案</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（15分）</w:t>
            </w:r>
          </w:p>
        </w:tc>
        <w:tc>
          <w:tcPr>
            <w:tcW w:w="8144" w:type="dxa"/>
            <w:shd w:val="clear" w:color="auto" w:fill="auto"/>
            <w:noWrap w:val="0"/>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文物包装方案，须至少包括：包装技术原则、包装及拆包装前准备流程、各类型文物内包装方案、外包装方案、藏品包装信息的编制和包装材料的详尽描述，本项最高15分。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内容详细完整、可行性强、措施符合博物馆文物藏品包装标准规范的得15分；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内容较为完整、可行性一般、措施基本规范的得11分；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内容完整、可行性一般、措施规范性不足的得7分；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内容简单笼统、可行性弱、措施规范性不足的得3分；</w:t>
            </w:r>
          </w:p>
          <w:p>
            <w:pPr>
              <w:pStyle w:val="9"/>
              <w:numPr>
                <w:ilvl w:val="-1"/>
                <w:numId w:val="0"/>
              </w:num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装卸方案（10分）</w:t>
            </w:r>
          </w:p>
        </w:tc>
        <w:tc>
          <w:tcPr>
            <w:tcW w:w="8144" w:type="dxa"/>
            <w:shd w:val="clear" w:color="auto" w:fill="auto"/>
            <w:noWrap w:val="0"/>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装卸方案，须至少包括：拆除包装方案、移动文物方案和恢复包装运输方案，本项最高10分。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内容详细完整、可行性强、措施符合标准规范的得10分；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内容较为完整、可行性一般、措施基本规范的得7分；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内容完整、可行性一般、措施规范性不足的得4分；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内容简单笼统、可行性弱、措施规范性不足的得1分；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保密措施（5分）</w:t>
            </w:r>
          </w:p>
        </w:tc>
        <w:tc>
          <w:tcPr>
            <w:tcW w:w="8144" w:type="dxa"/>
            <w:shd w:val="clear" w:color="auto" w:fill="auto"/>
            <w:noWrap w:val="0"/>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保密措施，须至少包括：涉密人员管理措施和涉密信息管理措施，本项最高5分。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内容详细完整、可行性强、措施符合标准规范的得5分；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内容较为完整、可行性一般、措施基本规范的得3分；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内容简单笼统、可行性弱、措施规范性不足的得1分；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应急措施（8分）</w:t>
            </w:r>
          </w:p>
        </w:tc>
        <w:tc>
          <w:tcPr>
            <w:tcW w:w="8144" w:type="dxa"/>
            <w:shd w:val="clear" w:color="auto" w:fill="auto"/>
            <w:noWrap w:val="0"/>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应急措施，须至少包括：车辆故障应急预案、道路紧急施工应急预案和不可抗力，本项最高8分。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内容详细完整、可行性强、措施符合标准规范的得8分；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内容较为完整、可行性一般、措施基本规范的得6分；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内容完整、可行性一般、措施规范性不足的得4分；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内容简单笼统、可行性弱、措施规范性不足的得2分；</w:t>
            </w:r>
          </w:p>
          <w:p>
            <w:pPr>
              <w:keepNext w:val="0"/>
              <w:keepLines w:val="0"/>
              <w:pageBreakBefore w:val="0"/>
              <w:widowControl/>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布撤展配合方案</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（15分）</w:t>
            </w:r>
          </w:p>
        </w:tc>
        <w:tc>
          <w:tcPr>
            <w:tcW w:w="8144" w:type="dxa"/>
            <w:shd w:val="clear" w:color="auto" w:fill="auto"/>
            <w:noWrap w:val="0"/>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布撤展配合方案，须至少包括：前期准备方案和具体配合方案，本项最高15分。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内容详细完整、可行性强、措施符合标准规范的得15分；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内容较为完整、可行性一般、措施基本规范的得11分；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内容完整、可行性一般、措施规范性不足的得7分；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内容简单笼统、可行性弱、措施规范性不足的得3分；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4" w:type="dxa"/>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行车计划（5分）</w:t>
            </w:r>
          </w:p>
        </w:tc>
        <w:tc>
          <w:tcPr>
            <w:tcW w:w="8144" w:type="dxa"/>
            <w:shd w:val="clear" w:color="auto" w:fill="auto"/>
            <w:noWrap w:val="0"/>
            <w:tcMar>
              <w:top w:w="15" w:type="dxa"/>
              <w:left w:w="15" w:type="dxa"/>
              <w:right w:w="15" w:type="dxa"/>
            </w:tcMar>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行车计划，须至少包括：运输方案、线路规划、时间安排、备用路线和专业文物运输车辆情况，本项最高5分。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内容详细完整、可行性强、措施符合标准规范的得5分；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内容较为完整、可行性一般、措施基本规范的得3分；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内容简单笼统、可行性弱、措施规范性不足的得1分；</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未提供不得分。</w:t>
            </w:r>
          </w:p>
        </w:tc>
      </w:tr>
    </w:tbl>
    <w:p>
      <w:pPr>
        <w:rPr>
          <w:rFonts w:hint="eastAsia" w:hAnsi="宋体" w:cs="宋体"/>
          <w:color w:val="auto"/>
          <w:sz w:val="24"/>
          <w:szCs w:val="24"/>
          <w:highlight w:val="none"/>
          <w:shd w:val="clear" w:color="auto" w:fill="auto"/>
        </w:rPr>
      </w:pPr>
    </w:p>
    <w:p>
      <w:pPr>
        <w:ind w:firstLine="480" w:firstLineChars="200"/>
        <w:rPr>
          <w:rFonts w:hint="eastAsia" w:hAnsi="宋体" w:cs="宋体"/>
          <w:color w:val="auto"/>
          <w:sz w:val="24"/>
          <w:szCs w:val="24"/>
          <w:highlight w:val="none"/>
          <w:shd w:val="clear" w:color="auto" w:fill="auto"/>
        </w:rPr>
      </w:pPr>
    </w:p>
    <w:p>
      <w:pPr>
        <w:ind w:firstLine="480" w:firstLineChars="200"/>
        <w:rPr>
          <w:rFonts w:ascii="宋体"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（二）</w:t>
      </w:r>
      <w:r>
        <w:rPr>
          <w:rFonts w:hint="eastAsia" w:ascii="宋体" w:hAnsi="宋体" w:cs="宋体"/>
          <w:color w:val="auto"/>
          <w:sz w:val="24"/>
          <w:szCs w:val="24"/>
          <w:highlight w:val="none"/>
          <w:shd w:val="clear" w:color="auto" w:fill="auto"/>
          <w:lang w:eastAsia="zh-CN"/>
        </w:rPr>
        <w:t>报价</w:t>
      </w:r>
      <w:r>
        <w:rPr>
          <w:rFonts w:hint="eastAsia" w:ascii="宋体" w:hAnsi="宋体" w:cs="宋体"/>
          <w:color w:val="auto"/>
          <w:sz w:val="24"/>
          <w:szCs w:val="24"/>
          <w:highlight w:val="none"/>
          <w:shd w:val="clear" w:color="auto" w:fill="auto"/>
        </w:rPr>
        <w:t>分：（</w:t>
      </w:r>
      <w:r>
        <w:rPr>
          <w:rFonts w:hint="eastAsia" w:ascii="宋体" w:hAnsi="宋体" w:cs="宋体"/>
          <w:color w:val="auto"/>
          <w:sz w:val="24"/>
          <w:szCs w:val="24"/>
          <w:highlight w:val="none"/>
          <w:shd w:val="clear" w:color="auto" w:fill="auto"/>
          <w:lang w:val="en-US" w:eastAsia="zh-CN"/>
        </w:rPr>
        <w:t>20</w:t>
      </w:r>
      <w:r>
        <w:rPr>
          <w:rFonts w:hint="eastAsia" w:ascii="宋体" w:hAnsi="宋体" w:cs="宋体"/>
          <w:color w:val="auto"/>
          <w:sz w:val="24"/>
          <w:szCs w:val="24"/>
          <w:highlight w:val="none"/>
          <w:shd w:val="clear" w:color="auto" w:fill="auto"/>
        </w:rPr>
        <w:t>分）</w:t>
      </w:r>
    </w:p>
    <w:p>
      <w:pPr>
        <w:adjustRightInd w:val="0"/>
        <w:snapToGrid w:val="0"/>
        <w:spacing w:line="48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b/>
          <w:color w:val="auto"/>
          <w:sz w:val="24"/>
          <w:szCs w:val="24"/>
          <w:highlight w:val="none"/>
          <w:shd w:val="clear" w:color="auto" w:fill="auto"/>
        </w:rPr>
        <w:t>本次项目最高限价：</w:t>
      </w:r>
      <w:r>
        <w:rPr>
          <w:rFonts w:hint="eastAsia" w:ascii="宋体" w:hAnsi="宋体" w:cs="宋体"/>
          <w:b/>
          <w:color w:val="auto"/>
          <w:sz w:val="24"/>
          <w:szCs w:val="24"/>
          <w:highlight w:val="none"/>
          <w:u w:val="single"/>
          <w:shd w:val="clear" w:color="auto" w:fill="auto"/>
          <w:lang w:val="en-US" w:eastAsia="zh-CN"/>
        </w:rPr>
        <w:t>38.5万元</w:t>
      </w:r>
      <w:r>
        <w:rPr>
          <w:rFonts w:hint="eastAsia" w:ascii="宋体" w:hAnsi="宋体" w:cs="宋体"/>
          <w:b/>
          <w:color w:val="auto"/>
          <w:sz w:val="24"/>
          <w:szCs w:val="24"/>
          <w:highlight w:val="none"/>
          <w:shd w:val="clear" w:color="auto" w:fill="auto"/>
        </w:rPr>
        <w:t>，超过限价作无效响应处理</w:t>
      </w:r>
      <w:r>
        <w:rPr>
          <w:rFonts w:hint="eastAsia" w:ascii="宋体" w:hAnsi="宋体" w:cs="宋体"/>
          <w:color w:val="auto"/>
          <w:sz w:val="24"/>
          <w:szCs w:val="24"/>
          <w:highlight w:val="none"/>
          <w:shd w:val="clear" w:color="auto" w:fill="auto"/>
        </w:rPr>
        <w:t>。</w:t>
      </w:r>
    </w:p>
    <w:p>
      <w:pPr>
        <w:snapToGrid w:val="0"/>
        <w:spacing w:line="48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2.满足磋商文件要求且最后报价最低的供应商的价格为磋商基准价，其</w:t>
      </w:r>
      <w:r>
        <w:rPr>
          <w:rFonts w:hint="eastAsia" w:ascii="宋体" w:hAnsi="宋体" w:cs="宋体"/>
          <w:color w:val="auto"/>
          <w:sz w:val="24"/>
          <w:szCs w:val="24"/>
          <w:highlight w:val="none"/>
          <w:shd w:val="clear" w:color="auto" w:fill="auto"/>
          <w:lang w:eastAsia="zh-CN"/>
        </w:rPr>
        <w:t>报价</w:t>
      </w:r>
      <w:r>
        <w:rPr>
          <w:rFonts w:hint="eastAsia" w:ascii="宋体" w:hAnsi="宋体" w:cs="宋体"/>
          <w:color w:val="auto"/>
          <w:sz w:val="24"/>
          <w:szCs w:val="24"/>
          <w:highlight w:val="none"/>
          <w:shd w:val="clear" w:color="auto" w:fill="auto"/>
        </w:rPr>
        <w:t>分为满分。其他供应商的</w:t>
      </w:r>
      <w:r>
        <w:rPr>
          <w:rFonts w:hint="eastAsia" w:ascii="宋体" w:hAnsi="宋体" w:cs="宋体"/>
          <w:color w:val="auto"/>
          <w:sz w:val="24"/>
          <w:szCs w:val="24"/>
          <w:highlight w:val="none"/>
          <w:shd w:val="clear" w:color="auto" w:fill="auto"/>
          <w:lang w:eastAsia="zh-CN"/>
        </w:rPr>
        <w:t>报价</w:t>
      </w:r>
      <w:r>
        <w:rPr>
          <w:rFonts w:hint="eastAsia" w:ascii="宋体" w:hAnsi="宋体" w:cs="宋体"/>
          <w:color w:val="auto"/>
          <w:sz w:val="24"/>
          <w:szCs w:val="24"/>
          <w:highlight w:val="none"/>
          <w:shd w:val="clear" w:color="auto" w:fill="auto"/>
        </w:rPr>
        <w:t>分统一按照下列公式计算：</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lang w:eastAsia="zh-CN"/>
        </w:rPr>
        <w:t>报价</w:t>
      </w:r>
      <w:r>
        <w:rPr>
          <w:rFonts w:hint="eastAsia" w:hAnsi="宋体" w:cs="宋体"/>
          <w:b/>
          <w:color w:val="auto"/>
          <w:sz w:val="24"/>
          <w:szCs w:val="24"/>
          <w:highlight w:val="none"/>
          <w:shd w:val="clear" w:color="auto" w:fill="auto"/>
        </w:rPr>
        <w:t>分 =（磋商基准价/最后磋商报价）×</w:t>
      </w:r>
      <w:r>
        <w:rPr>
          <w:rFonts w:hint="eastAsia" w:hAnsi="宋体" w:cs="宋体"/>
          <w:b/>
          <w:color w:val="auto"/>
          <w:sz w:val="24"/>
          <w:szCs w:val="24"/>
          <w:highlight w:val="none"/>
          <w:shd w:val="clear" w:color="auto" w:fill="auto"/>
          <w:lang w:val="en-US" w:eastAsia="zh-CN"/>
        </w:rPr>
        <w:t>20</w:t>
      </w:r>
      <w:r>
        <w:rPr>
          <w:rFonts w:hint="eastAsia" w:hAnsi="宋体" w:cs="宋体"/>
          <w:b/>
          <w:color w:val="auto"/>
          <w:sz w:val="24"/>
          <w:szCs w:val="24"/>
          <w:highlight w:val="none"/>
          <w:shd w:val="clear" w:color="auto" w:fill="auto"/>
        </w:rPr>
        <w:t>%×100</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六、出现下列情形之一的，作无效响应处理</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1.响应文件未按规定要求密封、签署、盖章及主要资料不齐全的；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2.响应文件的资料有虚报或者谎报的；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3.响应文件中资格审查文件及</w:t>
      </w:r>
      <w:r>
        <w:rPr>
          <w:rFonts w:hint="eastAsia" w:hAnsi="宋体" w:eastAsia="宋体" w:cs="宋体"/>
          <w:color w:val="auto"/>
          <w:sz w:val="24"/>
          <w:szCs w:val="24"/>
          <w:highlight w:val="none"/>
          <w:shd w:val="clear" w:color="auto" w:fill="auto"/>
          <w:lang w:val="en-US" w:eastAsia="zh-CN"/>
        </w:rPr>
        <w:t>商务</w:t>
      </w:r>
      <w:r>
        <w:rPr>
          <w:rFonts w:hint="eastAsia" w:hAnsi="宋体" w:eastAsia="宋体" w:cs="宋体"/>
          <w:color w:val="auto"/>
          <w:sz w:val="24"/>
          <w:szCs w:val="24"/>
          <w:highlight w:val="none"/>
          <w:shd w:val="clear" w:color="auto" w:fill="auto"/>
        </w:rPr>
        <w:t>技术响应文件出现磋商报价的内容；</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4.不具备磋商文件规定的资格要求的；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5.响应文件有重大漏项或重大不合理的；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6.项目技术、方案不满足</w:t>
      </w:r>
      <w:r>
        <w:rPr>
          <w:rFonts w:hint="eastAsia" w:hAnsi="宋体" w:eastAsia="宋体" w:cs="宋体"/>
          <w:color w:val="auto"/>
          <w:sz w:val="24"/>
          <w:szCs w:val="24"/>
          <w:highlight w:val="none"/>
          <w:shd w:val="clear" w:color="auto" w:fill="auto"/>
          <w:lang w:val="en-US" w:eastAsia="zh-CN"/>
        </w:rPr>
        <w:t>项目需求</w:t>
      </w:r>
      <w:r>
        <w:rPr>
          <w:rFonts w:hint="eastAsia" w:hAnsi="宋体" w:eastAsia="宋体" w:cs="宋体"/>
          <w:color w:val="auto"/>
          <w:sz w:val="24"/>
          <w:szCs w:val="24"/>
          <w:highlight w:val="none"/>
          <w:shd w:val="clear" w:color="auto" w:fill="auto"/>
        </w:rPr>
        <w:t>中的要求，有重大偏离或保留的；</w:t>
      </w:r>
    </w:p>
    <w:p>
      <w:pPr>
        <w:snapToGrid w:val="0"/>
        <w:spacing w:line="480" w:lineRule="exact"/>
        <w:ind w:firstLine="480" w:firstLineChars="200"/>
        <w:rPr>
          <w:rFonts w:hint="eastAsia" w:hAnsi="宋体" w:eastAsia="宋体" w:cs="宋体"/>
          <w:color w:val="auto"/>
          <w:sz w:val="24"/>
          <w:szCs w:val="24"/>
          <w:highlight w:val="none"/>
          <w:shd w:val="clear" w:color="auto" w:fill="auto"/>
          <w:lang w:eastAsia="zh-CN"/>
        </w:rPr>
      </w:pPr>
      <w:r>
        <w:rPr>
          <w:rFonts w:hint="eastAsia" w:hAnsi="宋体" w:eastAsia="宋体" w:cs="宋体"/>
          <w:color w:val="auto"/>
          <w:sz w:val="24"/>
          <w:szCs w:val="24"/>
          <w:highlight w:val="none"/>
          <w:shd w:val="clear" w:color="auto" w:fill="auto"/>
          <w:lang w:val="en-US" w:eastAsia="zh-CN"/>
        </w:rPr>
        <w:t>7.</w:t>
      </w:r>
      <w:r>
        <w:rPr>
          <w:rFonts w:hint="eastAsia" w:hAnsi="宋体" w:eastAsia="宋体" w:cs="宋体"/>
          <w:color w:val="auto"/>
          <w:sz w:val="24"/>
          <w:szCs w:val="24"/>
          <w:highlight w:val="none"/>
          <w:shd w:val="clear" w:color="auto" w:fill="auto"/>
          <w:lang w:eastAsia="zh-CN"/>
        </w:rPr>
        <w:t>供应商的商务技术部分得分相差悬殊，</w:t>
      </w:r>
      <w:r>
        <w:rPr>
          <w:rFonts w:hint="eastAsia" w:hAnsi="宋体" w:eastAsia="宋体" w:cs="宋体"/>
          <w:color w:val="auto"/>
          <w:sz w:val="24"/>
          <w:szCs w:val="24"/>
          <w:highlight w:val="none"/>
          <w:shd w:val="clear" w:color="auto" w:fill="auto"/>
          <w:lang w:val="en-US" w:eastAsia="zh-CN"/>
        </w:rPr>
        <w:t>磋商小组</w:t>
      </w:r>
      <w:r>
        <w:rPr>
          <w:rFonts w:hint="eastAsia" w:hAnsi="宋体" w:eastAsia="宋体" w:cs="宋体"/>
          <w:color w:val="auto"/>
          <w:sz w:val="24"/>
          <w:szCs w:val="24"/>
          <w:highlight w:val="none"/>
          <w:shd w:val="clear" w:color="auto" w:fill="auto"/>
          <w:lang w:eastAsia="zh-CN"/>
        </w:rPr>
        <w:t>一致认为得分畸低者没有实质性响应的。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8</w:t>
      </w:r>
      <w:r>
        <w:rPr>
          <w:rFonts w:hint="eastAsia" w:hAnsi="宋体" w:eastAsia="宋体" w:cs="宋体"/>
          <w:color w:val="auto"/>
          <w:sz w:val="24"/>
          <w:szCs w:val="24"/>
          <w:highlight w:val="none"/>
          <w:shd w:val="clear" w:color="auto" w:fill="auto"/>
        </w:rPr>
        <w:t>.磋商响应报价超出项目预算的；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9</w:t>
      </w:r>
      <w:r>
        <w:rPr>
          <w:rFonts w:hint="eastAsia" w:hAnsi="宋体" w:eastAsia="宋体" w:cs="宋体"/>
          <w:color w:val="auto"/>
          <w:sz w:val="24"/>
          <w:szCs w:val="24"/>
          <w:highlight w:val="none"/>
          <w:shd w:val="clear" w:color="auto" w:fill="auto"/>
        </w:rPr>
        <w:t>.被认定为低于成本报价磋商竞标的；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10</w:t>
      </w:r>
      <w:r>
        <w:rPr>
          <w:rFonts w:hint="eastAsia" w:hAnsi="宋体" w:eastAsia="宋体" w:cs="宋体"/>
          <w:color w:val="auto"/>
          <w:sz w:val="24"/>
          <w:szCs w:val="24"/>
          <w:highlight w:val="none"/>
          <w:shd w:val="clear" w:color="auto" w:fill="auto"/>
        </w:rPr>
        <w:t>.供应商的磋商报价高于自己前一轮的；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11</w:t>
      </w:r>
      <w:r>
        <w:rPr>
          <w:rFonts w:hint="eastAsia" w:hAnsi="宋体" w:eastAsia="宋体" w:cs="宋体"/>
          <w:color w:val="auto"/>
          <w:sz w:val="24"/>
          <w:szCs w:val="24"/>
          <w:highlight w:val="none"/>
          <w:shd w:val="clear" w:color="auto" w:fill="auto"/>
        </w:rPr>
        <w:t>.不符合法律、法规和磋商文件中规定的其他实质性响应要求的；</w:t>
      </w:r>
    </w:p>
    <w:p>
      <w:pPr>
        <w:snapToGrid w:val="0"/>
        <w:spacing w:line="480" w:lineRule="exact"/>
        <w:ind w:firstLine="480" w:firstLineChars="200"/>
        <w:rPr>
          <w:rFonts w:hint="eastAsia"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lang w:val="en-US" w:eastAsia="zh-CN"/>
        </w:rPr>
        <w:t>12</w:t>
      </w:r>
      <w:r>
        <w:rPr>
          <w:rFonts w:hint="eastAsia" w:hAnsi="宋体" w:eastAsia="宋体" w:cs="宋体"/>
          <w:color w:val="auto"/>
          <w:sz w:val="24"/>
          <w:szCs w:val="24"/>
          <w:highlight w:val="none"/>
          <w:shd w:val="clear" w:color="auto" w:fill="auto"/>
        </w:rPr>
        <w:t>.磋商小组依据法律法规可以认定为无效响应的其他情况。</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七、出现下列情形之一的，作废标处理</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1.供应商的报价均超出了采购预算，采购人不能支付的；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2.因情况变化，不再符合规定的竞争性磋商采购方式所适用情形的；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3.出现影响采购公正的违法、违规行为的；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4.因重大变故，采购任务取消的；</w:t>
      </w:r>
    </w:p>
    <w:p>
      <w:pPr>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5.磋商小组依据法律法规可以认定为废标的其他情况。</w:t>
      </w:r>
    </w:p>
    <w:p>
      <w:pPr>
        <w:snapToGrid w:val="0"/>
        <w:spacing w:line="480" w:lineRule="exact"/>
        <w:ind w:firstLine="482" w:firstLineChars="200"/>
        <w:outlineLvl w:val="1"/>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八、成交通知</w:t>
      </w:r>
    </w:p>
    <w:p>
      <w:pPr>
        <w:spacing w:line="480" w:lineRule="exact"/>
        <w:ind w:firstLine="484" w:firstLineChars="202"/>
        <w:rPr>
          <w:rFonts w:hAnsi="宋体" w:cs="宋体"/>
          <w:color w:val="auto"/>
          <w:kern w:val="0"/>
          <w:sz w:val="24"/>
          <w:szCs w:val="24"/>
          <w:highlight w:val="none"/>
          <w:shd w:val="clear" w:color="auto" w:fill="auto"/>
        </w:rPr>
      </w:pPr>
      <w:r>
        <w:rPr>
          <w:rFonts w:hint="eastAsia" w:hAnsi="宋体" w:cs="宋体"/>
          <w:color w:val="auto"/>
          <w:kern w:val="0"/>
          <w:sz w:val="24"/>
          <w:szCs w:val="24"/>
          <w:highlight w:val="none"/>
          <w:shd w:val="clear" w:color="auto" w:fill="auto"/>
        </w:rPr>
        <w:t>成交结果在</w:t>
      </w:r>
      <w:r>
        <w:rPr>
          <w:rFonts w:hint="eastAsia" w:hAnsi="宋体" w:cs="宋体"/>
          <w:color w:val="auto"/>
          <w:sz w:val="24"/>
          <w:szCs w:val="24"/>
          <w:highlight w:val="none"/>
          <w:shd w:val="clear" w:color="auto" w:fill="auto"/>
          <w:lang w:eastAsia="zh-CN"/>
        </w:rPr>
        <w:t>“南通市文化广电和旅游局-政府采购栏”“南通博物苑-资讯-招标信息栏”</w:t>
      </w:r>
      <w:r>
        <w:rPr>
          <w:rFonts w:hint="eastAsia" w:hAnsi="宋体" w:cs="宋体"/>
          <w:color w:val="auto"/>
          <w:kern w:val="0"/>
          <w:sz w:val="24"/>
          <w:szCs w:val="24"/>
          <w:highlight w:val="none"/>
          <w:shd w:val="clear" w:color="auto" w:fill="auto"/>
        </w:rPr>
        <w:t>公示1个工作日。《成交通知书》一经发出，采购人改变成交结果，或者成交供应商放弃成交的，各自承担相应的法律责任。《成交通知书》是采购合同的组成部分。</w:t>
      </w:r>
    </w:p>
    <w:p>
      <w:pPr>
        <w:pStyle w:val="12"/>
        <w:tabs>
          <w:tab w:val="left" w:pos="1050"/>
          <w:tab w:val="right" w:leader="dot" w:pos="9402"/>
        </w:tabs>
        <w:spacing w:line="520" w:lineRule="exact"/>
        <w:ind w:left="0" w:leftChars="0"/>
        <w:jc w:val="center"/>
        <w:outlineLvl w:val="0"/>
        <w:rPr>
          <w:rFonts w:hAnsi="宋体" w:cs="宋体"/>
          <w:b/>
          <w:iCs/>
          <w:color w:val="auto"/>
          <w:w w:val="80"/>
          <w:sz w:val="44"/>
          <w:szCs w:val="44"/>
          <w:highlight w:val="none"/>
          <w:shd w:val="clear" w:color="auto" w:fill="auto"/>
        </w:rPr>
      </w:pPr>
      <w:r>
        <w:rPr>
          <w:rFonts w:hint="eastAsia" w:hAnsi="宋体"/>
          <w:b/>
          <w:color w:val="auto"/>
          <w:w w:val="80"/>
          <w:kern w:val="44"/>
          <w:sz w:val="44"/>
          <w:szCs w:val="44"/>
          <w:highlight w:val="none"/>
          <w:shd w:val="clear" w:color="auto" w:fill="auto"/>
        </w:rPr>
        <w:br w:type="page"/>
      </w:r>
      <w:r>
        <w:rPr>
          <w:rFonts w:hint="eastAsia" w:hAnsi="宋体" w:cs="宋体"/>
          <w:b/>
          <w:iCs/>
          <w:color w:val="auto"/>
          <w:w w:val="80"/>
          <w:sz w:val="44"/>
          <w:szCs w:val="44"/>
          <w:highlight w:val="none"/>
          <w:shd w:val="clear" w:color="auto" w:fill="auto"/>
        </w:rPr>
        <w:t>第五章   合同授予</w:t>
      </w:r>
    </w:p>
    <w:p>
      <w:pPr>
        <w:spacing w:line="520" w:lineRule="exact"/>
        <w:ind w:firstLine="484" w:firstLineChars="202"/>
        <w:rPr>
          <w:rFonts w:hAnsi="宋体" w:cs="宋体"/>
          <w:color w:val="auto"/>
          <w:kern w:val="0"/>
          <w:sz w:val="28"/>
          <w:szCs w:val="28"/>
          <w:highlight w:val="none"/>
          <w:shd w:val="clear" w:color="auto" w:fill="auto"/>
        </w:rPr>
      </w:pPr>
      <w:r>
        <w:rPr>
          <w:rFonts w:hint="eastAsia" w:hAnsi="宋体" w:cs="宋体"/>
          <w:color w:val="auto"/>
          <w:sz w:val="24"/>
          <w:szCs w:val="24"/>
          <w:highlight w:val="none"/>
          <w:shd w:val="clear" w:color="auto" w:fill="auto"/>
        </w:rPr>
        <w:t>一、</w:t>
      </w:r>
      <w:r>
        <w:rPr>
          <w:rFonts w:hint="eastAsia" w:hAnsi="宋体" w:cs="宋体"/>
          <w:color w:val="auto"/>
          <w:kern w:val="0"/>
          <w:sz w:val="24"/>
          <w:szCs w:val="24"/>
          <w:highlight w:val="none"/>
          <w:shd w:val="clear" w:color="auto" w:fill="auto"/>
        </w:rPr>
        <w:t>成交供应商在《成交通知书》发出</w:t>
      </w:r>
      <w:r>
        <w:rPr>
          <w:rFonts w:hint="eastAsia" w:hAnsi="宋体" w:cs="宋体"/>
          <w:color w:val="auto"/>
          <w:sz w:val="24"/>
          <w:szCs w:val="24"/>
          <w:highlight w:val="none"/>
          <w:shd w:val="clear" w:color="auto" w:fill="auto"/>
        </w:rPr>
        <w:t>30天内</w:t>
      </w:r>
      <w:r>
        <w:rPr>
          <w:rFonts w:hint="eastAsia" w:hAnsi="宋体" w:cs="宋体"/>
          <w:color w:val="auto"/>
          <w:kern w:val="0"/>
          <w:sz w:val="24"/>
          <w:szCs w:val="24"/>
          <w:highlight w:val="none"/>
          <w:shd w:val="clear" w:color="auto" w:fill="auto"/>
        </w:rPr>
        <w:t xml:space="preserve">须按照磋商文件确定的事项签订采购合同。合同一式六份，采购人四份、供应商两份。所签合同不得对磋商文件作实质性修改。采购人不得向成交供应商提出不合理的要求作为签订合同的条件，不得与成交供应商私下订立背离磋商文件实质性内容的协议。 </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二、采购人按合同约定积极配合成交供应商履约，成交供应商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四、成交供应商出现违约情形，应当及时纠正或补偿；造成损失的，按合同约定追究违约责任；发现有假冒、伪劣、走私产品、商业贿赂等违法情形的，应由采购人移交工商、质监、公安等行政执法部门依法查处。</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五、不响应付款方式的，视同响应文件无效，按无效响应文件处理。</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六、付款方式详见磋商文件第三章。</w:t>
      </w:r>
    </w:p>
    <w:p>
      <w:pPr>
        <w:snapToGrid w:val="0"/>
        <w:spacing w:line="480" w:lineRule="exact"/>
        <w:ind w:firstLine="57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七、以上项目款的支付不计息。</w:t>
      </w:r>
    </w:p>
    <w:p>
      <w:pPr>
        <w:snapToGrid w:val="0"/>
        <w:spacing w:line="520" w:lineRule="exact"/>
        <w:ind w:firstLine="573"/>
        <w:jc w:val="center"/>
        <w:rPr>
          <w:rFonts w:hAnsi="宋体" w:cs="宋体"/>
          <w:color w:val="auto"/>
          <w:kern w:val="0"/>
          <w:sz w:val="28"/>
          <w:szCs w:val="28"/>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b/>
          <w:color w:val="auto"/>
          <w:w w:val="80"/>
          <w:kern w:val="44"/>
          <w:sz w:val="44"/>
          <w:szCs w:val="44"/>
          <w:highlight w:val="none"/>
          <w:shd w:val="clear" w:color="auto" w:fill="auto"/>
        </w:rPr>
      </w:pPr>
    </w:p>
    <w:p>
      <w:pPr>
        <w:snapToGrid w:val="0"/>
        <w:spacing w:line="520" w:lineRule="exact"/>
        <w:ind w:firstLine="573"/>
        <w:jc w:val="center"/>
        <w:rPr>
          <w:rFonts w:hAnsi="宋体"/>
          <w:color w:val="auto"/>
          <w:sz w:val="28"/>
          <w:szCs w:val="28"/>
          <w:highlight w:val="none"/>
          <w:shd w:val="clear" w:color="auto" w:fill="auto"/>
        </w:rPr>
      </w:pPr>
      <w:r>
        <w:rPr>
          <w:rFonts w:hAnsi="宋体"/>
          <w:b/>
          <w:color w:val="auto"/>
          <w:w w:val="80"/>
          <w:kern w:val="44"/>
          <w:sz w:val="44"/>
          <w:szCs w:val="44"/>
          <w:highlight w:val="none"/>
          <w:shd w:val="clear" w:color="auto" w:fill="auto"/>
        </w:rPr>
        <w:br w:type="page"/>
      </w:r>
      <w:r>
        <w:rPr>
          <w:rFonts w:hAnsi="宋体"/>
          <w:b/>
          <w:color w:val="auto"/>
          <w:w w:val="80"/>
          <w:kern w:val="44"/>
          <w:sz w:val="44"/>
          <w:szCs w:val="44"/>
          <w:highlight w:val="none"/>
          <w:shd w:val="clear" w:color="auto" w:fill="auto"/>
        </w:rPr>
        <w:t>第</w:t>
      </w:r>
      <w:r>
        <w:rPr>
          <w:rFonts w:hint="eastAsia" w:hAnsi="宋体"/>
          <w:b/>
          <w:color w:val="auto"/>
          <w:w w:val="80"/>
          <w:kern w:val="44"/>
          <w:sz w:val="44"/>
          <w:szCs w:val="44"/>
          <w:highlight w:val="none"/>
          <w:shd w:val="clear" w:color="auto" w:fill="auto"/>
        </w:rPr>
        <w:t>六</w:t>
      </w:r>
      <w:r>
        <w:rPr>
          <w:rFonts w:hAnsi="宋体"/>
          <w:b/>
          <w:color w:val="auto"/>
          <w:w w:val="80"/>
          <w:kern w:val="44"/>
          <w:sz w:val="44"/>
          <w:szCs w:val="44"/>
          <w:highlight w:val="none"/>
          <w:shd w:val="clear" w:color="auto" w:fill="auto"/>
        </w:rPr>
        <w:t xml:space="preserve">章 </w:t>
      </w:r>
      <w:r>
        <w:rPr>
          <w:rFonts w:hint="eastAsia" w:hAnsi="宋体"/>
          <w:b/>
          <w:color w:val="auto"/>
          <w:w w:val="80"/>
          <w:kern w:val="44"/>
          <w:sz w:val="44"/>
          <w:szCs w:val="44"/>
          <w:highlight w:val="none"/>
          <w:shd w:val="clear" w:color="auto" w:fill="auto"/>
        </w:rPr>
        <w:t xml:space="preserve"> 质疑提出和处理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一、质疑的提出</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1.质疑人必须是直接参加本次磋商活动的当事人。</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2.获取磋商文件的供应商应根据第二章“供应商须知”中第一条第4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  </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提出质疑时，必须坚持“谁主张，谁举证”“实事求是”的原则，不能臆测。属于须由法定部门调查、侦查或先行作出相关认定的事项，质疑人应当依法申请具有法定职权的部门查清、认定，并将相关结果提供给采购人或采购代理机构。采购人或采购代理机构不具有法定调查、认定权限。</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对本次招标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对不能提供相关佐证材料的、涉及商业秘密的、非书面形式的、非送达的、匿名的《质疑函》将不予受理。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相关佐证材料要具备客观性、关联性、合法性，无法查实的（如宣传册、媒体报道、猜测、推理等）不能作为佐证材料。</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采购人或采购代理机构不负责搜集相关佐证材料等工作。</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二、《质疑函》的受理和回复</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1.《质疑函》须由质疑人的法定代表人或参加本次磋商被授权人送达采购人和采购代理机构。</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对符合提出质疑要求的，采购人、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3.对不符合提出质疑要求的，出具《质疑退回通知书》并提出相关补充材料要求，质疑人未在规定的时间内提供补充佐证材料的，视同放弃质疑。</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4.采购人、采购代理机构负责将质疑人提出的质疑相关材料提供给相关专家或评审小组审核，并将审核意见回复质疑人。</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5.因质疑情况复杂，组织论证或审查时间较长的，采购人、采购代理机构以书面形式通知质疑人，可适当延长质疑回复处理时间。</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三、质疑处理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1.质疑成立的处理。采购人或采购代理机构终止采购，并建议有关部门给相关当事人予以处理。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2.质疑不成立的处理。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1）质疑人书面《申请撤回质疑函》的，不作违约处理。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2）质疑人在规定的时间内不配合进行质疑调查处理的，按自动撤回《质疑函》处理。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3）质疑人不按《质疑函》格式就提出质疑的，作违约处理。同时，视情列入不良供应商名单。</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4）质疑人虽提供了相关佐证材料，但不能证明其质疑成立的，采购人或采购代理机构请质疑人补充相关佐证材料，仍不能证明其质疑成立的，作违约处理。并将其列入不良供应商名单。</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5）质疑人不能提供相关佐证材料的，采购人、采购代理机构已指出，质疑人仍然坚持提出质疑的，作违约处理。同时，列入不良供应商名单。</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对明显有违事实的、经相关专家或评审小组认定无依据的、经其他供应商举证无依据的质疑，作违约处理，列入不良供应商名单；同时，对其中每一项不成立的质疑给予质疑人1年内禁入本区域内的采购活动的违约处理，依次类推；视情在相关媒体予以披露。</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7）质疑人承担使用虚假材料或恶意方式质疑的法律责任。</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四、无佐证材料的举报作违约处理。供应商不得进行不提供相关佐证材料（含无法查实的如宣传册、媒体报道、猜测、推理等）向有关部门的举报，否则作违约处理。同时对其在1至3年内禁入由采购人组织的采购活动的违约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五、投诉不成立的作违约处理。供应商进行质疑后，采购人回复质疑不成立，供应商仍进行投诉的，并最终投诉不成立的，作违约处理。采购人有权对其在1至3年内禁入由采购人组织的采购活动的违约处理。</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六、《质疑函》《质疑回复函》，质疑、举报、投诉不成立的等相关情况，视情在相关媒体予以披露。并建议相关机构对该供应商同步实施1至3年内禁入。</w:t>
      </w:r>
    </w:p>
    <w:p>
      <w:pPr>
        <w:adjustRightInd w:val="0"/>
        <w:snapToGrid w:val="0"/>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七、质疑供应商对采购人或代理机构的答复不满意或者采购人或代理机构未在规定的时间内作出答复的，可以在答复期满后15个工作日内向监督管理部门投诉。</w:t>
      </w:r>
    </w:p>
    <w:p>
      <w:pPr>
        <w:spacing w:line="500" w:lineRule="exact"/>
        <w:ind w:firstLine="480" w:firstLineChars="200"/>
        <w:rPr>
          <w:rFonts w:hAnsi="宋体"/>
          <w:bCs/>
          <w:color w:val="auto"/>
          <w:sz w:val="24"/>
          <w:szCs w:val="24"/>
          <w:highlight w:val="none"/>
          <w:shd w:val="clear" w:color="auto" w:fill="auto"/>
        </w:rPr>
      </w:pPr>
    </w:p>
    <w:p>
      <w:pPr>
        <w:pStyle w:val="2"/>
        <w:keepNext w:val="0"/>
        <w:keepLines w:val="0"/>
        <w:adjustRightInd w:val="0"/>
        <w:snapToGrid w:val="0"/>
        <w:spacing w:before="0" w:after="0" w:line="800" w:lineRule="exact"/>
        <w:jc w:val="center"/>
        <w:textAlignment w:val="baseline"/>
        <w:rPr>
          <w:rFonts w:ascii="宋体" w:hAnsi="宋体" w:eastAsia="宋体"/>
          <w:color w:val="auto"/>
          <w:w w:val="80"/>
          <w:szCs w:val="44"/>
          <w:highlight w:val="none"/>
          <w:shd w:val="clear" w:color="auto" w:fill="auto"/>
        </w:rPr>
      </w:pPr>
      <w:r>
        <w:rPr>
          <w:rFonts w:ascii="宋体" w:hAnsi="宋体" w:eastAsia="宋体"/>
          <w:color w:val="auto"/>
          <w:w w:val="80"/>
          <w:szCs w:val="44"/>
          <w:highlight w:val="none"/>
          <w:shd w:val="clear" w:color="auto" w:fill="auto"/>
        </w:rPr>
        <w:br w:type="page"/>
      </w:r>
      <w:r>
        <w:rPr>
          <w:rFonts w:hint="eastAsia" w:ascii="宋体" w:hAnsi="宋体" w:eastAsia="宋体"/>
          <w:color w:val="auto"/>
          <w:w w:val="80"/>
          <w:szCs w:val="44"/>
          <w:highlight w:val="none"/>
          <w:shd w:val="clear" w:color="auto" w:fill="auto"/>
        </w:rPr>
        <w:t>第七章  响应文件组成及格式</w:t>
      </w:r>
    </w:p>
    <w:p>
      <w:pPr>
        <w:adjustRightInd w:val="0"/>
        <w:snapToGrid w:val="0"/>
        <w:spacing w:line="480" w:lineRule="exact"/>
        <w:ind w:firstLine="487" w:firstLineChars="202"/>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响应文件由资格审查文件、</w:t>
      </w:r>
      <w:r>
        <w:rPr>
          <w:rFonts w:hint="eastAsia" w:hAnsi="宋体" w:cs="宋体"/>
          <w:b/>
          <w:bCs/>
          <w:color w:val="auto"/>
          <w:sz w:val="24"/>
          <w:szCs w:val="24"/>
          <w:highlight w:val="none"/>
          <w:shd w:val="clear" w:color="auto" w:fill="auto"/>
          <w:lang w:val="en-US" w:eastAsia="zh-CN"/>
        </w:rPr>
        <w:t>商务</w:t>
      </w:r>
      <w:r>
        <w:rPr>
          <w:rFonts w:hint="eastAsia" w:hAnsi="宋体" w:cs="宋体"/>
          <w:b/>
          <w:bCs/>
          <w:color w:val="auto"/>
          <w:sz w:val="24"/>
          <w:szCs w:val="24"/>
          <w:highlight w:val="none"/>
          <w:shd w:val="clear" w:color="auto" w:fill="auto"/>
        </w:rPr>
        <w:t>技术响应文件、</w:t>
      </w:r>
      <w:r>
        <w:rPr>
          <w:rFonts w:hint="eastAsia" w:hAnsi="宋体" w:cs="宋体"/>
          <w:b/>
          <w:bCs/>
          <w:color w:val="auto"/>
          <w:sz w:val="24"/>
          <w:szCs w:val="24"/>
          <w:highlight w:val="none"/>
          <w:shd w:val="clear" w:color="auto" w:fill="auto"/>
          <w:lang w:eastAsia="zh-CN"/>
        </w:rPr>
        <w:t>报价响应文件</w:t>
      </w:r>
      <w:r>
        <w:rPr>
          <w:rFonts w:hint="eastAsia" w:ascii="宋体" w:hAnsi="宋体" w:cs="宋体"/>
          <w:b/>
          <w:bCs/>
          <w:color w:val="auto"/>
          <w:sz w:val="24"/>
          <w:szCs w:val="24"/>
          <w:highlight w:val="none"/>
          <w:shd w:val="clear" w:color="auto" w:fill="auto"/>
        </w:rPr>
        <w:t>、响应文件电子版四部分组成</w:t>
      </w:r>
      <w:r>
        <w:rPr>
          <w:rFonts w:hint="eastAsia" w:hAnsi="宋体" w:cs="宋体"/>
          <w:b/>
          <w:bCs/>
          <w:color w:val="auto"/>
          <w:sz w:val="24"/>
          <w:szCs w:val="24"/>
          <w:highlight w:val="none"/>
          <w:shd w:val="clear" w:color="auto" w:fill="auto"/>
        </w:rPr>
        <w:t xml:space="preserve">。本次竞争性磋商采用资格后审方式，供应商须将资格审查文件作为响应文件组成部分，按磋商文件要求装订密封后一起递交。 </w:t>
      </w:r>
    </w:p>
    <w:p>
      <w:pPr>
        <w:adjustRightInd w:val="0"/>
        <w:snapToGrid w:val="0"/>
        <w:spacing w:line="480" w:lineRule="exact"/>
        <w:ind w:firstLine="487" w:firstLineChars="202"/>
        <w:jc w:val="left"/>
        <w:outlineLvl w:val="1"/>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一、资格审查文件（单独密封）：</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提供证明材料或承诺函，承诺函格式自拟）。</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rPr>
        <w:t>2.供应商提供有效的营业执照等具有独立承担民事责任能力的证明材料复印件。</w:t>
      </w:r>
    </w:p>
    <w:p>
      <w:pPr>
        <w:spacing w:line="480" w:lineRule="exact"/>
        <w:ind w:firstLine="480" w:firstLineChars="200"/>
        <w:rPr>
          <w:rFonts w:hint="eastAsia" w:hAnsi="宋体"/>
          <w:color w:val="auto"/>
          <w:sz w:val="24"/>
          <w:szCs w:val="24"/>
          <w:highlight w:val="none"/>
          <w:shd w:val="clear" w:color="auto" w:fill="auto"/>
        </w:rPr>
      </w:pPr>
      <w:r>
        <w:rPr>
          <w:rFonts w:hint="eastAsia" w:hAnsi="宋体"/>
          <w:color w:val="auto"/>
          <w:sz w:val="24"/>
          <w:szCs w:val="24"/>
          <w:highlight w:val="none"/>
          <w:shd w:val="clear" w:color="auto" w:fill="auto"/>
        </w:rPr>
        <w:t>3.</w:t>
      </w:r>
      <w:r>
        <w:rPr>
          <w:rFonts w:hint="eastAsia" w:hAnsi="宋体"/>
          <w:color w:val="auto"/>
          <w:sz w:val="24"/>
          <w:szCs w:val="24"/>
          <w:highlight w:val="none"/>
          <w:shd w:val="clear" w:color="auto" w:fill="auto"/>
          <w:lang w:val="en-US" w:eastAsia="zh-CN"/>
        </w:rPr>
        <w:t>供应商需具备有效期内的</w:t>
      </w:r>
      <w:r>
        <w:rPr>
          <w:rFonts w:hint="eastAsia" w:hAnsi="宋体"/>
          <w:color w:val="auto"/>
          <w:sz w:val="24"/>
          <w:szCs w:val="24"/>
          <w:highlight w:val="none"/>
          <w:shd w:val="clear" w:color="auto" w:fill="auto"/>
        </w:rPr>
        <w:t>道路运输许可证</w:t>
      </w:r>
      <w:r>
        <w:rPr>
          <w:rFonts w:hint="eastAsia" w:hAnsi="宋体"/>
          <w:color w:val="auto"/>
          <w:sz w:val="24"/>
          <w:szCs w:val="24"/>
          <w:highlight w:val="none"/>
          <w:shd w:val="clear" w:color="auto" w:fill="auto"/>
          <w:lang w:val="en-US" w:eastAsia="zh-CN"/>
        </w:rPr>
        <w:t>。</w:t>
      </w:r>
    </w:p>
    <w:p>
      <w:pPr>
        <w:spacing w:line="480" w:lineRule="exact"/>
        <w:ind w:firstLine="480" w:firstLineChars="200"/>
        <w:rPr>
          <w:rFonts w:hint="eastAsia" w:hAnsi="宋体"/>
          <w:color w:val="auto"/>
          <w:sz w:val="24"/>
          <w:szCs w:val="24"/>
          <w:highlight w:val="none"/>
          <w:shd w:val="clear" w:color="auto" w:fill="auto"/>
        </w:rPr>
      </w:pPr>
      <w:r>
        <w:rPr>
          <w:rFonts w:hint="eastAsia" w:hAnsi="宋体"/>
          <w:color w:val="auto"/>
          <w:sz w:val="24"/>
          <w:szCs w:val="24"/>
          <w:highlight w:val="none"/>
          <w:shd w:val="clear" w:color="auto" w:fill="auto"/>
          <w:lang w:val="en-US" w:eastAsia="zh-CN"/>
        </w:rPr>
        <w:t>4.</w:t>
      </w:r>
      <w:r>
        <w:rPr>
          <w:rFonts w:hint="eastAsia" w:hAnsi="宋体"/>
          <w:color w:val="auto"/>
          <w:sz w:val="24"/>
          <w:szCs w:val="24"/>
          <w:highlight w:val="none"/>
          <w:shd w:val="clear" w:color="auto" w:fill="auto"/>
        </w:rPr>
        <w:t>供应商法定代表人参加磋商的，必须提供法定代表人身份证明及法定代表人本人身份证复印件；非法定代表人参加磋商的，必须提供法定代表人签字或盖章的授权委托书及法定代表人、被授权人的两人身份证的复印件。</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lang w:val="en-US" w:eastAsia="zh-CN"/>
        </w:rPr>
        <w:t>5.</w:t>
      </w:r>
      <w:r>
        <w:rPr>
          <w:rFonts w:hint="eastAsia" w:hAnsi="宋体"/>
          <w:color w:val="auto"/>
          <w:sz w:val="24"/>
          <w:szCs w:val="24"/>
          <w:highlight w:val="none"/>
          <w:shd w:val="clear" w:color="auto" w:fill="auto"/>
        </w:rPr>
        <w:t>供应商须提供参与本次项目采购活动前三年内，在经营活动中没有重大违法记录的书面《无重大违法记录声明函》（</w:t>
      </w:r>
      <w:r>
        <w:rPr>
          <w:rFonts w:hint="eastAsia" w:hAnsi="宋体"/>
          <w:color w:val="auto"/>
          <w:sz w:val="24"/>
          <w:szCs w:val="24"/>
          <w:highlight w:val="none"/>
          <w:shd w:val="clear" w:color="auto" w:fill="auto"/>
          <w:lang w:eastAsia="zh-CN"/>
        </w:rPr>
        <w:t>格式参见附件</w:t>
      </w:r>
      <w:r>
        <w:rPr>
          <w:rFonts w:hint="eastAsia" w:hAnsi="宋体"/>
          <w:color w:val="auto"/>
          <w:sz w:val="24"/>
          <w:szCs w:val="24"/>
          <w:highlight w:val="none"/>
          <w:shd w:val="clear" w:color="auto" w:fill="auto"/>
        </w:rPr>
        <w:t>）。</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lang w:val="en-US" w:eastAsia="zh-CN"/>
        </w:rPr>
        <w:t>6</w:t>
      </w:r>
      <w:r>
        <w:rPr>
          <w:rFonts w:hint="eastAsia" w:hAnsi="宋体"/>
          <w:color w:val="auto"/>
          <w:sz w:val="24"/>
          <w:szCs w:val="24"/>
          <w:highlight w:val="none"/>
          <w:shd w:val="clear" w:color="auto" w:fill="auto"/>
        </w:rPr>
        <w:t>.关于资格文件的声明函（</w:t>
      </w:r>
      <w:r>
        <w:rPr>
          <w:rFonts w:hint="eastAsia" w:hAnsi="宋体"/>
          <w:color w:val="auto"/>
          <w:sz w:val="24"/>
          <w:szCs w:val="24"/>
          <w:highlight w:val="none"/>
          <w:shd w:val="clear" w:color="auto" w:fill="auto"/>
          <w:lang w:eastAsia="zh-CN"/>
        </w:rPr>
        <w:t>格式参见附件</w:t>
      </w:r>
      <w:r>
        <w:rPr>
          <w:rFonts w:hint="eastAsia" w:hAnsi="宋体"/>
          <w:color w:val="auto"/>
          <w:sz w:val="24"/>
          <w:szCs w:val="24"/>
          <w:highlight w:val="none"/>
          <w:shd w:val="clear" w:color="auto" w:fill="auto"/>
        </w:rPr>
        <w:t>）。</w:t>
      </w:r>
    </w:p>
    <w:p>
      <w:pPr>
        <w:adjustRightInd w:val="0"/>
        <w:snapToGrid w:val="0"/>
        <w:spacing w:line="400" w:lineRule="exact"/>
        <w:ind w:firstLine="482" w:firstLineChars="200"/>
        <w:jc w:val="left"/>
        <w:rPr>
          <w:rFonts w:hAnsi="宋体"/>
          <w:b/>
          <w:color w:val="auto"/>
          <w:sz w:val="24"/>
          <w:szCs w:val="24"/>
          <w:highlight w:val="none"/>
          <w:shd w:val="clear" w:color="auto" w:fill="auto"/>
        </w:rPr>
      </w:pPr>
      <w:r>
        <w:rPr>
          <w:rFonts w:hint="eastAsia" w:hAnsi="宋体"/>
          <w:b/>
          <w:color w:val="auto"/>
          <w:sz w:val="24"/>
          <w:szCs w:val="24"/>
          <w:highlight w:val="none"/>
          <w:shd w:val="clear" w:color="auto" w:fill="auto"/>
        </w:rPr>
        <w:t>以上材料如为复印件均需加盖供应商公章。</w:t>
      </w:r>
    </w:p>
    <w:p>
      <w:pPr>
        <w:spacing w:line="480" w:lineRule="exact"/>
        <w:ind w:firstLine="482" w:firstLineChars="200"/>
        <w:rPr>
          <w:rFonts w:hAnsi="宋体"/>
          <w:b/>
          <w:bCs/>
          <w:color w:val="auto"/>
          <w:sz w:val="24"/>
          <w:szCs w:val="24"/>
          <w:highlight w:val="none"/>
          <w:shd w:val="clear" w:color="auto" w:fill="auto"/>
        </w:rPr>
      </w:pPr>
      <w:r>
        <w:rPr>
          <w:rFonts w:hint="eastAsia" w:hAnsi="宋体"/>
          <w:b/>
          <w:bCs/>
          <w:color w:val="auto"/>
          <w:sz w:val="24"/>
          <w:szCs w:val="24"/>
          <w:highlight w:val="none"/>
          <w:shd w:val="clear" w:color="auto" w:fill="auto"/>
        </w:rPr>
        <w:t>二、</w:t>
      </w:r>
      <w:r>
        <w:rPr>
          <w:rFonts w:hint="eastAsia" w:hAnsi="宋体"/>
          <w:b/>
          <w:bCs/>
          <w:color w:val="auto"/>
          <w:sz w:val="24"/>
          <w:szCs w:val="24"/>
          <w:highlight w:val="none"/>
          <w:shd w:val="clear" w:color="auto" w:fill="auto"/>
          <w:lang w:val="en-US" w:eastAsia="zh-CN"/>
        </w:rPr>
        <w:t>商务</w:t>
      </w:r>
      <w:r>
        <w:rPr>
          <w:rFonts w:hint="eastAsia" w:hAnsi="宋体"/>
          <w:b/>
          <w:bCs/>
          <w:color w:val="auto"/>
          <w:sz w:val="24"/>
          <w:szCs w:val="24"/>
          <w:highlight w:val="none"/>
          <w:shd w:val="clear" w:color="auto" w:fill="auto"/>
        </w:rPr>
        <w:t>技术响应文件（单独密封）：</w:t>
      </w:r>
    </w:p>
    <w:p>
      <w:pPr>
        <w:adjustRightInd w:val="0"/>
        <w:snapToGrid w:val="0"/>
        <w:spacing w:line="480" w:lineRule="exact"/>
        <w:ind w:firstLine="484" w:firstLineChars="202"/>
        <w:jc w:val="left"/>
        <w:rPr>
          <w:rFonts w:hAnsi="宋体" w:cs="宋体"/>
          <w:bCs/>
          <w:color w:val="auto"/>
          <w:sz w:val="24"/>
          <w:szCs w:val="24"/>
          <w:highlight w:val="none"/>
          <w:shd w:val="clear" w:color="auto" w:fill="auto"/>
        </w:rPr>
      </w:pPr>
      <w:r>
        <w:rPr>
          <w:rFonts w:hint="eastAsia" w:ascii="Times New Roman" w:hAnsi="宋体" w:cs="Times New Roman"/>
          <w:color w:val="auto"/>
          <w:sz w:val="24"/>
          <w:szCs w:val="24"/>
          <w:highlight w:val="none"/>
          <w:shd w:val="clear" w:color="auto" w:fill="auto"/>
          <w:lang w:eastAsia="zh-CN"/>
        </w:rPr>
        <w:t>1.</w:t>
      </w:r>
      <w:r>
        <w:rPr>
          <w:rFonts w:hint="eastAsia" w:hAnsi="宋体" w:cs="宋体"/>
          <w:bCs/>
          <w:color w:val="auto"/>
          <w:sz w:val="24"/>
          <w:szCs w:val="24"/>
          <w:highlight w:val="none"/>
          <w:shd w:val="clear" w:color="auto" w:fill="auto"/>
        </w:rPr>
        <w:t>磋商文件中所涉及的事项需提供的所有资料；</w:t>
      </w:r>
    </w:p>
    <w:p>
      <w:pPr>
        <w:adjustRightInd w:val="0"/>
        <w:snapToGrid w:val="0"/>
        <w:spacing w:line="480" w:lineRule="exact"/>
        <w:ind w:firstLine="484" w:firstLineChars="202"/>
        <w:jc w:val="left"/>
        <w:rPr>
          <w:rFonts w:hAnsi="宋体" w:cs="宋体"/>
          <w:bCs/>
          <w:color w:val="auto"/>
          <w:sz w:val="24"/>
          <w:szCs w:val="24"/>
          <w:highlight w:val="none"/>
          <w:shd w:val="clear" w:color="auto" w:fill="auto"/>
        </w:rPr>
      </w:pPr>
      <w:r>
        <w:rPr>
          <w:rFonts w:hint="eastAsia" w:hAnsi="宋体" w:cs="宋体"/>
          <w:bCs/>
          <w:color w:val="auto"/>
          <w:sz w:val="24"/>
          <w:szCs w:val="24"/>
          <w:highlight w:val="none"/>
          <w:shd w:val="clear" w:color="auto" w:fill="auto"/>
          <w:lang w:val="en-US" w:eastAsia="zh-CN"/>
        </w:rPr>
        <w:t>2</w:t>
      </w:r>
      <w:r>
        <w:rPr>
          <w:rFonts w:hint="eastAsia" w:hAnsi="宋体" w:cs="宋体"/>
          <w:bCs/>
          <w:color w:val="auto"/>
          <w:sz w:val="24"/>
          <w:szCs w:val="24"/>
          <w:highlight w:val="none"/>
          <w:shd w:val="clear" w:color="auto" w:fill="auto"/>
        </w:rPr>
        <w:t>.磋商文件中未涉及的事项，供应商认为需要提交的其他资料。</w:t>
      </w:r>
    </w:p>
    <w:p>
      <w:pPr>
        <w:adjustRightInd w:val="0"/>
        <w:snapToGrid w:val="0"/>
        <w:spacing w:line="400" w:lineRule="exact"/>
        <w:ind w:firstLine="482" w:firstLineChars="200"/>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特别提醒：“资格审查文件”“</w:t>
      </w:r>
      <w:r>
        <w:rPr>
          <w:rFonts w:hint="eastAsia" w:hAnsi="宋体" w:cs="宋体"/>
          <w:b/>
          <w:bCs/>
          <w:color w:val="auto"/>
          <w:sz w:val="24"/>
          <w:szCs w:val="24"/>
          <w:highlight w:val="none"/>
          <w:shd w:val="clear" w:color="auto" w:fill="auto"/>
          <w:lang w:val="en-US" w:eastAsia="zh-CN"/>
        </w:rPr>
        <w:t>商务</w:t>
      </w:r>
      <w:r>
        <w:rPr>
          <w:rFonts w:hint="eastAsia" w:hAnsi="宋体" w:cs="宋体"/>
          <w:b/>
          <w:bCs/>
          <w:color w:val="auto"/>
          <w:sz w:val="24"/>
          <w:szCs w:val="24"/>
          <w:highlight w:val="none"/>
          <w:shd w:val="clear" w:color="auto" w:fill="auto"/>
        </w:rPr>
        <w:t xml:space="preserve">技术响应文件”所须提供的材料按磋商文件要求装订，密封，递交。 </w:t>
      </w:r>
    </w:p>
    <w:p>
      <w:pPr>
        <w:adjustRightInd w:val="0"/>
        <w:snapToGrid w:val="0"/>
        <w:spacing w:line="480" w:lineRule="exact"/>
        <w:ind w:firstLine="482" w:firstLineChars="200"/>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三、</w:t>
      </w:r>
      <w:r>
        <w:rPr>
          <w:rFonts w:hint="eastAsia" w:hAnsi="宋体" w:cs="宋体"/>
          <w:b/>
          <w:bCs/>
          <w:color w:val="auto"/>
          <w:sz w:val="24"/>
          <w:szCs w:val="24"/>
          <w:highlight w:val="none"/>
          <w:shd w:val="clear" w:color="auto" w:fill="auto"/>
          <w:lang w:eastAsia="zh-CN"/>
        </w:rPr>
        <w:t>报价响应文件</w:t>
      </w:r>
      <w:r>
        <w:rPr>
          <w:rFonts w:hint="eastAsia" w:hAnsi="宋体" w:cs="宋体"/>
          <w:b/>
          <w:bCs/>
          <w:color w:val="auto"/>
          <w:sz w:val="24"/>
          <w:szCs w:val="24"/>
          <w:highlight w:val="none"/>
          <w:shd w:val="clear" w:color="auto" w:fill="auto"/>
        </w:rPr>
        <w:t>（单独密封）</w:t>
      </w:r>
    </w:p>
    <w:p>
      <w:pPr>
        <w:spacing w:line="48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1.竞争性磋商响应函（</w:t>
      </w:r>
      <w:r>
        <w:rPr>
          <w:rFonts w:hint="eastAsia" w:hAnsi="宋体" w:cs="宋体"/>
          <w:color w:val="auto"/>
          <w:sz w:val="24"/>
          <w:szCs w:val="24"/>
          <w:highlight w:val="none"/>
          <w:shd w:val="clear" w:color="auto" w:fill="auto"/>
          <w:lang w:eastAsia="zh-CN"/>
        </w:rPr>
        <w:t>格式参见附件</w:t>
      </w:r>
      <w:r>
        <w:rPr>
          <w:rFonts w:hint="eastAsia" w:hAnsi="宋体" w:cs="宋体"/>
          <w:color w:val="auto"/>
          <w:sz w:val="24"/>
          <w:szCs w:val="24"/>
          <w:highlight w:val="none"/>
          <w:shd w:val="clear" w:color="auto" w:fill="auto"/>
        </w:rPr>
        <w:t>）；</w:t>
      </w:r>
    </w:p>
    <w:p>
      <w:pPr>
        <w:spacing w:line="480" w:lineRule="exact"/>
        <w:ind w:firstLine="480" w:firstLineChars="200"/>
        <w:rPr>
          <w:rFonts w:hint="eastAsia" w:hAnsi="宋体" w:eastAsia="宋体" w:cs="宋体"/>
          <w:color w:val="auto"/>
          <w:sz w:val="24"/>
          <w:szCs w:val="24"/>
          <w:highlight w:val="none"/>
          <w:shd w:val="clear" w:color="auto" w:fill="auto"/>
          <w:lang w:eastAsia="zh-CN"/>
        </w:rPr>
      </w:pPr>
      <w:r>
        <w:rPr>
          <w:rFonts w:hint="eastAsia" w:hAnsi="宋体" w:cs="宋体"/>
          <w:color w:val="auto"/>
          <w:sz w:val="24"/>
          <w:szCs w:val="24"/>
          <w:highlight w:val="none"/>
          <w:shd w:val="clear" w:color="auto" w:fill="auto"/>
        </w:rPr>
        <w:t>2.磋商响应报价表（</w:t>
      </w:r>
      <w:r>
        <w:rPr>
          <w:rFonts w:hint="eastAsia" w:hAnsi="宋体" w:cs="宋体"/>
          <w:color w:val="auto"/>
          <w:sz w:val="24"/>
          <w:szCs w:val="24"/>
          <w:highlight w:val="none"/>
          <w:shd w:val="clear" w:color="auto" w:fill="auto"/>
          <w:lang w:eastAsia="zh-CN"/>
        </w:rPr>
        <w:t>格式参见附件</w:t>
      </w:r>
      <w:r>
        <w:rPr>
          <w:rFonts w:hint="eastAsia" w:hAnsi="宋体" w:cs="宋体"/>
          <w:color w:val="auto"/>
          <w:sz w:val="24"/>
          <w:szCs w:val="24"/>
          <w:highlight w:val="none"/>
          <w:shd w:val="clear" w:color="auto" w:fill="auto"/>
        </w:rPr>
        <w:t>）</w:t>
      </w:r>
      <w:r>
        <w:rPr>
          <w:rFonts w:hint="eastAsia" w:hAnsi="宋体" w:cs="宋体"/>
          <w:color w:val="auto"/>
          <w:sz w:val="24"/>
          <w:szCs w:val="24"/>
          <w:highlight w:val="none"/>
          <w:shd w:val="clear" w:color="auto" w:fill="auto"/>
          <w:lang w:eastAsia="zh-CN"/>
        </w:rPr>
        <w:t>。</w:t>
      </w:r>
    </w:p>
    <w:p>
      <w:pPr>
        <w:shd w:val="clear"/>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3.磋商响应报价明细表（</w:t>
      </w:r>
      <w:r>
        <w:rPr>
          <w:rFonts w:hint="eastAsia" w:hAnsi="宋体" w:cs="宋体"/>
          <w:color w:val="auto"/>
          <w:sz w:val="24"/>
          <w:szCs w:val="24"/>
          <w:highlight w:val="none"/>
          <w:shd w:val="clear" w:color="auto" w:fill="auto"/>
          <w:lang w:eastAsia="zh-CN"/>
        </w:rPr>
        <w:t>格式</w:t>
      </w:r>
      <w:r>
        <w:rPr>
          <w:rFonts w:hint="eastAsia" w:hAnsi="宋体" w:cs="宋体"/>
          <w:color w:val="auto"/>
          <w:sz w:val="24"/>
          <w:szCs w:val="24"/>
          <w:highlight w:val="none"/>
          <w:shd w:val="clear" w:color="auto" w:fill="auto"/>
          <w:lang w:val="en-US" w:eastAsia="zh-CN"/>
        </w:rPr>
        <w:t>自拟</w:t>
      </w:r>
      <w:r>
        <w:rPr>
          <w:rFonts w:hint="eastAsia" w:hAnsi="宋体" w:cs="宋体"/>
          <w:color w:val="auto"/>
          <w:sz w:val="24"/>
          <w:szCs w:val="24"/>
          <w:highlight w:val="none"/>
        </w:rPr>
        <w:t>）。</w:t>
      </w:r>
    </w:p>
    <w:p>
      <w:pPr>
        <w:adjustRightInd w:val="0"/>
        <w:snapToGrid w:val="0"/>
        <w:spacing w:line="480" w:lineRule="exact"/>
        <w:ind w:firstLine="482" w:firstLineChars="200"/>
        <w:jc w:val="left"/>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四、响应文件电子版（单独密封）</w:t>
      </w:r>
    </w:p>
    <w:p>
      <w:pPr>
        <w:spacing w:line="480" w:lineRule="exact"/>
        <w:ind w:firstLine="480" w:firstLineChars="200"/>
        <w:rPr>
          <w:rFonts w:hAnsi="宋体"/>
          <w:color w:val="auto"/>
          <w:sz w:val="24"/>
          <w:szCs w:val="24"/>
          <w:highlight w:val="none"/>
          <w:shd w:val="clear" w:color="auto" w:fill="auto"/>
        </w:rPr>
      </w:pPr>
      <w:r>
        <w:rPr>
          <w:rFonts w:hint="eastAsia" w:hAnsi="宋体"/>
          <w:color w:val="auto"/>
          <w:sz w:val="24"/>
          <w:szCs w:val="24"/>
          <w:highlight w:val="none"/>
          <w:shd w:val="clear" w:color="auto" w:fill="auto"/>
        </w:rPr>
        <w:t>响应文件电子版需将资格审查文件、</w:t>
      </w:r>
      <w:r>
        <w:rPr>
          <w:rFonts w:hint="eastAsia" w:ascii="宋体" w:hAnsi="宋体" w:cs="宋体"/>
          <w:color w:val="auto"/>
          <w:sz w:val="24"/>
          <w:szCs w:val="24"/>
          <w:highlight w:val="none"/>
          <w:shd w:val="clear" w:color="auto" w:fill="auto"/>
          <w:lang w:val="en-US" w:eastAsia="zh-CN"/>
        </w:rPr>
        <w:t>商务</w:t>
      </w:r>
      <w:r>
        <w:rPr>
          <w:rFonts w:hint="eastAsia" w:hAnsi="宋体"/>
          <w:color w:val="auto"/>
          <w:sz w:val="24"/>
          <w:szCs w:val="24"/>
          <w:highlight w:val="none"/>
          <w:shd w:val="clear" w:color="auto" w:fill="auto"/>
        </w:rPr>
        <w:t>技术响应文件、</w:t>
      </w:r>
      <w:r>
        <w:rPr>
          <w:rFonts w:hint="eastAsia" w:hAnsi="宋体"/>
          <w:color w:val="auto"/>
          <w:sz w:val="24"/>
          <w:szCs w:val="24"/>
          <w:highlight w:val="none"/>
          <w:shd w:val="clear" w:color="auto" w:fill="auto"/>
          <w:lang w:eastAsia="zh-CN"/>
        </w:rPr>
        <w:t>报价响应文件</w:t>
      </w:r>
      <w:r>
        <w:rPr>
          <w:rFonts w:hint="eastAsia" w:hAnsi="宋体"/>
          <w:color w:val="auto"/>
          <w:sz w:val="24"/>
          <w:szCs w:val="24"/>
          <w:highlight w:val="none"/>
          <w:shd w:val="clear" w:color="auto" w:fill="auto"/>
        </w:rPr>
        <w:t>的正本盖章后扫描一份存于U盘中，单独密封递交。</w:t>
      </w:r>
      <w:r>
        <w:rPr>
          <w:rFonts w:hint="eastAsia" w:hAnsi="宋体"/>
          <w:color w:val="auto"/>
          <w:sz w:val="24"/>
          <w:szCs w:val="24"/>
          <w:highlight w:val="none"/>
          <w:shd w:val="clear" w:color="auto" w:fill="auto"/>
        </w:rPr>
        <w:br w:type="page"/>
      </w:r>
    </w:p>
    <w:p>
      <w:pPr>
        <w:widowControl/>
        <w:jc w:val="left"/>
        <w:rPr>
          <w:rFonts w:hAnsi="宋体"/>
          <w:b/>
          <w:bCs/>
          <w:color w:val="auto"/>
          <w:sz w:val="24"/>
          <w:szCs w:val="24"/>
          <w:highlight w:val="none"/>
          <w:shd w:val="clear" w:color="auto" w:fill="auto"/>
        </w:rPr>
      </w:pPr>
      <w:r>
        <w:rPr>
          <w:rFonts w:hint="eastAsia" w:hAnsi="宋体"/>
          <w:b/>
          <w:color w:val="auto"/>
          <w:sz w:val="24"/>
          <w:szCs w:val="24"/>
          <w:highlight w:val="none"/>
          <w:shd w:val="clear" w:color="auto" w:fill="auto"/>
        </w:rPr>
        <w:t>附件:</w:t>
      </w:r>
    </w:p>
    <w:p>
      <w:pPr>
        <w:snapToGrid w:val="0"/>
        <w:spacing w:line="520" w:lineRule="exact"/>
        <w:jc w:val="center"/>
        <w:outlineLvl w:val="4"/>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1.法定代表人身份证明</w:t>
      </w:r>
    </w:p>
    <w:p>
      <w:pPr>
        <w:snapToGrid w:val="0"/>
        <w:spacing w:line="520" w:lineRule="exact"/>
        <w:jc w:val="cente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（法定代表人参加磋商，须出示此证明）</w:t>
      </w:r>
    </w:p>
    <w:p>
      <w:pPr>
        <w:snapToGrid w:val="0"/>
        <w:spacing w:line="520" w:lineRule="exact"/>
        <w:jc w:val="center"/>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napToGrid w:val="0"/>
        <w:spacing w:line="520" w:lineRule="exact"/>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我公司法定代表人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参加贵单位组织的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（竞争性磋商项目名称)项目的磋商活动，全权代表我公司处理该磋商活动的有关事宜。</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附：法定代表人情况：</w:t>
      </w:r>
    </w:p>
    <w:p>
      <w:pPr>
        <w:snapToGrid w:val="0"/>
        <w:spacing w:line="520" w:lineRule="exact"/>
        <w:rPr>
          <w:rFonts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姓名：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性别：</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年龄：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职务：</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身份证号码：</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手机：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传真：</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单位名称（公章）             法定代表人（签字或盖章）</w:t>
      </w:r>
    </w:p>
    <w:p>
      <w:pPr>
        <w:snapToGrid w:val="0"/>
        <w:spacing w:line="520" w:lineRule="exact"/>
        <w:ind w:firstLine="1200" w:firstLineChars="5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年   月   日                 年   月    日  </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法定代表人身份证复印件</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p>
    <w:p>
      <w:pPr>
        <w:snapToGrid w:val="0"/>
        <w:spacing w:line="520" w:lineRule="exact"/>
        <w:ind w:firstLine="2280" w:firstLineChars="95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（粘贴此处）</w:t>
      </w:r>
    </w:p>
    <w:p>
      <w:pPr>
        <w:snapToGrid w:val="0"/>
        <w:spacing w:line="520" w:lineRule="exact"/>
        <w:ind w:firstLine="482" w:firstLineChars="200"/>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注:参加磋商活动时法定代表人将身份证原件准备好，参加开标。</w:t>
      </w:r>
    </w:p>
    <w:p>
      <w:pPr>
        <w:snapToGrid w:val="0"/>
        <w:spacing w:line="520" w:lineRule="exact"/>
        <w:jc w:val="center"/>
        <w:outlineLvl w:val="4"/>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br w:type="page"/>
      </w:r>
      <w:r>
        <w:rPr>
          <w:rFonts w:hint="eastAsia" w:hAnsi="宋体" w:cs="宋体"/>
          <w:b/>
          <w:bCs/>
          <w:color w:val="auto"/>
          <w:sz w:val="24"/>
          <w:szCs w:val="24"/>
          <w:highlight w:val="none"/>
          <w:shd w:val="clear" w:color="auto" w:fill="auto"/>
        </w:rPr>
        <w:t>2.授权委托书</w:t>
      </w:r>
    </w:p>
    <w:p>
      <w:pPr>
        <w:snapToGrid w:val="0"/>
        <w:spacing w:line="520" w:lineRule="exact"/>
        <w:jc w:val="cente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（委托代理人参加磋商，须出示此证明）</w:t>
      </w:r>
    </w:p>
    <w:p>
      <w:pPr>
        <w:snapToGrid w:val="0"/>
        <w:spacing w:line="520" w:lineRule="exact"/>
        <w:rPr>
          <w:rFonts w:hAnsi="宋体" w:cs="宋体"/>
          <w:bCs/>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napToGrid w:val="0"/>
        <w:spacing w:line="520" w:lineRule="exact"/>
        <w:ind w:left="1"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兹授权</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被授权人的姓名）代表我公司参加</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（竞争性磋商项目名称)项目的磋商活动，全权处理一切与该项目磋商有关的事务。其在办理上述事宜过程中所签署的所有文件我公司均予以承认。</w:t>
      </w:r>
    </w:p>
    <w:p>
      <w:pPr>
        <w:snapToGrid w:val="0"/>
        <w:spacing w:line="520" w:lineRule="exact"/>
        <w:ind w:left="1" w:firstLine="480" w:firstLineChars="200"/>
        <w:rPr>
          <w:rFonts w:hAnsi="宋体"/>
          <w:color w:val="auto"/>
          <w:sz w:val="24"/>
          <w:szCs w:val="24"/>
          <w:highlight w:val="none"/>
          <w:shd w:val="clear" w:color="auto" w:fill="auto"/>
        </w:rPr>
      </w:pPr>
      <w:r>
        <w:rPr>
          <w:rFonts w:hint="eastAsia" w:hAnsi="宋体" w:cs="宋体"/>
          <w:color w:val="auto"/>
          <w:sz w:val="24"/>
          <w:szCs w:val="24"/>
          <w:highlight w:val="none"/>
          <w:shd w:val="clear" w:color="auto" w:fill="auto"/>
        </w:rPr>
        <w:t>被授权人无转委托权。特此委托。</w:t>
      </w:r>
    </w:p>
    <w:p>
      <w:pPr>
        <w:snapToGrid w:val="0"/>
        <w:spacing w:line="520" w:lineRule="exact"/>
        <w:ind w:left="1" w:firstLine="480" w:firstLineChars="200"/>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附：被授权人情况：</w:t>
      </w:r>
    </w:p>
    <w:p>
      <w:pPr>
        <w:snapToGrid w:val="0"/>
        <w:spacing w:line="520" w:lineRule="exact"/>
        <w:rPr>
          <w:rFonts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姓名：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性别：</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年龄：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职务：</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身份证号码：</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手机：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传真：</w:t>
      </w:r>
      <w:r>
        <w:rPr>
          <w:rFonts w:hint="eastAsia" w:hAnsi="宋体" w:cs="宋体"/>
          <w:color w:val="auto"/>
          <w:sz w:val="24"/>
          <w:szCs w:val="24"/>
          <w:highlight w:val="none"/>
          <w:u w:val="single"/>
          <w:shd w:val="clear" w:color="auto" w:fill="auto"/>
        </w:rPr>
        <w:t xml:space="preserve">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单位名称（公章）             法定代表人（签字或盖章）</w:t>
      </w:r>
    </w:p>
    <w:p>
      <w:pPr>
        <w:snapToGrid w:val="0"/>
        <w:spacing w:line="520" w:lineRule="exact"/>
        <w:ind w:firstLine="1200" w:firstLineChars="5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年   月   日                 年   月    日  </w:t>
      </w:r>
    </w:p>
    <w:p>
      <w:pPr>
        <w:snapToGrid w:val="0"/>
        <w:spacing w:line="520" w:lineRule="exact"/>
        <w:rPr>
          <w:rFonts w:hAnsi="宋体" w:cs="宋体"/>
          <w:color w:val="auto"/>
          <w:sz w:val="24"/>
          <w:szCs w:val="24"/>
          <w:highlight w:val="none"/>
          <w:shd w:val="clear" w:color="auto" w:fill="auto"/>
        </w:rPr>
      </w:pP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法定代表人身份证复印件</w:t>
      </w:r>
    </w:p>
    <w:p>
      <w:pPr>
        <w:snapToGrid w:val="0"/>
        <w:spacing w:line="520" w:lineRule="exact"/>
        <w:rPr>
          <w:rFonts w:hAnsi="宋体" w:cs="宋体"/>
          <w:color w:val="auto"/>
          <w:sz w:val="24"/>
          <w:szCs w:val="24"/>
          <w:highlight w:val="none"/>
          <w:shd w:val="clear" w:color="auto" w:fill="auto"/>
        </w:rPr>
      </w:pPr>
    </w:p>
    <w:p>
      <w:pPr>
        <w:snapToGrid w:val="0"/>
        <w:spacing w:line="520" w:lineRule="exact"/>
        <w:ind w:firstLine="3960" w:firstLineChars="165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（粘贴此处）</w:t>
      </w:r>
    </w:p>
    <w:p>
      <w:pPr>
        <w:snapToGrid w:val="0"/>
        <w:spacing w:line="520" w:lineRule="exact"/>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被授权人身份证复印件</w:t>
      </w:r>
    </w:p>
    <w:p>
      <w:pPr>
        <w:snapToGrid w:val="0"/>
        <w:spacing w:line="520" w:lineRule="exact"/>
        <w:rPr>
          <w:rFonts w:hAnsi="宋体" w:cs="宋体"/>
          <w:color w:val="auto"/>
          <w:sz w:val="24"/>
          <w:szCs w:val="24"/>
          <w:highlight w:val="none"/>
          <w:shd w:val="clear" w:color="auto" w:fill="auto"/>
        </w:rPr>
      </w:pPr>
    </w:p>
    <w:p>
      <w:pPr>
        <w:snapToGrid w:val="0"/>
        <w:spacing w:line="520" w:lineRule="exact"/>
        <w:jc w:val="center"/>
        <w:rPr>
          <w:rFonts w:hAnsi="宋体" w:cs="宋体"/>
          <w:color w:val="auto"/>
          <w:sz w:val="24"/>
          <w:szCs w:val="24"/>
          <w:highlight w:val="none"/>
          <w:shd w:val="clear" w:color="auto" w:fill="auto"/>
        </w:rPr>
      </w:pPr>
    </w:p>
    <w:p>
      <w:pPr>
        <w:snapToGrid w:val="0"/>
        <w:spacing w:line="520" w:lineRule="exact"/>
        <w:jc w:val="center"/>
        <w:rPr>
          <w:rFonts w:hAnsi="宋体" w:cs="宋体"/>
          <w:b/>
          <w:bCs/>
          <w:color w:val="auto"/>
          <w:sz w:val="24"/>
          <w:szCs w:val="24"/>
          <w:highlight w:val="none"/>
          <w:shd w:val="clear" w:color="auto" w:fill="auto"/>
        </w:rPr>
      </w:pPr>
      <w:r>
        <w:rPr>
          <w:rFonts w:hint="eastAsia" w:hAnsi="宋体" w:cs="宋体"/>
          <w:color w:val="auto"/>
          <w:sz w:val="24"/>
          <w:szCs w:val="24"/>
          <w:highlight w:val="none"/>
          <w:shd w:val="clear" w:color="auto" w:fill="auto"/>
        </w:rPr>
        <w:t>（粘贴此处）</w:t>
      </w:r>
    </w:p>
    <w:p>
      <w:pPr>
        <w:snapToGrid w:val="0"/>
        <w:spacing w:line="520" w:lineRule="exact"/>
        <w:ind w:firstLine="482" w:firstLineChars="200"/>
        <w:jc w:val="center"/>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注:参加磋商活动时被授权人将身份证原件准备好，参加开标。</w:t>
      </w:r>
    </w:p>
    <w:p>
      <w:pPr>
        <w:snapToGrid w:val="0"/>
        <w:spacing w:before="492" w:beforeLines="150" w:after="164" w:afterLines="50" w:line="420" w:lineRule="exact"/>
        <w:jc w:val="center"/>
        <w:outlineLvl w:val="4"/>
        <w:rPr>
          <w:rFonts w:hAnsi="宋体" w:cs="宋体"/>
          <w:b/>
          <w:bCs/>
          <w:color w:val="auto"/>
          <w:sz w:val="24"/>
          <w:szCs w:val="24"/>
          <w:highlight w:val="none"/>
          <w:shd w:val="clear" w:color="auto" w:fill="auto"/>
        </w:rPr>
      </w:pPr>
      <w:r>
        <w:rPr>
          <w:rFonts w:hint="eastAsia" w:hAnsi="宋体" w:cs="宋体"/>
          <w:b/>
          <w:bCs/>
          <w:color w:val="auto"/>
          <w:sz w:val="28"/>
          <w:szCs w:val="28"/>
          <w:highlight w:val="none"/>
          <w:shd w:val="clear" w:color="auto" w:fill="auto"/>
        </w:rPr>
        <w:br w:type="page"/>
      </w:r>
      <w:r>
        <w:rPr>
          <w:rFonts w:hint="eastAsia" w:hAnsi="宋体" w:cs="宋体"/>
          <w:b/>
          <w:bCs/>
          <w:color w:val="auto"/>
          <w:sz w:val="28"/>
          <w:szCs w:val="28"/>
          <w:highlight w:val="none"/>
          <w:shd w:val="clear" w:color="auto" w:fill="auto"/>
        </w:rPr>
        <w:t>3.无重大违法记录声明</w:t>
      </w:r>
    </w:p>
    <w:p>
      <w:pPr>
        <w:snapToGrid w:val="0"/>
        <w:spacing w:line="44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pacing w:line="360" w:lineRule="auto"/>
        <w:ind w:firstLine="480" w:firstLineChars="200"/>
        <w:jc w:val="left"/>
        <w:rPr>
          <w:rFonts w:ascii="宋体"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我单位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（供应商名称）</w:t>
      </w:r>
      <w:r>
        <w:rPr>
          <w:rFonts w:hint="eastAsia" w:ascii="宋体" w:hAnsi="宋体" w:cs="宋体"/>
          <w:color w:val="auto"/>
          <w:sz w:val="24"/>
          <w:szCs w:val="24"/>
          <w:highlight w:val="none"/>
          <w:shd w:val="clear" w:color="auto" w:fill="auto"/>
        </w:rPr>
        <w:t>郑重声明：</w:t>
      </w:r>
    </w:p>
    <w:p>
      <w:pPr>
        <w:spacing w:line="360" w:lineRule="auto"/>
        <w:ind w:firstLine="480" w:firstLineChars="200"/>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参加本次采购活动前3年内，我公司在经营活动中没有因违法经营受到刑事处罚或者责令停产停业、吊销许可证或者执照、较大数额罚款等行政处罚。</w:t>
      </w:r>
    </w:p>
    <w:p>
      <w:pPr>
        <w:spacing w:line="360" w:lineRule="auto"/>
        <w:ind w:firstLine="480" w:firstLineChars="200"/>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在本项目投标截止时间前，没有被“信用中国”（www.creditchina.gov.cn）、“中国政府采购网”（www.ccgp.gov.cn）网站列入失信被执行人、重大税收违法案件当事人名单、政府采购严重违法失信行为记录名单。</w:t>
      </w:r>
    </w:p>
    <w:p>
      <w:pPr>
        <w:spacing w:line="360" w:lineRule="auto"/>
        <w:ind w:firstLine="480"/>
        <w:rPr>
          <w:rFonts w:hAnsi="宋体" w:cs="宋体"/>
          <w:color w:val="auto"/>
          <w:sz w:val="24"/>
          <w:szCs w:val="24"/>
          <w:highlight w:val="none"/>
          <w:shd w:val="clear" w:color="auto" w:fill="auto"/>
        </w:rPr>
      </w:pPr>
    </w:p>
    <w:p>
      <w:pPr>
        <w:spacing w:line="360" w:lineRule="auto"/>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声明人：（公章）</w:t>
      </w:r>
    </w:p>
    <w:p>
      <w:pPr>
        <w:spacing w:line="360" w:lineRule="auto"/>
        <w:jc w:val="cente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年     月    日</w:t>
      </w:r>
    </w:p>
    <w:p>
      <w:pPr>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br w:type="page"/>
      </w:r>
    </w:p>
    <w:p>
      <w:pPr>
        <w:snapToGrid w:val="0"/>
        <w:spacing w:line="520" w:lineRule="exact"/>
        <w:jc w:val="center"/>
        <w:outlineLvl w:val="2"/>
        <w:rPr>
          <w:rFonts w:ascii="宋体" w:hAnsi="宋体" w:cs="宋体"/>
          <w:b/>
          <w:bCs/>
          <w:color w:val="auto"/>
          <w:sz w:val="28"/>
          <w:szCs w:val="28"/>
          <w:highlight w:val="none"/>
          <w:shd w:val="clear" w:color="auto" w:fill="auto"/>
        </w:rPr>
      </w:pPr>
      <w:r>
        <w:rPr>
          <w:rFonts w:hint="eastAsia" w:ascii="宋体" w:hAnsi="宋体" w:cs="宋体"/>
          <w:b/>
          <w:bCs/>
          <w:color w:val="auto"/>
          <w:sz w:val="28"/>
          <w:szCs w:val="28"/>
          <w:highlight w:val="none"/>
          <w:shd w:val="clear" w:color="auto" w:fill="auto"/>
        </w:rPr>
        <w:t>4.关于资格文件的声明函</w:t>
      </w:r>
    </w:p>
    <w:p>
      <w:pPr>
        <w:pStyle w:val="6"/>
        <w:overflowPunct w:val="0"/>
        <w:spacing w:line="520" w:lineRule="exact"/>
        <w:jc w:val="center"/>
        <w:rPr>
          <w:rFonts w:ascii="宋体" w:hAnsi="宋体" w:eastAsia="宋体" w:cs="宋体"/>
          <w:color w:val="auto"/>
          <w:sz w:val="28"/>
          <w:szCs w:val="28"/>
          <w:highlight w:val="none"/>
          <w:shd w:val="clear" w:color="auto" w:fill="auto"/>
        </w:rPr>
      </w:pPr>
    </w:p>
    <w:p>
      <w:pPr>
        <w:snapToGrid w:val="0"/>
        <w:spacing w:line="44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pStyle w:val="6"/>
        <w:overflowPunct w:val="0"/>
        <w:spacing w:line="520" w:lineRule="exact"/>
        <w:ind w:firstLine="6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本公司愿就由贵单位组织实施的</w:t>
      </w:r>
      <w:r>
        <w:rPr>
          <w:rFonts w:hint="eastAsia" w:ascii="宋体" w:hAnsi="宋体" w:eastAsia="宋体" w:cs="宋体"/>
          <w:color w:val="auto"/>
          <w:szCs w:val="24"/>
          <w:highlight w:val="none"/>
          <w:u w:val="single"/>
          <w:shd w:val="clear" w:color="auto" w:fill="auto"/>
        </w:rPr>
        <w:t xml:space="preserve">              </w:t>
      </w:r>
      <w:r>
        <w:rPr>
          <w:rFonts w:hint="eastAsia" w:ascii="宋体" w:hAnsi="宋体" w:eastAsia="宋体" w:cs="宋体"/>
          <w:color w:val="auto"/>
          <w:szCs w:val="24"/>
          <w:highlight w:val="none"/>
          <w:shd w:val="clear" w:color="auto" w:fill="auto"/>
        </w:rPr>
        <w:t>（项目名称)竞争性磋商活动进行响应。本公司所提交的响应文件中所有关于磋商资格的文件、证明和陈述均是真实的、准确的。</w:t>
      </w:r>
    </w:p>
    <w:p>
      <w:pPr>
        <w:pStyle w:val="6"/>
        <w:overflowPunct w:val="0"/>
        <w:spacing w:line="520" w:lineRule="exact"/>
        <w:ind w:firstLine="6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本公司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pStyle w:val="6"/>
        <w:overflowPunct w:val="0"/>
        <w:spacing w:line="520" w:lineRule="exact"/>
        <w:ind w:firstLine="6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若与真实情况不符，本公司愿意承担由此而产生的一切后果。</w:t>
      </w:r>
    </w:p>
    <w:p>
      <w:pPr>
        <w:pStyle w:val="6"/>
        <w:overflowPunct w:val="0"/>
        <w:spacing w:line="520" w:lineRule="exact"/>
        <w:rPr>
          <w:rFonts w:ascii="宋体" w:hAnsi="宋体" w:eastAsia="宋体" w:cs="宋体"/>
          <w:color w:val="auto"/>
          <w:szCs w:val="24"/>
          <w:highlight w:val="none"/>
          <w:shd w:val="clear" w:color="auto" w:fill="auto"/>
        </w:rPr>
      </w:pPr>
    </w:p>
    <w:p>
      <w:pPr>
        <w:pStyle w:val="6"/>
        <w:overflowPunct w:val="0"/>
        <w:spacing w:line="520" w:lineRule="exact"/>
        <w:rPr>
          <w:rFonts w:ascii="宋体" w:hAnsi="宋体" w:eastAsia="宋体" w:cs="宋体"/>
          <w:color w:val="auto"/>
          <w:szCs w:val="24"/>
          <w:highlight w:val="none"/>
          <w:shd w:val="clear" w:color="auto" w:fill="auto"/>
        </w:rPr>
      </w:pPr>
    </w:p>
    <w:p>
      <w:pPr>
        <w:pStyle w:val="6"/>
        <w:overflowPunct w:val="0"/>
        <w:spacing w:line="520" w:lineRule="exact"/>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 xml:space="preserve">       </w:t>
      </w:r>
    </w:p>
    <w:p>
      <w:pPr>
        <w:pStyle w:val="6"/>
        <w:overflowPunct w:val="0"/>
        <w:spacing w:line="520" w:lineRule="exact"/>
        <w:ind w:left="1700" w:firstLine="425"/>
        <w:rPr>
          <w:rFonts w:ascii="宋体" w:hAnsi="宋体" w:eastAsia="宋体" w:cs="宋体"/>
          <w:color w:val="auto"/>
          <w:szCs w:val="24"/>
          <w:highlight w:val="none"/>
          <w:shd w:val="clear" w:color="auto" w:fill="auto"/>
        </w:rPr>
      </w:pPr>
    </w:p>
    <w:p>
      <w:pPr>
        <w:pStyle w:val="6"/>
        <w:overflowPunct w:val="0"/>
        <w:spacing w:line="520" w:lineRule="exact"/>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 xml:space="preserve">                        （供应商）公章： </w:t>
      </w:r>
    </w:p>
    <w:p>
      <w:pPr>
        <w:pStyle w:val="6"/>
        <w:overflowPunct w:val="0"/>
        <w:spacing w:line="520" w:lineRule="exact"/>
        <w:ind w:firstLine="864" w:firstLineChars="3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 xml:space="preserve">               法定代表人（签字或盖章）：</w:t>
      </w:r>
    </w:p>
    <w:p>
      <w:pPr>
        <w:pStyle w:val="6"/>
        <w:overflowPunct w:val="0"/>
        <w:spacing w:line="520" w:lineRule="exact"/>
        <w:ind w:left="1700" w:firstLine="425"/>
        <w:rPr>
          <w:rFonts w:ascii="宋体" w:hAnsi="宋体" w:eastAsia="宋体" w:cs="宋体"/>
          <w:color w:val="auto"/>
          <w:szCs w:val="24"/>
          <w:highlight w:val="none"/>
          <w:shd w:val="clear" w:color="auto" w:fill="auto"/>
        </w:rPr>
      </w:pPr>
    </w:p>
    <w:p>
      <w:pPr>
        <w:pStyle w:val="6"/>
        <w:overflowPunct w:val="0"/>
        <w:spacing w:line="520" w:lineRule="exact"/>
        <w:rPr>
          <w:rFonts w:ascii="宋体" w:hAnsi="宋体" w:eastAsia="宋体" w:cs="宋体"/>
          <w:color w:val="auto"/>
          <w:szCs w:val="24"/>
          <w:highlight w:val="none"/>
          <w:shd w:val="clear" w:color="auto" w:fill="auto"/>
        </w:rPr>
      </w:pPr>
    </w:p>
    <w:p>
      <w:pPr>
        <w:pStyle w:val="6"/>
        <w:overflowPunct w:val="0"/>
        <w:spacing w:line="520" w:lineRule="exact"/>
        <w:ind w:right="560"/>
        <w:rPr>
          <w:rFonts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 xml:space="preserve">                                       年</w:t>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 xml:space="preserve"> 月 </w:t>
      </w:r>
      <w:r>
        <w:rPr>
          <w:rFonts w:hint="eastAsia" w:ascii="宋体" w:hAnsi="宋体" w:eastAsia="宋体" w:cs="宋体"/>
          <w:color w:val="auto"/>
          <w:szCs w:val="24"/>
          <w:highlight w:val="none"/>
          <w:shd w:val="clear" w:color="auto" w:fill="auto"/>
        </w:rPr>
        <w:tab/>
      </w:r>
      <w:r>
        <w:rPr>
          <w:rFonts w:hint="eastAsia" w:ascii="宋体" w:hAnsi="宋体" w:eastAsia="宋体" w:cs="宋体"/>
          <w:color w:val="auto"/>
          <w:szCs w:val="24"/>
          <w:highlight w:val="none"/>
          <w:shd w:val="clear" w:color="auto" w:fill="auto"/>
        </w:rPr>
        <w:t>日</w:t>
      </w:r>
    </w:p>
    <w:p>
      <w:pPr>
        <w:pStyle w:val="18"/>
        <w:ind w:firstLine="420"/>
        <w:rPr>
          <w:color w:val="auto"/>
          <w:highlight w:val="none"/>
          <w:shd w:val="clear" w:color="auto" w:fill="auto"/>
        </w:rPr>
      </w:pPr>
    </w:p>
    <w:p>
      <w:pPr>
        <w:overflowPunct w:val="0"/>
        <w:adjustRightInd w:val="0"/>
        <w:spacing w:line="700" w:lineRule="exact"/>
        <w:ind w:firstLine="420"/>
        <w:jc w:val="left"/>
        <w:textAlignment w:val="baseline"/>
        <w:rPr>
          <w:b/>
          <w:color w:val="auto"/>
          <w:sz w:val="24"/>
          <w:szCs w:val="24"/>
          <w:highlight w:val="none"/>
          <w:shd w:val="clear" w:color="auto" w:fill="auto"/>
        </w:rPr>
      </w:pPr>
      <w:r>
        <w:rPr>
          <w:rFonts w:hint="eastAsia" w:cs="宋体"/>
          <w:b/>
          <w:bCs/>
          <w:color w:val="auto"/>
          <w:sz w:val="24"/>
          <w:szCs w:val="24"/>
          <w:highlight w:val="none"/>
          <w:shd w:val="clear" w:color="auto" w:fill="auto"/>
        </w:rPr>
        <w:br w:type="page"/>
      </w:r>
    </w:p>
    <w:p>
      <w:pPr>
        <w:rPr>
          <w:rFonts w:cs="宋体"/>
          <w:b/>
          <w:bCs/>
          <w:color w:val="auto"/>
          <w:sz w:val="28"/>
          <w:highlight w:val="none"/>
          <w:shd w:val="clear" w:color="auto" w:fill="auto"/>
        </w:rPr>
      </w:pPr>
    </w:p>
    <w:p>
      <w:pPr>
        <w:jc w:val="center"/>
        <w:rPr>
          <w:rFonts w:cs="宋体"/>
          <w:b/>
          <w:bCs/>
          <w:color w:val="auto"/>
          <w:sz w:val="28"/>
          <w:highlight w:val="none"/>
          <w:shd w:val="clear" w:color="auto" w:fill="auto"/>
        </w:rPr>
      </w:pPr>
      <w:r>
        <w:rPr>
          <w:rFonts w:hint="eastAsia" w:ascii="宋体" w:hAnsi="宋体" w:eastAsia="宋体" w:cs="宋体"/>
          <w:b/>
          <w:bCs/>
          <w:color w:val="auto"/>
          <w:sz w:val="28"/>
          <w:szCs w:val="28"/>
          <w:highlight w:val="none"/>
          <w:shd w:val="clear" w:color="auto" w:fill="auto"/>
          <w:lang w:val="en-US" w:eastAsia="zh-CN"/>
        </w:rPr>
        <w:t>5.</w:t>
      </w:r>
      <w:r>
        <w:rPr>
          <w:rFonts w:hint="eastAsia" w:cs="宋体"/>
          <w:b/>
          <w:bCs/>
          <w:color w:val="auto"/>
          <w:sz w:val="28"/>
          <w:highlight w:val="none"/>
          <w:shd w:val="clear" w:color="auto" w:fill="auto"/>
        </w:rPr>
        <w:t>竞争性磋商响应函</w:t>
      </w:r>
    </w:p>
    <w:p>
      <w:pPr>
        <w:snapToGrid w:val="0"/>
        <w:spacing w:line="440" w:lineRule="exact"/>
        <w:rPr>
          <w:rFonts w:hAnsi="宋体" w:cs="宋体"/>
          <w:color w:val="auto"/>
          <w:sz w:val="24"/>
          <w:szCs w:val="24"/>
          <w:highlight w:val="none"/>
          <w:shd w:val="clear" w:color="auto" w:fill="auto"/>
        </w:rPr>
      </w:pPr>
      <w:r>
        <w:rPr>
          <w:rFonts w:hint="eastAsia" w:ascii="方正仿宋_GBK"/>
          <w:color w:val="auto"/>
          <w:sz w:val="24"/>
          <w:szCs w:val="24"/>
          <w:highlight w:val="none"/>
          <w:u w:val="single"/>
          <w:shd w:val="clear" w:color="auto" w:fill="auto"/>
          <w:lang w:eastAsia="zh-CN"/>
        </w:rPr>
        <w:t>南通博物苑</w:t>
      </w:r>
      <w:r>
        <w:rPr>
          <w:rFonts w:hint="eastAsia" w:hAnsi="宋体" w:cs="宋体"/>
          <w:color w:val="auto"/>
          <w:sz w:val="24"/>
          <w:szCs w:val="24"/>
          <w:highlight w:val="none"/>
          <w:shd w:val="clear" w:color="auto" w:fill="auto"/>
        </w:rPr>
        <w:t>：</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依据贵单位委托代理机构组织的</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（磋商项目名称)项目竞争性磋商的邀请，我方授权</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（姓名）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（职务）为全权代表参加该项目的磋商工作，全权处理本次竞争性磋商的有关事宜。同时，我公司声明如下：</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1.同意并接受竞争性磋商文件的各项要求，遵守竞争性磋商文件中的各项规定，按竞争性磋商文件的要求提供报价。</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2.我公司已经详细阅读了竞争性磋商文件的全部内容，我方已完全清晰理解竞争性磋商文件的要求，不存在任何含糊不清和误解之处，同意放弃对竞争性磋商文件所表述的内容提出异议和质疑的权利。</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3.我公司已毫无保留地向贵方提供一切所需的证明材料。</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4.我公司承诺在本次磋商响应中提供的一切文件，无论是原件还是复印件均真实有效，绝无任何虚假、伪造和夸大的成份。否则，愿承担相应的后果和法律责任。</w:t>
      </w:r>
    </w:p>
    <w:p>
      <w:pPr>
        <w:snapToGrid w:val="0"/>
        <w:spacing w:line="520" w:lineRule="exact"/>
        <w:ind w:firstLine="480" w:firstLineChars="200"/>
        <w:outlineLvl w:val="3"/>
        <w:rPr>
          <w:rFonts w:hAnsi="宋体" w:cs="宋体"/>
          <w:b/>
          <w:color w:val="auto"/>
          <w:sz w:val="24"/>
          <w:szCs w:val="24"/>
          <w:highlight w:val="none"/>
          <w:shd w:val="clear" w:color="auto" w:fill="auto"/>
        </w:rPr>
      </w:pPr>
      <w:r>
        <w:rPr>
          <w:rFonts w:hint="eastAsia" w:hAnsi="宋体" w:cs="宋体"/>
          <w:color w:val="auto"/>
          <w:sz w:val="24"/>
          <w:szCs w:val="24"/>
          <w:highlight w:val="none"/>
          <w:shd w:val="clear" w:color="auto" w:fill="auto"/>
        </w:rPr>
        <w:t>5.</w:t>
      </w:r>
      <w:r>
        <w:rPr>
          <w:rFonts w:hint="eastAsia" w:hAnsi="宋体" w:cs="宋体"/>
          <w:b/>
          <w:color w:val="auto"/>
          <w:sz w:val="24"/>
          <w:szCs w:val="24"/>
          <w:highlight w:val="none"/>
          <w:shd w:val="clear" w:color="auto" w:fill="auto"/>
        </w:rPr>
        <w:t>我公司尊重磋商小组所作的评定结果，同时清楚理解到报价最低并非意味着必定获得成交资格。</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6.一旦成交，我方承诺无正当理由拒绝签订合同，同意被贵方取消成交资格。</w:t>
      </w:r>
    </w:p>
    <w:p>
      <w:pPr>
        <w:snapToGrid w:val="0"/>
        <w:spacing w:line="520" w:lineRule="exact"/>
        <w:ind w:firstLine="480" w:firstLineChars="200"/>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7.</w:t>
      </w:r>
      <w:r>
        <w:rPr>
          <w:rFonts w:hint="eastAsia" w:hAnsi="宋体" w:cs="宋体"/>
          <w:b/>
          <w:color w:val="auto"/>
          <w:sz w:val="24"/>
          <w:szCs w:val="24"/>
          <w:highlight w:val="none"/>
          <w:shd w:val="clear" w:color="auto" w:fill="auto"/>
        </w:rPr>
        <w:t>一旦成交，我方将根据竞争性磋商文件的规定，严格履行合同规定的责任和义务，并保证在竞争性磋商文件中规定的时间期限内完成合同项目。</w:t>
      </w:r>
    </w:p>
    <w:p>
      <w:pPr>
        <w:snapToGrid w:val="0"/>
        <w:spacing w:line="520" w:lineRule="exact"/>
        <w:jc w:val="righ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竞争性磋商响应单位：</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（加盖公章）</w:t>
      </w:r>
    </w:p>
    <w:p>
      <w:pPr>
        <w:snapToGrid w:val="0"/>
        <w:spacing w:line="520" w:lineRule="exact"/>
        <w:jc w:val="righ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法定代表人或被授权人：</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（签字或盖章）</w:t>
      </w:r>
    </w:p>
    <w:p>
      <w:pPr>
        <w:snapToGrid w:val="0"/>
        <w:spacing w:line="520" w:lineRule="exact"/>
        <w:jc w:val="righ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年      月     日</w:t>
      </w:r>
    </w:p>
    <w:p>
      <w:pPr>
        <w:snapToGrid w:val="0"/>
        <w:spacing w:line="520" w:lineRule="exact"/>
        <w:outlineLvl w:val="3"/>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 xml:space="preserve"> </w:t>
      </w:r>
    </w:p>
    <w:p>
      <w:pPr>
        <w:spacing w:line="500" w:lineRule="exact"/>
        <w:ind w:left="487"/>
        <w:jc w:val="center"/>
        <w:outlineLvl w:val="3"/>
        <w:rPr>
          <w:rFonts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br w:type="page"/>
      </w:r>
      <w:r>
        <w:rPr>
          <w:rFonts w:hint="eastAsia" w:hAnsi="宋体" w:cs="宋体"/>
          <w:b/>
          <w:bCs/>
          <w:color w:val="auto"/>
          <w:sz w:val="28"/>
          <w:szCs w:val="28"/>
          <w:highlight w:val="none"/>
          <w:shd w:val="clear" w:color="auto" w:fill="auto"/>
          <w:lang w:val="en-US" w:eastAsia="zh-CN"/>
        </w:rPr>
        <w:t>6</w:t>
      </w:r>
      <w:r>
        <w:rPr>
          <w:rFonts w:hint="eastAsia" w:hAnsi="宋体" w:cs="宋体"/>
          <w:b/>
          <w:bCs/>
          <w:color w:val="auto"/>
          <w:sz w:val="28"/>
          <w:szCs w:val="28"/>
          <w:highlight w:val="none"/>
          <w:shd w:val="clear" w:color="auto" w:fill="auto"/>
        </w:rPr>
        <w:t>.磋商响应报价表（首次）</w:t>
      </w:r>
    </w:p>
    <w:tbl>
      <w:tblPr>
        <w:tblStyle w:val="19"/>
        <w:tblpPr w:leftFromText="180" w:rightFromText="180" w:vertAnchor="text" w:horzAnchor="page" w:tblpX="1598" w:tblpY="460"/>
        <w:tblOverlap w:val="never"/>
        <w:tblW w:w="8756"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218"/>
        <w:gridCol w:w="453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0" w:hRule="exact"/>
        </w:trPr>
        <w:tc>
          <w:tcPr>
            <w:tcW w:w="4218" w:type="dxa"/>
            <w:tcBorders>
              <w:bottom w:val="single" w:color="auto" w:sz="4" w:space="0"/>
              <w:right w:val="single" w:color="auto" w:sz="4" w:space="0"/>
            </w:tcBorders>
            <w:vAlign w:val="center"/>
          </w:tcPr>
          <w:p>
            <w:pPr>
              <w:spacing w:line="520" w:lineRule="exact"/>
              <w:ind w:left="1" w:firstLine="27" w:firstLineChars="11"/>
              <w:jc w:val="center"/>
              <w:textAlignment w:val="bottom"/>
              <w:rPr>
                <w:b/>
                <w:color w:val="auto"/>
                <w:kern w:val="0"/>
                <w:sz w:val="24"/>
                <w:szCs w:val="24"/>
                <w:highlight w:val="none"/>
                <w:shd w:val="clear" w:color="auto" w:fill="auto"/>
              </w:rPr>
            </w:pPr>
            <w:r>
              <w:rPr>
                <w:rFonts w:hint="eastAsia"/>
                <w:b/>
                <w:color w:val="auto"/>
                <w:kern w:val="0"/>
                <w:sz w:val="24"/>
                <w:szCs w:val="24"/>
                <w:highlight w:val="none"/>
                <w:shd w:val="clear" w:color="auto" w:fill="auto"/>
              </w:rPr>
              <w:t>项目名称</w:t>
            </w:r>
          </w:p>
        </w:tc>
        <w:tc>
          <w:tcPr>
            <w:tcW w:w="4538" w:type="dxa"/>
            <w:tcBorders>
              <w:left w:val="nil"/>
              <w:bottom w:val="single" w:color="auto" w:sz="4" w:space="0"/>
            </w:tcBorders>
            <w:vAlign w:val="center"/>
          </w:tcPr>
          <w:p>
            <w:pPr>
              <w:spacing w:line="520" w:lineRule="exact"/>
              <w:ind w:left="1" w:firstLine="27" w:firstLineChars="11"/>
              <w:jc w:val="center"/>
              <w:textAlignment w:val="bottom"/>
              <w:rPr>
                <w:b/>
                <w:color w:val="auto"/>
                <w:kern w:val="0"/>
                <w:sz w:val="24"/>
                <w:szCs w:val="24"/>
                <w:highlight w:val="none"/>
                <w:shd w:val="clear" w:color="auto" w:fill="auto"/>
              </w:rPr>
            </w:pPr>
            <w:r>
              <w:rPr>
                <w:rFonts w:hint="eastAsia" w:hAnsi="宋体" w:cs="宋体"/>
                <w:b/>
                <w:color w:val="auto"/>
                <w:sz w:val="24"/>
                <w:szCs w:val="24"/>
                <w:highlight w:val="none"/>
                <w:shd w:val="clear" w:color="auto" w:fill="auto"/>
              </w:rPr>
              <w:t>磋商响应</w:t>
            </w:r>
            <w:r>
              <w:rPr>
                <w:rFonts w:hint="eastAsia"/>
                <w:b/>
                <w:color w:val="auto"/>
                <w:kern w:val="0"/>
                <w:sz w:val="24"/>
                <w:szCs w:val="24"/>
                <w:highlight w:val="none"/>
                <w:shd w:val="clear" w:color="auto" w:fill="auto"/>
              </w:rPr>
              <w:t>报价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40" w:hRule="exact"/>
        </w:trPr>
        <w:tc>
          <w:tcPr>
            <w:tcW w:w="4218" w:type="dxa"/>
            <w:tcBorders>
              <w:top w:val="nil"/>
              <w:right w:val="single" w:color="auto" w:sz="4" w:space="0"/>
            </w:tcBorders>
            <w:vAlign w:val="center"/>
          </w:tcPr>
          <w:p>
            <w:pPr>
              <w:widowControl/>
              <w:jc w:val="center"/>
              <w:rPr>
                <w:rFonts w:hAnsi="宋体" w:cs="宋体"/>
                <w:color w:val="auto"/>
                <w:kern w:val="0"/>
                <w:sz w:val="20"/>
                <w:highlight w:val="none"/>
                <w:shd w:val="clear" w:color="auto" w:fill="auto"/>
              </w:rPr>
            </w:pPr>
          </w:p>
        </w:tc>
        <w:tc>
          <w:tcPr>
            <w:tcW w:w="4538" w:type="dxa"/>
            <w:tcBorders>
              <w:top w:val="nil"/>
              <w:left w:val="nil"/>
            </w:tcBorders>
            <w:vAlign w:val="center"/>
          </w:tcPr>
          <w:p>
            <w:pPr>
              <w:widowControl/>
              <w:jc w:val="center"/>
              <w:rPr>
                <w:rFonts w:hint="eastAsia" w:hAnsi="宋体" w:cs="宋体"/>
                <w:color w:val="auto"/>
                <w:kern w:val="0"/>
                <w:sz w:val="24"/>
                <w:szCs w:val="24"/>
                <w:highlight w:val="none"/>
                <w:shd w:val="clear" w:color="auto" w:fill="auto"/>
                <w:lang w:val="en-US" w:eastAsia="zh-CN"/>
              </w:rPr>
            </w:pPr>
            <w:r>
              <w:rPr>
                <w:rFonts w:hint="eastAsia" w:hAnsi="宋体" w:cs="宋体"/>
                <w:color w:val="auto"/>
                <w:kern w:val="0"/>
                <w:sz w:val="24"/>
                <w:szCs w:val="24"/>
                <w:highlight w:val="none"/>
                <w:u w:val="single"/>
                <w:shd w:val="clear" w:color="auto" w:fill="auto"/>
                <w:lang w:val="en-US" w:eastAsia="zh-CN"/>
              </w:rPr>
              <w:t xml:space="preserve">       </w:t>
            </w:r>
            <w:r>
              <w:rPr>
                <w:rFonts w:hint="eastAsia" w:hAnsi="宋体" w:cs="宋体"/>
                <w:color w:val="auto"/>
                <w:kern w:val="0"/>
                <w:sz w:val="24"/>
                <w:szCs w:val="24"/>
                <w:highlight w:val="none"/>
                <w:shd w:val="clear" w:color="auto" w:fill="auto"/>
                <w:lang w:val="en-US" w:eastAsia="zh-CN"/>
              </w:rPr>
              <w:t>元</w:t>
            </w:r>
          </w:p>
          <w:p>
            <w:pPr>
              <w:pStyle w:val="18"/>
              <w:ind w:firstLine="1200" w:firstLineChars="500"/>
              <w:jc w:val="both"/>
              <w:rPr>
                <w:rFonts w:hint="default"/>
                <w:color w:val="auto"/>
                <w:highlight w:val="none"/>
                <w:lang w:val="en-US" w:eastAsia="zh-CN"/>
              </w:rPr>
            </w:pPr>
            <w:r>
              <w:rPr>
                <w:rFonts w:hint="eastAsia" w:hAnsi="宋体" w:cs="宋体"/>
                <w:color w:val="auto"/>
                <w:kern w:val="0"/>
                <w:sz w:val="24"/>
                <w:szCs w:val="24"/>
                <w:highlight w:val="none"/>
                <w:shd w:val="clear" w:color="auto" w:fill="auto"/>
                <w:lang w:val="en-US" w:eastAsia="zh-CN"/>
              </w:rPr>
              <w:t>大写</w:t>
            </w:r>
            <w:r>
              <w:rPr>
                <w:rFonts w:hint="eastAsia" w:hAnsi="宋体" w:cs="宋体"/>
                <w:color w:val="auto"/>
                <w:kern w:val="0"/>
                <w:sz w:val="24"/>
                <w:szCs w:val="24"/>
                <w:highlight w:val="none"/>
                <w:u w:val="single"/>
                <w:shd w:val="clear" w:color="auto" w:fill="auto"/>
                <w:lang w:val="en-US" w:eastAsia="zh-CN"/>
              </w:rPr>
              <w:t xml:space="preserve">       </w:t>
            </w:r>
          </w:p>
        </w:tc>
      </w:tr>
    </w:tbl>
    <w:p>
      <w:pPr>
        <w:shd w:val="clear"/>
        <w:kinsoku w:val="0"/>
        <w:topLinePunct/>
        <w:snapToGrid w:val="0"/>
        <w:spacing w:line="520" w:lineRule="exact"/>
        <w:rPr>
          <w:rFonts w:ascii="方正仿宋_GBK"/>
          <w:color w:val="auto"/>
          <w:sz w:val="24"/>
          <w:szCs w:val="24"/>
          <w:highlight w:val="none"/>
        </w:rPr>
      </w:pPr>
      <w:r>
        <w:rPr>
          <w:rFonts w:hint="eastAsia" w:hAnsi="宋体" w:cs="宋体"/>
          <w:color w:val="auto"/>
          <w:sz w:val="24"/>
          <w:szCs w:val="24"/>
          <w:highlight w:val="none"/>
        </w:rPr>
        <w:t>竞争性磋商响应单位</w:t>
      </w:r>
      <w:r>
        <w:rPr>
          <w:rFonts w:hint="eastAsia" w:ascii="方正仿宋_GBK"/>
          <w:color w:val="auto"/>
          <w:sz w:val="24"/>
          <w:szCs w:val="24"/>
          <w:highlight w:val="none"/>
        </w:rPr>
        <w:t xml:space="preserve">：（盖章）             </w:t>
      </w:r>
    </w:p>
    <w:p>
      <w:pPr>
        <w:shd w:val="clear"/>
        <w:kinsoku w:val="0"/>
        <w:topLinePunct/>
        <w:snapToGrid w:val="0"/>
        <w:spacing w:line="520" w:lineRule="exact"/>
        <w:rPr>
          <w:rFonts w:ascii="方正仿宋_GBK"/>
          <w:color w:val="auto"/>
          <w:sz w:val="24"/>
          <w:szCs w:val="24"/>
          <w:highlight w:val="none"/>
        </w:rPr>
      </w:pPr>
      <w:r>
        <w:rPr>
          <w:rFonts w:hint="eastAsia" w:ascii="方正仿宋_GBK"/>
          <w:color w:val="auto"/>
          <w:sz w:val="24"/>
          <w:szCs w:val="24"/>
          <w:highlight w:val="none"/>
        </w:rPr>
        <w:t>法定代表人或被授权人（签字）：</w:t>
      </w:r>
    </w:p>
    <w:p>
      <w:pPr>
        <w:shd w:val="clear"/>
        <w:kinsoku w:val="0"/>
        <w:topLinePunct/>
        <w:snapToGrid w:val="0"/>
        <w:spacing w:line="520" w:lineRule="exact"/>
        <w:rPr>
          <w:rFonts w:ascii="方正仿宋_GBK"/>
          <w:color w:val="auto"/>
          <w:sz w:val="24"/>
          <w:szCs w:val="24"/>
          <w:highlight w:val="none"/>
        </w:rPr>
      </w:pPr>
      <w:r>
        <w:rPr>
          <w:rFonts w:hint="eastAsia" w:ascii="方正仿宋_GBK"/>
          <w:color w:val="auto"/>
          <w:sz w:val="24"/>
          <w:szCs w:val="24"/>
          <w:highlight w:val="none"/>
        </w:rPr>
        <w:t>日期：</w:t>
      </w:r>
    </w:p>
    <w:p>
      <w:pPr>
        <w:shd w:val="clear"/>
        <w:kinsoku w:val="0"/>
        <w:topLinePunct/>
        <w:snapToGrid w:val="0"/>
        <w:spacing w:line="520" w:lineRule="exact"/>
        <w:rPr>
          <w:rFonts w:hint="eastAsia" w:ascii="方正仿宋_GBK"/>
          <w:b/>
          <w:color w:val="auto"/>
          <w:sz w:val="21"/>
          <w:szCs w:val="21"/>
          <w:highlight w:val="none"/>
        </w:rPr>
      </w:pPr>
    </w:p>
    <w:p>
      <w:pPr>
        <w:shd w:val="clear"/>
        <w:kinsoku w:val="0"/>
        <w:topLinePunct/>
        <w:snapToGrid w:val="0"/>
        <w:spacing w:line="520" w:lineRule="exact"/>
        <w:rPr>
          <w:rFonts w:ascii="方正仿宋_GBK"/>
          <w:b/>
          <w:color w:val="auto"/>
          <w:sz w:val="21"/>
          <w:szCs w:val="21"/>
          <w:highlight w:val="none"/>
        </w:rPr>
      </w:pPr>
      <w:r>
        <w:rPr>
          <w:rFonts w:hint="eastAsia" w:ascii="方正仿宋_GBK"/>
          <w:b/>
          <w:color w:val="auto"/>
          <w:sz w:val="21"/>
          <w:szCs w:val="21"/>
          <w:highlight w:val="none"/>
        </w:rPr>
        <w:t>注：</w:t>
      </w:r>
    </w:p>
    <w:p>
      <w:pPr>
        <w:numPr>
          <w:ilvl w:val="0"/>
          <w:numId w:val="0"/>
        </w:numPr>
        <w:shd w:val="clear"/>
        <w:kinsoku w:val="0"/>
        <w:topLinePunct/>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ascii="方正仿宋_GBK"/>
          <w:color w:val="auto"/>
          <w:sz w:val="21"/>
          <w:szCs w:val="21"/>
          <w:highlight w:val="none"/>
        </w:rPr>
        <w:t>本表</w:t>
      </w:r>
      <w:r>
        <w:rPr>
          <w:rFonts w:hint="eastAsia" w:ascii="方正仿宋_GBK"/>
          <w:color w:val="auto"/>
          <w:sz w:val="21"/>
          <w:szCs w:val="21"/>
          <w:highlight w:val="none"/>
        </w:rPr>
        <w:t>为格式表</w:t>
      </w:r>
      <w:r>
        <w:rPr>
          <w:rFonts w:ascii="方正仿宋_GBK"/>
          <w:color w:val="auto"/>
          <w:sz w:val="21"/>
          <w:szCs w:val="21"/>
          <w:highlight w:val="none"/>
        </w:rPr>
        <w:t>，</w:t>
      </w:r>
      <w:r>
        <w:rPr>
          <w:rFonts w:hint="eastAsia" w:ascii="方正仿宋_GBK"/>
          <w:color w:val="auto"/>
          <w:sz w:val="21"/>
          <w:szCs w:val="21"/>
          <w:highlight w:val="none"/>
        </w:rPr>
        <w:t>不得自行改动，必须提供</w:t>
      </w:r>
      <w:r>
        <w:rPr>
          <w:rFonts w:ascii="方正仿宋_GBK"/>
          <w:color w:val="auto"/>
          <w:sz w:val="21"/>
          <w:szCs w:val="21"/>
          <w:highlight w:val="none"/>
        </w:rPr>
        <w:t>。</w:t>
      </w:r>
    </w:p>
    <w:p>
      <w:pPr>
        <w:numPr>
          <w:ilvl w:val="0"/>
          <w:numId w:val="0"/>
        </w:numPr>
        <w:shd w:val="clear"/>
        <w:kinsoku w:val="0"/>
        <w:topLinePunct/>
        <w:snapToGrid w:val="0"/>
        <w:spacing w:line="360" w:lineRule="auto"/>
        <w:ind w:firstLine="210" w:firstLineChars="100"/>
        <w:rPr>
          <w:rFonts w:ascii="方正仿宋_GBK"/>
          <w:color w:val="auto"/>
          <w:sz w:val="21"/>
          <w:szCs w:val="21"/>
          <w:highlight w:val="none"/>
          <w:shd w:val="clear" w:color="auto" w:fill="auto"/>
        </w:rPr>
      </w:pPr>
      <w:r>
        <w:rPr>
          <w:rFonts w:hint="eastAsia" w:ascii="宋体" w:hAnsi="宋体" w:eastAsia="宋体" w:cs="宋体"/>
          <w:color w:val="auto"/>
          <w:kern w:val="2"/>
          <w:sz w:val="21"/>
          <w:szCs w:val="21"/>
          <w:highlight w:val="none"/>
          <w:lang w:val="en-US" w:eastAsia="zh-CN" w:bidi="ar-SA"/>
        </w:rPr>
        <w:t>（2）本项目报价（以人民币计价）应包含但不限于设备及材料费、运输费、保险费、质保期（展览期内）内的维保费、货物本身已支付或将支付的各种税费、以及交付用户使用前所产生的其他所有费用；原材料的涨价及政策性调整等风险费；相关伴随服务以及质保、售后服务等一切费用。供应商的报价应包括为完成本项目所发生的一切费用和税费，即响应磋商文件采购要求的所有各项应有费用，采购人将不再支付报价以外的任何费用。</w:t>
      </w:r>
      <w:r>
        <w:rPr>
          <w:rFonts w:hint="eastAsia" w:hAnsi="宋体" w:cs="宋体"/>
          <w:color w:val="auto"/>
          <w:sz w:val="21"/>
          <w:szCs w:val="21"/>
          <w:highlight w:val="none"/>
          <w:shd w:val="clear" w:color="auto" w:fill="auto"/>
          <w:lang w:val="en-US" w:eastAsia="zh-CN"/>
        </w:rPr>
        <w:t xml:space="preserve">                                    </w:t>
      </w:r>
    </w:p>
    <w:p>
      <w:pPr>
        <w:kinsoku w:val="0"/>
        <w:topLinePunct/>
        <w:snapToGrid w:val="0"/>
        <w:spacing w:line="360" w:lineRule="auto"/>
        <w:rPr>
          <w:rFonts w:hAnsi="宋体" w:cs="宋体"/>
          <w:color w:val="auto"/>
          <w:sz w:val="24"/>
          <w:szCs w:val="24"/>
          <w:highlight w:val="none"/>
          <w:shd w:val="clear" w:color="auto" w:fill="auto"/>
        </w:rPr>
      </w:pPr>
    </w:p>
    <w:p>
      <w:pPr>
        <w:kinsoku w:val="0"/>
        <w:topLinePunct/>
        <w:snapToGrid w:val="0"/>
        <w:spacing w:line="360" w:lineRule="auto"/>
        <w:rPr>
          <w:rFonts w:ascii="方正仿宋_GBK"/>
          <w:color w:val="auto"/>
          <w:sz w:val="24"/>
          <w:szCs w:val="24"/>
          <w:highlight w:val="none"/>
          <w:shd w:val="clear" w:color="auto" w:fill="auto"/>
        </w:rPr>
      </w:pPr>
    </w:p>
    <w:p>
      <w:pPr>
        <w:kinsoku w:val="0"/>
        <w:topLinePunct/>
        <w:snapToGrid w:val="0"/>
        <w:spacing w:line="360" w:lineRule="auto"/>
        <w:rPr>
          <w:rFonts w:hint="eastAsia" w:ascii="方正仿宋_GBK"/>
          <w:b/>
          <w:color w:val="auto"/>
          <w:sz w:val="24"/>
          <w:szCs w:val="24"/>
          <w:highlight w:val="none"/>
          <w:shd w:val="clear" w:color="auto" w:fill="auto"/>
        </w:rPr>
        <w:sectPr>
          <w:pgSz w:w="11906" w:h="16838"/>
          <w:pgMar w:top="1361" w:right="1361" w:bottom="1361" w:left="1361" w:header="851" w:footer="992" w:gutter="0"/>
          <w:cols w:space="720" w:num="1"/>
          <w:docGrid w:type="lines" w:linePitch="328" w:charSpace="0"/>
        </w:sectPr>
      </w:pPr>
      <w:r>
        <w:rPr>
          <w:rFonts w:hint="eastAsia" w:ascii="方正仿宋_GBK"/>
          <w:b/>
          <w:color w:val="auto"/>
          <w:sz w:val="24"/>
          <w:szCs w:val="24"/>
          <w:highlight w:val="none"/>
          <w:shd w:val="clear" w:color="auto" w:fill="auto"/>
        </w:rPr>
        <w:t>注：最终报价将现场填写，响应文件密封提交时只需填写磋商报价总计（首次）。</w:t>
      </w:r>
    </w:p>
    <w:p>
      <w:pPr>
        <w:shd w:val="clear"/>
        <w:spacing w:line="500" w:lineRule="exact"/>
        <w:ind w:left="487"/>
        <w:jc w:val="center"/>
        <w:outlineLvl w:val="3"/>
        <w:rPr>
          <w:rFonts w:hint="eastAsia" w:hAnsi="宋体" w:eastAsia="宋体" w:cs="宋体"/>
          <w:b/>
          <w:bCs/>
          <w:color w:val="auto"/>
          <w:sz w:val="28"/>
          <w:szCs w:val="28"/>
          <w:highlight w:val="none"/>
          <w:lang w:eastAsia="zh-CN"/>
        </w:rPr>
      </w:pPr>
      <w:r>
        <w:rPr>
          <w:rFonts w:hint="eastAsia" w:hAnsi="宋体" w:cs="宋体"/>
          <w:b/>
          <w:bCs/>
          <w:color w:val="auto"/>
          <w:sz w:val="28"/>
          <w:szCs w:val="28"/>
          <w:highlight w:val="none"/>
          <w:lang w:val="en-US" w:eastAsia="zh-CN"/>
        </w:rPr>
        <w:t>7</w:t>
      </w:r>
      <w:r>
        <w:rPr>
          <w:rFonts w:hint="eastAsia" w:hAnsi="宋体" w:cs="宋体"/>
          <w:b/>
          <w:bCs/>
          <w:color w:val="auto"/>
          <w:sz w:val="28"/>
          <w:szCs w:val="28"/>
          <w:highlight w:val="none"/>
        </w:rPr>
        <w:t>.磋商响应报价明细表</w:t>
      </w:r>
      <w:r>
        <w:rPr>
          <w:rFonts w:hint="eastAsia" w:hAnsi="宋体" w:cs="宋体"/>
          <w:b/>
          <w:bCs/>
          <w:color w:val="auto"/>
          <w:sz w:val="28"/>
          <w:szCs w:val="28"/>
          <w:highlight w:val="none"/>
          <w:lang w:eastAsia="zh-CN"/>
        </w:rPr>
        <w:t>（</w:t>
      </w:r>
      <w:r>
        <w:rPr>
          <w:rFonts w:hint="eastAsia" w:hAnsi="宋体" w:cs="宋体"/>
          <w:b/>
          <w:bCs/>
          <w:color w:val="auto"/>
          <w:sz w:val="28"/>
          <w:szCs w:val="28"/>
          <w:highlight w:val="none"/>
          <w:lang w:val="en-US" w:eastAsia="zh-CN"/>
        </w:rPr>
        <w:t>格式自拟</w:t>
      </w:r>
      <w:r>
        <w:rPr>
          <w:rFonts w:hint="eastAsia" w:hAnsi="宋体" w:cs="宋体"/>
          <w:b/>
          <w:bCs/>
          <w:color w:val="auto"/>
          <w:sz w:val="28"/>
          <w:szCs w:val="28"/>
          <w:highlight w:val="none"/>
          <w:lang w:eastAsia="zh-CN"/>
        </w:rPr>
        <w:t>）</w:t>
      </w:r>
    </w:p>
    <w:p>
      <w:pPr>
        <w:shd w:val="clear"/>
        <w:kinsoku w:val="0"/>
        <w:topLinePunct/>
        <w:snapToGrid w:val="0"/>
        <w:spacing w:line="520" w:lineRule="exact"/>
        <w:rPr>
          <w:rFonts w:ascii="方正仿宋_GBK"/>
          <w:b/>
          <w:color w:val="auto"/>
          <w:sz w:val="24"/>
          <w:szCs w:val="24"/>
          <w:highlight w:val="none"/>
        </w:rPr>
      </w:pPr>
      <w:r>
        <w:rPr>
          <w:rFonts w:hint="eastAsia" w:ascii="方正仿宋_GBK"/>
          <w:b/>
          <w:color w:val="auto"/>
          <w:sz w:val="24"/>
          <w:szCs w:val="24"/>
          <w:highlight w:val="none"/>
        </w:rPr>
        <w:t>项目</w:t>
      </w:r>
      <w:r>
        <w:rPr>
          <w:rFonts w:ascii="方正仿宋_GBK"/>
          <w:b/>
          <w:color w:val="auto"/>
          <w:sz w:val="24"/>
          <w:szCs w:val="24"/>
          <w:highlight w:val="none"/>
        </w:rPr>
        <w:t>名称：</w:t>
      </w:r>
    </w:p>
    <w:p>
      <w:pPr>
        <w:shd w:val="clear"/>
        <w:kinsoku w:val="0"/>
        <w:topLinePunct/>
        <w:snapToGrid w:val="0"/>
        <w:spacing w:line="520" w:lineRule="exact"/>
        <w:jc w:val="right"/>
        <w:rPr>
          <w:rFonts w:ascii="方正仿宋_GBK"/>
          <w:color w:val="auto"/>
          <w:sz w:val="24"/>
          <w:szCs w:val="24"/>
          <w:highlight w:val="none"/>
        </w:rPr>
      </w:pPr>
      <w:r>
        <w:rPr>
          <w:rFonts w:hint="eastAsia" w:hAnsi="宋体" w:cs="宋体"/>
          <w:color w:val="auto"/>
          <w:sz w:val="24"/>
          <w:szCs w:val="24"/>
          <w:highlight w:val="none"/>
        </w:rPr>
        <w:t>竞争性磋商响应单位</w:t>
      </w:r>
      <w:r>
        <w:rPr>
          <w:rFonts w:hint="eastAsia" w:ascii="方正仿宋_GBK"/>
          <w:color w:val="auto"/>
          <w:sz w:val="24"/>
          <w:szCs w:val="24"/>
          <w:highlight w:val="none"/>
        </w:rPr>
        <w:t xml:space="preserve">：（盖章）             </w:t>
      </w:r>
    </w:p>
    <w:p>
      <w:pPr>
        <w:shd w:val="clear"/>
        <w:kinsoku w:val="0"/>
        <w:topLinePunct/>
        <w:snapToGrid w:val="0"/>
        <w:spacing w:line="520" w:lineRule="exact"/>
        <w:jc w:val="right"/>
        <w:rPr>
          <w:rFonts w:ascii="方正仿宋_GBK"/>
          <w:color w:val="auto"/>
          <w:sz w:val="24"/>
          <w:szCs w:val="24"/>
          <w:highlight w:val="none"/>
        </w:rPr>
      </w:pPr>
      <w:r>
        <w:rPr>
          <w:rFonts w:hint="eastAsia" w:ascii="方正仿宋_GBK"/>
          <w:color w:val="auto"/>
          <w:sz w:val="24"/>
          <w:szCs w:val="24"/>
          <w:highlight w:val="none"/>
        </w:rPr>
        <w:t>法定代表人或被授权人（签字）：</w:t>
      </w:r>
    </w:p>
    <w:p>
      <w:pPr>
        <w:shd w:val="clear"/>
        <w:jc w:val="right"/>
        <w:rPr>
          <w:color w:val="auto"/>
          <w:highlight w:val="none"/>
        </w:rPr>
      </w:pPr>
      <w:r>
        <w:rPr>
          <w:rFonts w:hint="eastAsia" w:ascii="方正仿宋_GBK"/>
          <w:color w:val="auto"/>
          <w:sz w:val="24"/>
          <w:szCs w:val="24"/>
          <w:highlight w:val="none"/>
        </w:rPr>
        <w:t>日期：</w:t>
      </w:r>
    </w:p>
    <w:p>
      <w:pPr>
        <w:rPr>
          <w:color w:val="auto"/>
          <w:highlight w:val="none"/>
          <w:shd w:val="clear" w:color="auto" w:fill="auto"/>
        </w:rPr>
      </w:pPr>
    </w:p>
    <w:bookmarkEnd w:id="8"/>
    <w:sectPr>
      <w:pgSz w:w="11906" w:h="16838"/>
      <w:pgMar w:top="1361" w:right="1361" w:bottom="1361" w:left="1361" w:header="851" w:footer="992" w:gutter="0"/>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22"/>
      <w:lvlText w:val=""/>
      <w:lvlJc w:val="left"/>
      <w:pPr>
        <w:tabs>
          <w:tab w:val="left" w:pos="780"/>
        </w:tabs>
        <w:ind w:left="780" w:hanging="360"/>
      </w:pPr>
      <w:rPr>
        <w:rFonts w:ascii="Wingdings" w:hAnsi="Wingdings"/>
      </w:rPr>
    </w:lvl>
  </w:abstractNum>
  <w:abstractNum w:abstractNumId="1">
    <w:nsid w:val="461A5EC3"/>
    <w:multiLevelType w:val="singleLevel"/>
    <w:tmpl w:val="461A5EC3"/>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MDgzZWU2Njk2YWFmOTg0NzQzMDU2NTE2ODQyYzAifQ=="/>
  </w:docVars>
  <w:rsids>
    <w:rsidRoot w:val="5B834815"/>
    <w:rsid w:val="000C591E"/>
    <w:rsid w:val="001350DA"/>
    <w:rsid w:val="007720D8"/>
    <w:rsid w:val="00E8407D"/>
    <w:rsid w:val="00F32C76"/>
    <w:rsid w:val="011473B7"/>
    <w:rsid w:val="01610122"/>
    <w:rsid w:val="01E005CD"/>
    <w:rsid w:val="01E03DA0"/>
    <w:rsid w:val="020C62E0"/>
    <w:rsid w:val="020D13AB"/>
    <w:rsid w:val="02C44E0D"/>
    <w:rsid w:val="04D4611C"/>
    <w:rsid w:val="05040C5C"/>
    <w:rsid w:val="05412CA3"/>
    <w:rsid w:val="05AC4443"/>
    <w:rsid w:val="061B25AA"/>
    <w:rsid w:val="06293905"/>
    <w:rsid w:val="06457E1B"/>
    <w:rsid w:val="068C54AD"/>
    <w:rsid w:val="06E061F8"/>
    <w:rsid w:val="07290D29"/>
    <w:rsid w:val="075229E7"/>
    <w:rsid w:val="08875D99"/>
    <w:rsid w:val="08E23539"/>
    <w:rsid w:val="09080023"/>
    <w:rsid w:val="0A682522"/>
    <w:rsid w:val="0A6E28BD"/>
    <w:rsid w:val="0B00275A"/>
    <w:rsid w:val="0B043FF8"/>
    <w:rsid w:val="0B674587"/>
    <w:rsid w:val="0B81389B"/>
    <w:rsid w:val="0C122745"/>
    <w:rsid w:val="0C28392B"/>
    <w:rsid w:val="0C6D1992"/>
    <w:rsid w:val="0C8E5CB7"/>
    <w:rsid w:val="0C975D4D"/>
    <w:rsid w:val="0D07487F"/>
    <w:rsid w:val="0DA25D4B"/>
    <w:rsid w:val="0E3566D2"/>
    <w:rsid w:val="0ED33CD7"/>
    <w:rsid w:val="0EDC784F"/>
    <w:rsid w:val="0F111837"/>
    <w:rsid w:val="0F7A6F7F"/>
    <w:rsid w:val="0F902A90"/>
    <w:rsid w:val="0F976562"/>
    <w:rsid w:val="0FDC6611"/>
    <w:rsid w:val="105151F5"/>
    <w:rsid w:val="109C4CD3"/>
    <w:rsid w:val="10AA61E9"/>
    <w:rsid w:val="11FB4E01"/>
    <w:rsid w:val="123063CE"/>
    <w:rsid w:val="12C16C73"/>
    <w:rsid w:val="130268C3"/>
    <w:rsid w:val="130A2A71"/>
    <w:rsid w:val="134C0C32"/>
    <w:rsid w:val="13ED4FAF"/>
    <w:rsid w:val="13F57B76"/>
    <w:rsid w:val="14483581"/>
    <w:rsid w:val="14FB646C"/>
    <w:rsid w:val="151C74EA"/>
    <w:rsid w:val="154F4FF0"/>
    <w:rsid w:val="15D62A35"/>
    <w:rsid w:val="1663647D"/>
    <w:rsid w:val="16A9014A"/>
    <w:rsid w:val="1720040C"/>
    <w:rsid w:val="172269B7"/>
    <w:rsid w:val="17636221"/>
    <w:rsid w:val="17FF0351"/>
    <w:rsid w:val="181426AF"/>
    <w:rsid w:val="18264164"/>
    <w:rsid w:val="18C43019"/>
    <w:rsid w:val="19526D18"/>
    <w:rsid w:val="1A234EDD"/>
    <w:rsid w:val="1AA20193"/>
    <w:rsid w:val="1AC770B4"/>
    <w:rsid w:val="1B5508A0"/>
    <w:rsid w:val="1B8371BB"/>
    <w:rsid w:val="1B944F25"/>
    <w:rsid w:val="1BA710FC"/>
    <w:rsid w:val="1C2C303B"/>
    <w:rsid w:val="1C2D602B"/>
    <w:rsid w:val="1D2D6BB9"/>
    <w:rsid w:val="1D8A189D"/>
    <w:rsid w:val="1DB775F0"/>
    <w:rsid w:val="1EA23B46"/>
    <w:rsid w:val="1EE33029"/>
    <w:rsid w:val="1F1539D3"/>
    <w:rsid w:val="1FD84531"/>
    <w:rsid w:val="1FF16DE9"/>
    <w:rsid w:val="213845A4"/>
    <w:rsid w:val="214427AF"/>
    <w:rsid w:val="216D3E2C"/>
    <w:rsid w:val="21F7682D"/>
    <w:rsid w:val="22402104"/>
    <w:rsid w:val="22967CEF"/>
    <w:rsid w:val="24C85B57"/>
    <w:rsid w:val="24D551FF"/>
    <w:rsid w:val="25D94FA6"/>
    <w:rsid w:val="262B46D7"/>
    <w:rsid w:val="26CF03AD"/>
    <w:rsid w:val="26FE6198"/>
    <w:rsid w:val="272A6F80"/>
    <w:rsid w:val="28017DE6"/>
    <w:rsid w:val="281958DB"/>
    <w:rsid w:val="28303F0F"/>
    <w:rsid w:val="28FB65E3"/>
    <w:rsid w:val="290A3941"/>
    <w:rsid w:val="2A132F45"/>
    <w:rsid w:val="2A4F3BE0"/>
    <w:rsid w:val="2A5749AB"/>
    <w:rsid w:val="2ACD32E2"/>
    <w:rsid w:val="2AD73080"/>
    <w:rsid w:val="2AF30CAB"/>
    <w:rsid w:val="2AF9470D"/>
    <w:rsid w:val="2B157704"/>
    <w:rsid w:val="2B876854"/>
    <w:rsid w:val="2CE65546"/>
    <w:rsid w:val="2D1D07F3"/>
    <w:rsid w:val="2D436988"/>
    <w:rsid w:val="2DBE15BD"/>
    <w:rsid w:val="2E1365BA"/>
    <w:rsid w:val="2E295D1A"/>
    <w:rsid w:val="2E8B4F66"/>
    <w:rsid w:val="2EC52D15"/>
    <w:rsid w:val="2F185F7D"/>
    <w:rsid w:val="2F2F348A"/>
    <w:rsid w:val="2F4131BE"/>
    <w:rsid w:val="2F78703B"/>
    <w:rsid w:val="2FCB312E"/>
    <w:rsid w:val="30B04157"/>
    <w:rsid w:val="30BD6874"/>
    <w:rsid w:val="30FD5EE8"/>
    <w:rsid w:val="318F2126"/>
    <w:rsid w:val="31E7004C"/>
    <w:rsid w:val="31EA3699"/>
    <w:rsid w:val="32981347"/>
    <w:rsid w:val="344352E2"/>
    <w:rsid w:val="34957CEA"/>
    <w:rsid w:val="35902A8D"/>
    <w:rsid w:val="359E1A84"/>
    <w:rsid w:val="35EB79DF"/>
    <w:rsid w:val="364E048D"/>
    <w:rsid w:val="36A77DAA"/>
    <w:rsid w:val="37DE5CE7"/>
    <w:rsid w:val="37E82428"/>
    <w:rsid w:val="37F37085"/>
    <w:rsid w:val="38D97FC3"/>
    <w:rsid w:val="38E47595"/>
    <w:rsid w:val="38E928FC"/>
    <w:rsid w:val="39656606"/>
    <w:rsid w:val="39B546EA"/>
    <w:rsid w:val="3A1E7A0B"/>
    <w:rsid w:val="3A217E73"/>
    <w:rsid w:val="3BB24E04"/>
    <w:rsid w:val="3C90253B"/>
    <w:rsid w:val="3D6D1C91"/>
    <w:rsid w:val="3E004607"/>
    <w:rsid w:val="3E1F13E7"/>
    <w:rsid w:val="3E6A4D4D"/>
    <w:rsid w:val="3E7C4091"/>
    <w:rsid w:val="3F7C78EC"/>
    <w:rsid w:val="403A57EB"/>
    <w:rsid w:val="404E573A"/>
    <w:rsid w:val="40681178"/>
    <w:rsid w:val="40842F0A"/>
    <w:rsid w:val="415F3F89"/>
    <w:rsid w:val="41D80D76"/>
    <w:rsid w:val="41FB1B85"/>
    <w:rsid w:val="420C6E6A"/>
    <w:rsid w:val="42D26717"/>
    <w:rsid w:val="42D737C5"/>
    <w:rsid w:val="42F425C9"/>
    <w:rsid w:val="43005FB1"/>
    <w:rsid w:val="43321FB9"/>
    <w:rsid w:val="445B167F"/>
    <w:rsid w:val="451C3A5F"/>
    <w:rsid w:val="452B2AE3"/>
    <w:rsid w:val="458A645E"/>
    <w:rsid w:val="45BE2F8C"/>
    <w:rsid w:val="45E7338C"/>
    <w:rsid w:val="462705C0"/>
    <w:rsid w:val="46C35221"/>
    <w:rsid w:val="46CF5DD3"/>
    <w:rsid w:val="476E1911"/>
    <w:rsid w:val="47F34762"/>
    <w:rsid w:val="48A20385"/>
    <w:rsid w:val="48AA192D"/>
    <w:rsid w:val="48C37541"/>
    <w:rsid w:val="48E22EC4"/>
    <w:rsid w:val="49997A26"/>
    <w:rsid w:val="49AF0FF8"/>
    <w:rsid w:val="4A1D5D99"/>
    <w:rsid w:val="4ACB00B3"/>
    <w:rsid w:val="4B187071"/>
    <w:rsid w:val="4B270CDD"/>
    <w:rsid w:val="4B8944F8"/>
    <w:rsid w:val="4C0D6A06"/>
    <w:rsid w:val="4D080038"/>
    <w:rsid w:val="4D1C1598"/>
    <w:rsid w:val="4D6B3A2E"/>
    <w:rsid w:val="4DF547DB"/>
    <w:rsid w:val="4E290CF5"/>
    <w:rsid w:val="4E45017D"/>
    <w:rsid w:val="4F265CEA"/>
    <w:rsid w:val="4F2A1121"/>
    <w:rsid w:val="4F37695C"/>
    <w:rsid w:val="4FBC340C"/>
    <w:rsid w:val="4FF84CC2"/>
    <w:rsid w:val="50412B46"/>
    <w:rsid w:val="50630D8E"/>
    <w:rsid w:val="5146380C"/>
    <w:rsid w:val="51856AE2"/>
    <w:rsid w:val="518E5997"/>
    <w:rsid w:val="51C615D4"/>
    <w:rsid w:val="53161DC8"/>
    <w:rsid w:val="53511372"/>
    <w:rsid w:val="53F72CCF"/>
    <w:rsid w:val="540135DE"/>
    <w:rsid w:val="54F8055C"/>
    <w:rsid w:val="54FC20BB"/>
    <w:rsid w:val="556C4241"/>
    <w:rsid w:val="55A30387"/>
    <w:rsid w:val="56C1236A"/>
    <w:rsid w:val="57B450BA"/>
    <w:rsid w:val="57BB4A48"/>
    <w:rsid w:val="583B614D"/>
    <w:rsid w:val="590F3861"/>
    <w:rsid w:val="591C1ADA"/>
    <w:rsid w:val="598362E0"/>
    <w:rsid w:val="5A6821B9"/>
    <w:rsid w:val="5A9D01E2"/>
    <w:rsid w:val="5AA24261"/>
    <w:rsid w:val="5AC95C92"/>
    <w:rsid w:val="5AFC6BFA"/>
    <w:rsid w:val="5B834815"/>
    <w:rsid w:val="5C437358"/>
    <w:rsid w:val="5C8E2CEF"/>
    <w:rsid w:val="5D5A4708"/>
    <w:rsid w:val="5EC75C15"/>
    <w:rsid w:val="5EE96902"/>
    <w:rsid w:val="5EF17565"/>
    <w:rsid w:val="5F34628C"/>
    <w:rsid w:val="5FD11B2D"/>
    <w:rsid w:val="5FD41360"/>
    <w:rsid w:val="602F2BF1"/>
    <w:rsid w:val="60480506"/>
    <w:rsid w:val="61082EFA"/>
    <w:rsid w:val="610F0176"/>
    <w:rsid w:val="615A3AE7"/>
    <w:rsid w:val="61E039FB"/>
    <w:rsid w:val="61F57F4F"/>
    <w:rsid w:val="628E1C9B"/>
    <w:rsid w:val="641C76D4"/>
    <w:rsid w:val="644840CB"/>
    <w:rsid w:val="64B91ABD"/>
    <w:rsid w:val="64E42046"/>
    <w:rsid w:val="64EA3FE0"/>
    <w:rsid w:val="65F71905"/>
    <w:rsid w:val="660266E7"/>
    <w:rsid w:val="661D3AC8"/>
    <w:rsid w:val="6666175F"/>
    <w:rsid w:val="668D6AD8"/>
    <w:rsid w:val="670634BB"/>
    <w:rsid w:val="673F7A07"/>
    <w:rsid w:val="681607A1"/>
    <w:rsid w:val="68572B2F"/>
    <w:rsid w:val="68B20400"/>
    <w:rsid w:val="6904786F"/>
    <w:rsid w:val="691A6407"/>
    <w:rsid w:val="692E30E7"/>
    <w:rsid w:val="693523D2"/>
    <w:rsid w:val="69650665"/>
    <w:rsid w:val="69CF11C8"/>
    <w:rsid w:val="69D33BD0"/>
    <w:rsid w:val="69DB153D"/>
    <w:rsid w:val="69E00902"/>
    <w:rsid w:val="6A2922A9"/>
    <w:rsid w:val="6A4C76A7"/>
    <w:rsid w:val="6AB04022"/>
    <w:rsid w:val="6B6969C2"/>
    <w:rsid w:val="6C1A634D"/>
    <w:rsid w:val="6C2C2E29"/>
    <w:rsid w:val="6CE546F0"/>
    <w:rsid w:val="6D5835D1"/>
    <w:rsid w:val="6D7F761A"/>
    <w:rsid w:val="6DCC7B1B"/>
    <w:rsid w:val="6E1A330D"/>
    <w:rsid w:val="6E434D29"/>
    <w:rsid w:val="6E6D5B2F"/>
    <w:rsid w:val="6E996B81"/>
    <w:rsid w:val="6F0A2635"/>
    <w:rsid w:val="6F630159"/>
    <w:rsid w:val="6F7A500F"/>
    <w:rsid w:val="6FB6638D"/>
    <w:rsid w:val="720848A9"/>
    <w:rsid w:val="7278049E"/>
    <w:rsid w:val="7284105E"/>
    <w:rsid w:val="730E64E0"/>
    <w:rsid w:val="7357054A"/>
    <w:rsid w:val="73BB48FA"/>
    <w:rsid w:val="73CC2623"/>
    <w:rsid w:val="74BE72A9"/>
    <w:rsid w:val="74E0620B"/>
    <w:rsid w:val="755C0BB7"/>
    <w:rsid w:val="75D106FF"/>
    <w:rsid w:val="76CF5726"/>
    <w:rsid w:val="76DB0407"/>
    <w:rsid w:val="76FF1ACF"/>
    <w:rsid w:val="774D1E53"/>
    <w:rsid w:val="77FC2DAB"/>
    <w:rsid w:val="783669AD"/>
    <w:rsid w:val="79276860"/>
    <w:rsid w:val="79EA0346"/>
    <w:rsid w:val="7A0A5714"/>
    <w:rsid w:val="7A717BD9"/>
    <w:rsid w:val="7B0275D0"/>
    <w:rsid w:val="7B52244F"/>
    <w:rsid w:val="7B60135E"/>
    <w:rsid w:val="7BCE74FC"/>
    <w:rsid w:val="7BEE2280"/>
    <w:rsid w:val="7C377FD4"/>
    <w:rsid w:val="7C7F6AB4"/>
    <w:rsid w:val="7C854A8A"/>
    <w:rsid w:val="7CF77EDF"/>
    <w:rsid w:val="7D417B49"/>
    <w:rsid w:val="7DA56205"/>
    <w:rsid w:val="7DF22338"/>
    <w:rsid w:val="7EBC6925"/>
    <w:rsid w:val="7EDB2E77"/>
    <w:rsid w:val="7EF56303"/>
    <w:rsid w:val="7F112624"/>
    <w:rsid w:val="7F4546DC"/>
    <w:rsid w:val="7F8A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方正仿宋_GB2312"/>
      <w:b/>
      <w:kern w:val="44"/>
      <w:sz w:val="44"/>
    </w:rPr>
  </w:style>
  <w:style w:type="paragraph" w:styleId="3">
    <w:name w:val="heading 2"/>
    <w:basedOn w:val="1"/>
    <w:next w:val="1"/>
    <w:unhideWhenUsed/>
    <w:qFormat/>
    <w:uiPriority w:val="0"/>
    <w:pPr>
      <w:keepNext/>
      <w:keepLines/>
      <w:snapToGrid w:val="0"/>
      <w:spacing w:line="300" w:lineRule="auto"/>
      <w:ind w:firstLine="200" w:firstLineChars="200"/>
      <w:outlineLvl w:val="1"/>
    </w:pPr>
    <w:rPr>
      <w:rFonts w:ascii="Calibri" w:hAnsi="Calibri"/>
      <w:b/>
      <w:bCs/>
      <w:szCs w:val="32"/>
    </w:rPr>
  </w:style>
  <w:style w:type="paragraph" w:styleId="4">
    <w:name w:val="heading 3"/>
    <w:basedOn w:val="1"/>
    <w:next w:val="1"/>
    <w:unhideWhenUsed/>
    <w:qFormat/>
    <w:uiPriority w:val="0"/>
    <w:pPr>
      <w:widowControl/>
      <w:autoSpaceDE w:val="0"/>
      <w:autoSpaceDN w:val="0"/>
      <w:snapToGrid w:val="0"/>
      <w:spacing w:line="300" w:lineRule="auto"/>
      <w:ind w:firstLine="200" w:firstLineChars="200"/>
      <w:outlineLvl w:val="2"/>
    </w:pPr>
    <w:rPr>
      <w:rFonts w:ascii="Calibri" w:hAnsi="Calibri"/>
      <w:b/>
      <w:szCs w:val="20"/>
    </w:rPr>
  </w:style>
  <w:style w:type="paragraph" w:styleId="5">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ind w:firstLine="420"/>
      <w:jc w:val="left"/>
      <w:textAlignment w:val="baseline"/>
    </w:pPr>
    <w:rPr>
      <w:rFonts w:eastAsia="方正仿宋_GB2312"/>
      <w:kern w:val="0"/>
      <w:sz w:val="24"/>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qFormat/>
    <w:uiPriority w:val="0"/>
    <w:pPr>
      <w:widowControl w:val="0"/>
      <w:autoSpaceDE w:val="0"/>
      <w:autoSpaceDN w:val="0"/>
      <w:adjustRightInd w:val="0"/>
    </w:pPr>
    <w:rPr>
      <w:rFonts w:ascii="Times New Roman" w:hAnsi="Times New Roman" w:eastAsia="宋体" w:cs="宋体"/>
      <w:color w:val="000000"/>
      <w:sz w:val="24"/>
      <w:szCs w:val="24"/>
      <w:u w:val="single"/>
      <w:lang w:val="en-US" w:eastAsia="zh-CN" w:bidi="ar-SA"/>
    </w:rPr>
  </w:style>
  <w:style w:type="paragraph" w:styleId="10">
    <w:name w:val="Body Text Indent"/>
    <w:basedOn w:val="1"/>
    <w:next w:val="11"/>
    <w:unhideWhenUsed/>
    <w:qFormat/>
    <w:uiPriority w:val="99"/>
    <w:pPr>
      <w:spacing w:after="120"/>
      <w:ind w:left="420" w:leftChars="200"/>
    </w:pPr>
    <w:rPr>
      <w:szCs w:val="24"/>
    </w:r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Body Text Indent 2"/>
    <w:basedOn w:val="1"/>
    <w:qFormat/>
    <w:uiPriority w:val="0"/>
    <w:pPr>
      <w:spacing w:line="420" w:lineRule="exact"/>
      <w:ind w:firstLine="525"/>
    </w:pPr>
    <w:rPr>
      <w:rFonts w:ascii="宋体"/>
      <w:kern w:val="0"/>
      <w:sz w:val="20"/>
      <w:szCs w:val="20"/>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adjustRightInd w:val="0"/>
      <w:jc w:val="left"/>
      <w:textAlignment w:val="baseline"/>
    </w:pPr>
    <w:rPr>
      <w:rFonts w:eastAsia="方正仿宋_GB2312"/>
      <w:sz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10"/>
    <w:next w:val="1"/>
    <w:unhideWhenUsed/>
    <w:qFormat/>
    <w:uiPriority w:val="99"/>
    <w:pPr>
      <w:ind w:firstLine="20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ListBullet2"/>
    <w:basedOn w:val="1"/>
    <w:qFormat/>
    <w:uiPriority w:val="99"/>
    <w:pPr>
      <w:numPr>
        <w:ilvl w:val="0"/>
        <w:numId w:val="1"/>
      </w:numPr>
    </w:pPr>
  </w:style>
  <w:style w:type="paragraph" w:customStyle="1" w:styleId="23">
    <w:name w:val="正文1"/>
    <w:basedOn w:val="1"/>
    <w:qFormat/>
    <w:uiPriority w:val="0"/>
    <w:pPr>
      <w:ind w:firstLine="361"/>
    </w:pPr>
    <w:rPr>
      <w:rFonts w:ascii="宋体" w:hAnsi="宋体"/>
      <w:szCs w:val="24"/>
    </w:rPr>
  </w:style>
  <w:style w:type="paragraph" w:customStyle="1" w:styleId="2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5">
    <w:name w:val="样式 小四 加粗"/>
    <w:basedOn w:val="21"/>
    <w:qFormat/>
    <w:uiPriority w:val="0"/>
    <w:rPr>
      <w:rFonts w:eastAsia="黑体"/>
      <w:b/>
      <w:bCs/>
      <w:sz w:val="24"/>
    </w:rPr>
  </w:style>
  <w:style w:type="character" w:customStyle="1" w:styleId="26">
    <w:name w:val="页眉 字符"/>
    <w:basedOn w:val="21"/>
    <w:link w:val="15"/>
    <w:qFormat/>
    <w:uiPriority w:val="0"/>
    <w:rPr>
      <w:kern w:val="2"/>
      <w:sz w:val="18"/>
      <w:szCs w:val="18"/>
    </w:rPr>
  </w:style>
  <w:style w:type="paragraph" w:customStyle="1" w:styleId="27">
    <w:name w:val="信息标题1"/>
    <w:basedOn w:val="1"/>
    <w:qFormat/>
    <w:uiPriority w:val="99"/>
    <w:pPr>
      <w:pBdr>
        <w:top w:val="single" w:color="000000" w:sz="6" w:space="1"/>
        <w:left w:val="single" w:color="000000" w:sz="6" w:space="1"/>
        <w:bottom w:val="single" w:color="000000" w:sz="6" w:space="1"/>
        <w:right w:val="single" w:color="000000" w:sz="6" w:space="1"/>
      </w:pBdr>
      <w:shd w:val="clear" w:color="auto" w:fill="7F7F7F"/>
      <w:spacing w:before="100" w:beforeAutospacing="1" w:after="100" w:afterAutospacing="1"/>
      <w:ind w:left="1080" w:hanging="1080"/>
    </w:pPr>
    <w:rPr>
      <w:rFonts w:ascii="Cambria" w:hAnsi="Cambria"/>
      <w:sz w:val="24"/>
      <w:szCs w:val="24"/>
    </w:rPr>
  </w:style>
  <w:style w:type="character" w:customStyle="1" w:styleId="28">
    <w:name w:val="NormalCharacter"/>
    <w:qFormat/>
    <w:uiPriority w:val="0"/>
  </w:style>
  <w:style w:type="paragraph" w:customStyle="1" w:styleId="29">
    <w:name w:val="正文缩进2格"/>
    <w:basedOn w:val="1"/>
    <w:qFormat/>
    <w:uiPriority w:val="0"/>
    <w:pPr>
      <w:spacing w:line="600" w:lineRule="exact"/>
      <w:ind w:firstLine="639"/>
    </w:pPr>
    <w:rPr>
      <w:rFonts w:ascii="仿宋_GB2312" w:hAnsi="宋体" w:eastAsia="仿宋_GB2312"/>
      <w:sz w:val="31"/>
      <w:szCs w:val="28"/>
    </w:rPr>
  </w:style>
  <w:style w:type="paragraph" w:customStyle="1" w:styleId="30">
    <w:name w:val="图例"/>
    <w:basedOn w:val="1"/>
    <w:qFormat/>
    <w:uiPriority w:val="0"/>
    <w:pPr>
      <w:spacing w:before="120" w:after="120" w:line="360" w:lineRule="auto"/>
      <w:jc w:val="center"/>
    </w:pPr>
    <w:rPr>
      <w:rFonts w:eastAsia="仿宋_GB2312"/>
      <w:b/>
      <w:sz w:val="24"/>
      <w:szCs w:val="20"/>
    </w:rPr>
  </w:style>
  <w:style w:type="character" w:customStyle="1" w:styleId="31">
    <w:name w:val="font21"/>
    <w:basedOn w:val="21"/>
    <w:qFormat/>
    <w:uiPriority w:val="0"/>
    <w:rPr>
      <w:rFonts w:hint="eastAsia" w:ascii="宋体" w:hAnsi="宋体" w:eastAsia="宋体" w:cs="宋体"/>
      <w:color w:val="000000"/>
      <w:sz w:val="22"/>
      <w:szCs w:val="22"/>
      <w:u w:val="none"/>
      <w:vertAlign w:val="superscript"/>
    </w:rPr>
  </w:style>
  <w:style w:type="character" w:customStyle="1" w:styleId="32">
    <w:name w:val="font01"/>
    <w:basedOn w:val="21"/>
    <w:qFormat/>
    <w:uiPriority w:val="0"/>
    <w:rPr>
      <w:rFonts w:hint="eastAsia" w:ascii="宋体" w:hAnsi="宋体" w:eastAsia="宋体" w:cs="宋体"/>
      <w:color w:val="000000"/>
      <w:sz w:val="22"/>
      <w:szCs w:val="22"/>
      <w:u w:val="none"/>
    </w:rPr>
  </w:style>
  <w:style w:type="character" w:customStyle="1" w:styleId="33">
    <w:name w:val="font31"/>
    <w:basedOn w:val="21"/>
    <w:qFormat/>
    <w:uiPriority w:val="0"/>
    <w:rPr>
      <w:rFonts w:hint="eastAsia" w:ascii="宋体" w:hAnsi="宋体" w:eastAsia="宋体" w:cs="宋体"/>
      <w:color w:val="000000"/>
      <w:sz w:val="22"/>
      <w:szCs w:val="22"/>
      <w:u w:val="none"/>
      <w:vertAlign w:val="superscript"/>
    </w:rPr>
  </w:style>
  <w:style w:type="character" w:customStyle="1" w:styleId="34">
    <w:name w:val="font41"/>
    <w:basedOn w:val="21"/>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8863</Words>
  <Characters>9152</Characters>
  <Lines>119</Lines>
  <Paragraphs>33</Paragraphs>
  <TotalTime>9</TotalTime>
  <ScaleCrop>false</ScaleCrop>
  <LinksUpToDate>false</LinksUpToDate>
  <CharactersWithSpaces>9195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2024-03-20T06:47:00Z</dcterms:created>
  <dc:creator>Dell</dc:creator>
  <cp:lastModifiedBy>L</cp:lastModifiedBy>
  <cp:lastPrinted>2024-03-21T02:02:00Z</cp:lastPrinted>
  <dcterms:modified xsi:type="dcterms:W3CDTF">2025-11-17T09:09:34Z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5CB625A858F746AF8AD809815FAC866E_13</vt:lpwstr>
  </property>
  <property fmtid="{D5CDD505-2E9C-101B-9397-08002B2CF9AE}" pid="4" name="KSOTemplateDocerSaveRecord">
    <vt:lpwstr>eyJoZGlkIjoiNzc3NGZiODMwZWIxNGQ1ZGM3NzU3NzM0MzJmZjJlOWYiLCJ1c2VySWQiOiIxMjY5NzgzNzg4In0=</vt:lpwstr>
  </property>
</Properties>
</file>