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300"/>
        </w:tabs>
        <w:snapToGrid w:val="0"/>
        <w:spacing w:line="300" w:lineRule="auto"/>
        <w:jc w:val="center"/>
        <w:rPr>
          <w:rFonts w:cs="宋体"/>
          <w:b/>
          <w:bCs/>
          <w:sz w:val="48"/>
          <w:szCs w:val="48"/>
        </w:rPr>
      </w:pPr>
    </w:p>
    <w:p>
      <w:pPr>
        <w:tabs>
          <w:tab w:val="left" w:pos="6300"/>
        </w:tabs>
        <w:snapToGrid w:val="0"/>
        <w:spacing w:line="300" w:lineRule="auto"/>
        <w:jc w:val="center"/>
        <w:rPr>
          <w:rFonts w:cs="宋体"/>
          <w:b/>
          <w:bCs/>
          <w:sz w:val="48"/>
          <w:szCs w:val="48"/>
        </w:rPr>
      </w:pPr>
    </w:p>
    <w:p>
      <w:pPr>
        <w:tabs>
          <w:tab w:val="left" w:pos="6300"/>
        </w:tabs>
        <w:snapToGrid w:val="0"/>
        <w:spacing w:line="300" w:lineRule="auto"/>
        <w:jc w:val="center"/>
        <w:rPr>
          <w:rFonts w:ascii="宋体"/>
          <w:b/>
          <w:bCs/>
          <w:w w:val="80"/>
          <w:sz w:val="48"/>
          <w:szCs w:val="48"/>
        </w:rPr>
      </w:pPr>
      <w:r>
        <w:rPr>
          <w:rFonts w:hint="eastAsia" w:cs="宋体"/>
          <w:b/>
          <w:bCs/>
          <w:sz w:val="48"/>
          <w:szCs w:val="48"/>
        </w:rPr>
        <w:t>2024年南通智慧文旅平台基础运维项目</w:t>
      </w:r>
    </w:p>
    <w:p>
      <w:pPr>
        <w:tabs>
          <w:tab w:val="left" w:pos="6300"/>
        </w:tabs>
        <w:snapToGrid w:val="0"/>
        <w:spacing w:line="300" w:lineRule="auto"/>
        <w:jc w:val="center"/>
        <w:rPr>
          <w:rFonts w:ascii="宋体"/>
          <w:b/>
          <w:bCs/>
          <w:w w:val="80"/>
          <w:sz w:val="96"/>
          <w:szCs w:val="96"/>
        </w:rPr>
      </w:pPr>
    </w:p>
    <w:p>
      <w:pPr>
        <w:tabs>
          <w:tab w:val="left" w:pos="6300"/>
        </w:tabs>
        <w:snapToGrid w:val="0"/>
        <w:spacing w:line="300" w:lineRule="auto"/>
        <w:jc w:val="center"/>
        <w:rPr>
          <w:rFonts w:ascii="宋体"/>
          <w:b/>
          <w:bCs/>
          <w:w w:val="80"/>
          <w:sz w:val="48"/>
          <w:szCs w:val="48"/>
        </w:rPr>
      </w:pPr>
    </w:p>
    <w:p>
      <w:pPr>
        <w:tabs>
          <w:tab w:val="left" w:pos="6300"/>
        </w:tabs>
        <w:snapToGrid w:val="0"/>
        <w:spacing w:line="300" w:lineRule="auto"/>
        <w:jc w:val="center"/>
        <w:rPr>
          <w:rFonts w:ascii="宋体"/>
          <w:b/>
          <w:bCs/>
          <w:w w:val="80"/>
          <w:sz w:val="96"/>
          <w:szCs w:val="96"/>
        </w:rPr>
      </w:pPr>
    </w:p>
    <w:p>
      <w:pPr>
        <w:tabs>
          <w:tab w:val="left" w:pos="6300"/>
        </w:tabs>
        <w:snapToGrid w:val="0"/>
        <w:spacing w:line="300" w:lineRule="auto"/>
        <w:jc w:val="center"/>
        <w:rPr>
          <w:rFonts w:ascii="宋体"/>
          <w:b/>
          <w:bCs/>
          <w:w w:val="80"/>
          <w:sz w:val="96"/>
          <w:szCs w:val="96"/>
        </w:rPr>
      </w:pPr>
      <w:r>
        <w:rPr>
          <w:rFonts w:hint="eastAsia" w:ascii="宋体" w:hAnsi="宋体" w:cs="宋体"/>
          <w:b/>
          <w:bCs/>
          <w:w w:val="80"/>
          <w:sz w:val="96"/>
          <w:szCs w:val="96"/>
        </w:rPr>
        <w:t>竞争性磋商文件</w:t>
      </w:r>
    </w:p>
    <w:p>
      <w:pPr>
        <w:jc w:val="center"/>
        <w:rPr>
          <w:rFonts w:ascii="宋体"/>
          <w:b/>
          <w:bCs/>
          <w:sz w:val="44"/>
          <w:szCs w:val="44"/>
        </w:rPr>
      </w:pPr>
    </w:p>
    <w:p>
      <w:pPr>
        <w:spacing w:line="360" w:lineRule="auto"/>
        <w:jc w:val="center"/>
        <w:rPr>
          <w:rFonts w:ascii="宋体"/>
          <w:b/>
          <w:bCs/>
          <w:color w:val="C0504D" w:themeColor="accent2"/>
          <w:sz w:val="44"/>
          <w:szCs w:val="44"/>
          <w14:textFill>
            <w14:solidFill>
              <w14:schemeClr w14:val="accent2"/>
            </w14:solidFill>
          </w14:textFill>
        </w:rPr>
      </w:pPr>
      <w:r>
        <w:rPr>
          <w:rFonts w:hint="eastAsia" w:ascii="宋体" w:hAnsi="宋体" w:cs="宋体"/>
          <w:b/>
          <w:bCs/>
          <w:sz w:val="44"/>
          <w:szCs w:val="44"/>
        </w:rPr>
        <w:t>项目编号：NTWC2024006</w:t>
      </w:r>
      <w:r>
        <w:rPr>
          <w:rFonts w:hint="eastAsia" w:ascii="宋体" w:hAnsi="宋体" w:cs="宋体"/>
          <w:b/>
          <w:sz w:val="36"/>
        </w:rPr>
        <w:t xml:space="preserve">   </w:t>
      </w:r>
    </w:p>
    <w:p>
      <w:pPr>
        <w:snapToGrid w:val="0"/>
        <w:spacing w:line="360" w:lineRule="auto"/>
        <w:rPr>
          <w:rFonts w:ascii="宋体"/>
          <w:b/>
          <w:bCs/>
          <w:color w:val="000000"/>
          <w:sz w:val="36"/>
          <w:szCs w:val="36"/>
        </w:rPr>
      </w:pPr>
    </w:p>
    <w:p>
      <w:pPr>
        <w:pStyle w:val="51"/>
        <w:ind w:firstLine="480"/>
      </w:pPr>
    </w:p>
    <w:p>
      <w:pPr>
        <w:pStyle w:val="51"/>
        <w:ind w:firstLine="480"/>
      </w:pPr>
    </w:p>
    <w:p>
      <w:pPr>
        <w:snapToGrid w:val="0"/>
        <w:spacing w:line="360" w:lineRule="auto"/>
        <w:rPr>
          <w:rFonts w:ascii="宋体"/>
          <w:b/>
          <w:bCs/>
          <w:color w:val="000000"/>
          <w:sz w:val="36"/>
          <w:szCs w:val="36"/>
        </w:rPr>
      </w:pPr>
    </w:p>
    <w:p>
      <w:pPr>
        <w:adjustRightInd w:val="0"/>
        <w:snapToGrid w:val="0"/>
        <w:spacing w:line="360" w:lineRule="auto"/>
        <w:jc w:val="center"/>
        <w:rPr>
          <w:b/>
          <w:bCs/>
          <w:color w:val="262626"/>
          <w:sz w:val="30"/>
          <w:szCs w:val="30"/>
        </w:rPr>
      </w:pPr>
      <w:bookmarkStart w:id="0" w:name="_Toc94544743"/>
      <w:bookmarkStart w:id="1" w:name="_Toc521203417"/>
      <w:bookmarkStart w:id="2" w:name="_Toc521201596"/>
      <w:bookmarkStart w:id="3" w:name="_Toc11499583"/>
      <w:bookmarkStart w:id="4" w:name="_Toc8895738"/>
      <w:bookmarkStart w:id="5" w:name="_Toc94544827"/>
      <w:bookmarkStart w:id="6" w:name="_Toc11554638"/>
      <w:bookmarkStart w:id="7" w:name="_Toc12670502"/>
      <w:bookmarkStart w:id="8" w:name="_Toc94585339"/>
      <w:bookmarkStart w:id="9" w:name="_Toc11500279"/>
      <w:r>
        <w:rPr>
          <w:rFonts w:hint="eastAsia" w:ascii="宋体" w:hAnsi="宋体" w:cs="宋体"/>
          <w:b/>
          <w:bCs/>
          <w:sz w:val="30"/>
          <w:szCs w:val="30"/>
        </w:rPr>
        <w:t>采购单位：南通市文化广电和旅游局</w:t>
      </w:r>
    </w:p>
    <w:p>
      <w:pPr>
        <w:adjustRightInd w:val="0"/>
        <w:snapToGrid w:val="0"/>
        <w:spacing w:line="360" w:lineRule="auto"/>
        <w:jc w:val="center"/>
        <w:rPr>
          <w:b/>
          <w:bCs/>
          <w:sz w:val="30"/>
          <w:szCs w:val="30"/>
        </w:rPr>
      </w:pPr>
    </w:p>
    <w:p>
      <w:pPr>
        <w:adjustRightInd w:val="0"/>
        <w:snapToGrid w:val="0"/>
        <w:spacing w:line="360" w:lineRule="auto"/>
        <w:jc w:val="center"/>
        <w:rPr>
          <w:rFonts w:ascii="宋体"/>
          <w:b/>
          <w:bCs/>
          <w:sz w:val="30"/>
          <w:szCs w:val="30"/>
        </w:rPr>
      </w:pPr>
      <w:r>
        <w:rPr>
          <w:rFonts w:hint="eastAsia" w:ascii="宋体" w:hAnsi="宋体" w:cs="宋体"/>
          <w:b/>
          <w:bCs/>
          <w:sz w:val="30"/>
          <w:szCs w:val="30"/>
        </w:rPr>
        <w:t>二〇二四年二月</w:t>
      </w:r>
      <w:r>
        <w:rPr>
          <w:rFonts w:hint="eastAsia" w:ascii="宋体" w:hAnsi="宋体" w:cs="宋体"/>
          <w:b/>
          <w:bCs/>
          <w:sz w:val="30"/>
          <w:szCs w:val="30"/>
          <w:lang w:val="en-US" w:eastAsia="zh-CN"/>
        </w:rPr>
        <w:t>二十七</w:t>
      </w:r>
      <w:r>
        <w:rPr>
          <w:rFonts w:hint="eastAsia" w:ascii="宋体" w:hAnsi="宋体" w:cs="宋体"/>
          <w:b/>
          <w:bCs/>
          <w:sz w:val="30"/>
          <w:szCs w:val="30"/>
        </w:rPr>
        <w:t>日</w:t>
      </w:r>
    </w:p>
    <w:p>
      <w:pPr>
        <w:jc w:val="center"/>
        <w:rPr>
          <w:rFonts w:ascii="宋体"/>
          <w:b/>
          <w:bCs/>
          <w:i/>
          <w:iCs/>
          <w:color w:val="000000"/>
          <w:w w:val="80"/>
          <w:sz w:val="52"/>
          <w:szCs w:val="52"/>
        </w:rPr>
      </w:pPr>
      <w:r>
        <w:rPr>
          <w:rFonts w:ascii="宋体"/>
          <w:b/>
          <w:bCs/>
          <w:sz w:val="44"/>
          <w:szCs w:val="44"/>
        </w:rPr>
        <w:br w:type="page"/>
      </w:r>
      <w:r>
        <w:rPr>
          <w:rFonts w:hint="eastAsia" w:ascii="宋体" w:hAnsi="宋体" w:cs="宋体"/>
          <w:b/>
          <w:bCs/>
          <w:color w:val="000000"/>
          <w:w w:val="80"/>
          <w:sz w:val="52"/>
          <w:szCs w:val="52"/>
        </w:rPr>
        <w:t>目</w:t>
      </w:r>
      <w:r>
        <w:rPr>
          <w:rFonts w:ascii="宋体" w:hAnsi="宋体" w:cs="宋体"/>
          <w:b/>
          <w:bCs/>
          <w:color w:val="000000"/>
          <w:w w:val="80"/>
          <w:sz w:val="52"/>
          <w:szCs w:val="52"/>
        </w:rPr>
        <w:t xml:space="preserve">   </w:t>
      </w:r>
      <w:r>
        <w:rPr>
          <w:rFonts w:hint="eastAsia" w:ascii="宋体" w:hAnsi="宋体" w:cs="宋体"/>
          <w:b/>
          <w:bCs/>
          <w:color w:val="000000"/>
          <w:w w:val="80"/>
          <w:sz w:val="52"/>
          <w:szCs w:val="52"/>
        </w:rPr>
        <w:t>录</w:t>
      </w:r>
    </w:p>
    <w:p>
      <w:pPr>
        <w:spacing w:line="800" w:lineRule="exact"/>
        <w:jc w:val="center"/>
        <w:rPr>
          <w:rFonts w:ascii="宋体"/>
          <w:b/>
          <w:bCs/>
          <w:color w:val="000000"/>
          <w:sz w:val="52"/>
          <w:szCs w:val="52"/>
        </w:rPr>
      </w:pPr>
    </w:p>
    <w:p>
      <w:pPr>
        <w:pStyle w:val="24"/>
        <w:tabs>
          <w:tab w:val="left" w:pos="1050"/>
          <w:tab w:val="right" w:leader="dot" w:pos="9402"/>
        </w:tabs>
        <w:spacing w:line="520" w:lineRule="exact"/>
        <w:ind w:left="0"/>
        <w:rPr>
          <w:rFonts w:ascii="宋体"/>
          <w:i w:val="0"/>
          <w:iCs w:val="0"/>
          <w:color w:val="000000"/>
          <w:w w:val="80"/>
          <w:sz w:val="36"/>
          <w:szCs w:val="36"/>
        </w:rPr>
      </w:pPr>
      <w:r>
        <w:rPr>
          <w:rFonts w:hint="eastAsia" w:ascii="宋体" w:hAnsi="宋体" w:cs="宋体"/>
          <w:i w:val="0"/>
          <w:iCs w:val="0"/>
          <w:color w:val="000000"/>
          <w:w w:val="80"/>
          <w:sz w:val="36"/>
          <w:szCs w:val="36"/>
        </w:rPr>
        <w:t>第一章</w:t>
      </w:r>
      <w:r>
        <w:rPr>
          <w:rFonts w:ascii="宋体" w:hAnsi="宋体" w:cs="宋体"/>
          <w:i w:val="0"/>
          <w:iCs w:val="0"/>
          <w:color w:val="000000"/>
          <w:w w:val="80"/>
          <w:sz w:val="36"/>
          <w:szCs w:val="36"/>
        </w:rPr>
        <w:t xml:space="preserve">       </w:t>
      </w:r>
      <w:r>
        <w:rPr>
          <w:rFonts w:hint="eastAsia" w:ascii="宋体" w:hAnsi="宋体" w:cs="宋体"/>
          <w:i w:val="0"/>
          <w:iCs w:val="0"/>
          <w:color w:val="000000"/>
          <w:w w:val="80"/>
          <w:sz w:val="36"/>
          <w:szCs w:val="36"/>
        </w:rPr>
        <w:t>竞争性磋商公告</w:t>
      </w:r>
    </w:p>
    <w:p>
      <w:pPr>
        <w:rPr>
          <w:rFonts w:ascii="宋体"/>
          <w:color w:val="000000"/>
          <w:sz w:val="36"/>
          <w:szCs w:val="36"/>
        </w:rPr>
      </w:pPr>
    </w:p>
    <w:p>
      <w:pPr>
        <w:pStyle w:val="24"/>
        <w:tabs>
          <w:tab w:val="left" w:pos="1050"/>
          <w:tab w:val="right" w:leader="dot" w:pos="9402"/>
        </w:tabs>
        <w:spacing w:line="520" w:lineRule="exact"/>
        <w:ind w:left="0"/>
        <w:rPr>
          <w:rFonts w:ascii="宋体"/>
          <w:i w:val="0"/>
          <w:iCs w:val="0"/>
          <w:color w:val="000000"/>
          <w:w w:val="80"/>
          <w:sz w:val="36"/>
          <w:szCs w:val="36"/>
        </w:rPr>
      </w:pPr>
      <w:r>
        <w:rPr>
          <w:rFonts w:hint="eastAsia" w:ascii="宋体" w:hAnsi="宋体" w:cs="宋体"/>
          <w:i w:val="0"/>
          <w:iCs w:val="0"/>
          <w:color w:val="000000"/>
          <w:w w:val="80"/>
          <w:sz w:val="36"/>
          <w:szCs w:val="36"/>
        </w:rPr>
        <w:t>第二章</w:t>
      </w:r>
      <w:r>
        <w:rPr>
          <w:rFonts w:ascii="宋体" w:hAnsi="宋体" w:cs="宋体"/>
          <w:i w:val="0"/>
          <w:iCs w:val="0"/>
          <w:color w:val="000000"/>
          <w:w w:val="80"/>
          <w:sz w:val="36"/>
          <w:szCs w:val="36"/>
        </w:rPr>
        <w:t xml:space="preserve">       </w:t>
      </w:r>
      <w:r>
        <w:rPr>
          <w:rFonts w:hint="eastAsia" w:ascii="宋体" w:hAnsi="宋体" w:cs="宋体"/>
          <w:i w:val="0"/>
          <w:iCs w:val="0"/>
          <w:color w:val="000000"/>
          <w:w w:val="80"/>
          <w:sz w:val="36"/>
          <w:szCs w:val="36"/>
        </w:rPr>
        <w:t>磋商供应商须知</w:t>
      </w:r>
    </w:p>
    <w:p>
      <w:pPr>
        <w:rPr>
          <w:rFonts w:ascii="宋体"/>
          <w:color w:val="000000"/>
          <w:sz w:val="36"/>
          <w:szCs w:val="36"/>
        </w:rPr>
      </w:pPr>
    </w:p>
    <w:p>
      <w:pPr>
        <w:pStyle w:val="24"/>
        <w:tabs>
          <w:tab w:val="left" w:pos="1050"/>
          <w:tab w:val="right" w:leader="dot" w:pos="9402"/>
        </w:tabs>
        <w:spacing w:line="520" w:lineRule="exact"/>
        <w:ind w:left="1"/>
        <w:rPr>
          <w:rFonts w:ascii="宋体"/>
          <w:i w:val="0"/>
          <w:iCs w:val="0"/>
          <w:color w:val="000000"/>
          <w:w w:val="80"/>
          <w:sz w:val="36"/>
          <w:szCs w:val="36"/>
        </w:rPr>
      </w:pPr>
      <w:r>
        <w:rPr>
          <w:rFonts w:hint="eastAsia" w:ascii="宋体" w:hAnsi="宋体" w:cs="宋体"/>
          <w:i w:val="0"/>
          <w:iCs w:val="0"/>
          <w:color w:val="000000"/>
          <w:w w:val="80"/>
          <w:sz w:val="36"/>
          <w:szCs w:val="36"/>
        </w:rPr>
        <w:t>第三章</w:t>
      </w:r>
      <w:r>
        <w:rPr>
          <w:rFonts w:ascii="宋体" w:hAnsi="宋体" w:cs="宋体"/>
          <w:i w:val="0"/>
          <w:iCs w:val="0"/>
          <w:color w:val="000000"/>
          <w:w w:val="80"/>
          <w:sz w:val="36"/>
          <w:szCs w:val="36"/>
        </w:rPr>
        <w:t xml:space="preserve">       </w:t>
      </w:r>
      <w:r>
        <w:rPr>
          <w:rFonts w:hint="eastAsia" w:ascii="宋体" w:hAnsi="宋体" w:cs="宋体"/>
          <w:i w:val="0"/>
          <w:iCs w:val="0"/>
          <w:color w:val="000000"/>
          <w:w w:val="80"/>
          <w:sz w:val="36"/>
          <w:szCs w:val="36"/>
        </w:rPr>
        <w:t>项目需求</w:t>
      </w:r>
    </w:p>
    <w:p>
      <w:pPr>
        <w:rPr>
          <w:rFonts w:ascii="宋体"/>
          <w:color w:val="000000"/>
          <w:sz w:val="36"/>
          <w:szCs w:val="36"/>
        </w:rPr>
      </w:pPr>
    </w:p>
    <w:p>
      <w:pPr>
        <w:pStyle w:val="24"/>
        <w:tabs>
          <w:tab w:val="left" w:pos="1050"/>
          <w:tab w:val="right" w:leader="dot" w:pos="9402"/>
        </w:tabs>
        <w:spacing w:line="520" w:lineRule="exact"/>
        <w:ind w:left="0"/>
        <w:rPr>
          <w:rFonts w:ascii="宋体"/>
          <w:i w:val="0"/>
          <w:iCs w:val="0"/>
          <w:color w:val="000000"/>
          <w:w w:val="80"/>
          <w:sz w:val="36"/>
          <w:szCs w:val="36"/>
        </w:rPr>
      </w:pPr>
      <w:r>
        <w:rPr>
          <w:rFonts w:hint="eastAsia" w:ascii="宋体" w:hAnsi="宋体" w:cs="宋体"/>
          <w:i w:val="0"/>
          <w:iCs w:val="0"/>
          <w:color w:val="000000"/>
          <w:w w:val="80"/>
          <w:sz w:val="36"/>
          <w:szCs w:val="36"/>
        </w:rPr>
        <w:t>第四章</w:t>
      </w:r>
      <w:r>
        <w:rPr>
          <w:rFonts w:ascii="宋体" w:hAnsi="宋体" w:cs="宋体"/>
          <w:i w:val="0"/>
          <w:iCs w:val="0"/>
          <w:color w:val="000000"/>
          <w:w w:val="80"/>
          <w:sz w:val="36"/>
          <w:szCs w:val="36"/>
        </w:rPr>
        <w:t xml:space="preserve">       </w:t>
      </w:r>
      <w:r>
        <w:rPr>
          <w:rFonts w:hint="eastAsia" w:ascii="宋体" w:hAnsi="宋体" w:cs="宋体"/>
          <w:i w:val="0"/>
          <w:iCs w:val="0"/>
          <w:color w:val="000000"/>
          <w:w w:val="80"/>
          <w:sz w:val="36"/>
          <w:szCs w:val="36"/>
        </w:rPr>
        <w:t>评审方法和程序</w:t>
      </w:r>
    </w:p>
    <w:p>
      <w:pPr>
        <w:rPr>
          <w:rFonts w:ascii="宋体"/>
          <w:color w:val="000000"/>
          <w:sz w:val="36"/>
          <w:szCs w:val="36"/>
        </w:rPr>
      </w:pPr>
    </w:p>
    <w:p>
      <w:pPr>
        <w:pStyle w:val="24"/>
        <w:numPr>
          <w:ilvl w:val="0"/>
          <w:numId w:val="2"/>
        </w:numPr>
        <w:tabs>
          <w:tab w:val="left" w:pos="1050"/>
          <w:tab w:val="right" w:leader="dot" w:pos="9402"/>
        </w:tabs>
        <w:spacing w:line="520" w:lineRule="exact"/>
        <w:ind w:left="0"/>
        <w:rPr>
          <w:rFonts w:ascii="宋体"/>
          <w:i w:val="0"/>
          <w:iCs w:val="0"/>
          <w:color w:val="000000"/>
          <w:w w:val="80"/>
          <w:sz w:val="36"/>
          <w:szCs w:val="36"/>
        </w:rPr>
      </w:pPr>
      <w:r>
        <w:rPr>
          <w:rFonts w:ascii="宋体" w:hAnsi="宋体" w:cs="宋体"/>
          <w:i w:val="0"/>
          <w:iCs w:val="0"/>
          <w:color w:val="000000"/>
          <w:w w:val="80"/>
          <w:sz w:val="36"/>
          <w:szCs w:val="36"/>
        </w:rPr>
        <w:t xml:space="preserve">      </w:t>
      </w:r>
      <w:r>
        <w:rPr>
          <w:rFonts w:hint="eastAsia" w:ascii="宋体" w:hAnsi="宋体" w:cs="宋体"/>
          <w:i w:val="0"/>
          <w:iCs w:val="0"/>
          <w:color w:val="000000"/>
          <w:w w:val="80"/>
          <w:sz w:val="36"/>
          <w:szCs w:val="36"/>
        </w:rPr>
        <w:t>合同主要条款</w:t>
      </w:r>
    </w:p>
    <w:p>
      <w:pPr>
        <w:rPr>
          <w:rFonts w:ascii="宋体"/>
          <w:i/>
          <w:iCs/>
          <w:color w:val="000000"/>
          <w:w w:val="80"/>
          <w:sz w:val="36"/>
          <w:szCs w:val="36"/>
        </w:rPr>
      </w:pPr>
    </w:p>
    <w:p>
      <w:pPr>
        <w:pStyle w:val="24"/>
        <w:numPr>
          <w:ilvl w:val="0"/>
          <w:numId w:val="2"/>
        </w:numPr>
        <w:tabs>
          <w:tab w:val="left" w:pos="1050"/>
          <w:tab w:val="right" w:leader="dot" w:pos="9402"/>
        </w:tabs>
        <w:spacing w:line="520" w:lineRule="exact"/>
        <w:ind w:left="0"/>
        <w:rPr>
          <w:rFonts w:ascii="宋体"/>
          <w:i w:val="0"/>
          <w:iCs w:val="0"/>
          <w:color w:val="000000"/>
          <w:w w:val="80"/>
          <w:sz w:val="36"/>
          <w:szCs w:val="36"/>
        </w:rPr>
      </w:pPr>
      <w:r>
        <w:rPr>
          <w:rFonts w:ascii="宋体" w:hAnsi="宋体" w:cs="宋体"/>
          <w:i w:val="0"/>
          <w:iCs w:val="0"/>
          <w:color w:val="000000"/>
          <w:w w:val="80"/>
          <w:sz w:val="36"/>
          <w:szCs w:val="36"/>
        </w:rPr>
        <w:t xml:space="preserve">      </w:t>
      </w:r>
      <w:r>
        <w:rPr>
          <w:rFonts w:hint="eastAsia" w:ascii="宋体" w:hAnsi="宋体" w:cs="宋体"/>
          <w:i w:val="0"/>
          <w:iCs w:val="0"/>
          <w:color w:val="000000"/>
          <w:w w:val="80"/>
          <w:sz w:val="36"/>
          <w:szCs w:val="36"/>
        </w:rPr>
        <w:t>合同授予</w:t>
      </w:r>
    </w:p>
    <w:p>
      <w:pPr>
        <w:rPr>
          <w:rFonts w:ascii="宋体"/>
          <w:color w:val="000000"/>
          <w:sz w:val="36"/>
          <w:szCs w:val="36"/>
        </w:rPr>
      </w:pPr>
    </w:p>
    <w:p>
      <w:pPr>
        <w:pStyle w:val="24"/>
        <w:tabs>
          <w:tab w:val="left" w:pos="1050"/>
          <w:tab w:val="right" w:leader="dot" w:pos="9402"/>
        </w:tabs>
        <w:spacing w:line="520" w:lineRule="exact"/>
        <w:ind w:left="0"/>
        <w:rPr>
          <w:rFonts w:ascii="宋体"/>
          <w:i w:val="0"/>
          <w:iCs w:val="0"/>
          <w:color w:val="000000"/>
          <w:w w:val="80"/>
          <w:sz w:val="36"/>
          <w:szCs w:val="36"/>
        </w:rPr>
      </w:pPr>
      <w:r>
        <w:rPr>
          <w:rFonts w:hint="eastAsia" w:ascii="宋体" w:hAnsi="宋体" w:cs="宋体"/>
          <w:i w:val="0"/>
          <w:iCs w:val="0"/>
          <w:color w:val="000000"/>
          <w:w w:val="80"/>
          <w:sz w:val="36"/>
          <w:szCs w:val="36"/>
        </w:rPr>
        <w:t>第六章</w:t>
      </w:r>
      <w:r>
        <w:rPr>
          <w:rFonts w:ascii="宋体" w:hAnsi="宋体" w:cs="宋体"/>
          <w:i w:val="0"/>
          <w:iCs w:val="0"/>
          <w:color w:val="000000"/>
          <w:w w:val="80"/>
          <w:sz w:val="36"/>
          <w:szCs w:val="36"/>
        </w:rPr>
        <w:t xml:space="preserve">      </w:t>
      </w:r>
      <w:r>
        <w:rPr>
          <w:rFonts w:hint="eastAsia" w:ascii="宋体" w:hAnsi="宋体" w:cs="宋体"/>
          <w:i w:val="0"/>
          <w:iCs w:val="0"/>
          <w:color w:val="000000"/>
          <w:w w:val="80"/>
          <w:sz w:val="36"/>
          <w:szCs w:val="36"/>
        </w:rPr>
        <w:t>响应文件组成及格式</w:t>
      </w:r>
    </w:p>
    <w:p>
      <w:pPr>
        <w:rPr>
          <w:rFonts w:ascii="宋体"/>
          <w:color w:val="000000"/>
          <w:sz w:val="36"/>
          <w:szCs w:val="36"/>
        </w:rPr>
      </w:pPr>
    </w:p>
    <w:p>
      <w:pPr>
        <w:rPr>
          <w:rFonts w:ascii="宋体"/>
          <w:color w:val="000000"/>
          <w:sz w:val="36"/>
          <w:szCs w:val="36"/>
        </w:rPr>
      </w:pPr>
    </w:p>
    <w:p>
      <w:pPr>
        <w:snapToGrid w:val="0"/>
        <w:spacing w:line="360" w:lineRule="auto"/>
        <w:rPr>
          <w:rFonts w:ascii="宋体"/>
          <w:b/>
          <w:bCs/>
          <w:color w:val="000000"/>
        </w:rPr>
      </w:pPr>
      <w:r>
        <w:rPr>
          <w:rFonts w:ascii="宋体"/>
          <w:b/>
          <w:bCs/>
          <w:color w:val="000000"/>
        </w:rPr>
        <w:br w:type="page"/>
      </w:r>
      <w:r>
        <w:rPr>
          <w:rFonts w:hint="eastAsia" w:ascii="宋体" w:hAnsi="宋体" w:cs="宋体"/>
          <w:b/>
          <w:bCs/>
          <w:color w:val="000000"/>
        </w:rPr>
        <w:t>尊敬的磋商供应商：</w:t>
      </w:r>
    </w:p>
    <w:p>
      <w:pPr>
        <w:snapToGrid w:val="0"/>
        <w:spacing w:line="360" w:lineRule="auto"/>
        <w:ind w:firstLine="422" w:firstLineChars="200"/>
        <w:rPr>
          <w:rFonts w:ascii="宋体"/>
          <w:b/>
          <w:bCs/>
          <w:color w:val="000000"/>
        </w:rPr>
      </w:pPr>
      <w:r>
        <w:rPr>
          <w:rFonts w:hint="eastAsia" w:ascii="宋体" w:hAnsi="宋体" w:cs="宋体"/>
          <w:b/>
          <w:bCs/>
          <w:color w:val="000000"/>
        </w:rPr>
        <w:t>欢迎参加本采购项目的竞争性磋商。为了保证本次磋商项目顺利进行，请在制作响应文件之前，仔细阅读本竞争性磋商文件的各项条款，并按要求制作和递交响应文件。谢谢合作！</w:t>
      </w:r>
    </w:p>
    <w:p>
      <w:pPr>
        <w:snapToGrid w:val="0"/>
        <w:spacing w:line="360" w:lineRule="auto"/>
        <w:rPr>
          <w:rFonts w:ascii="宋体"/>
          <w:b/>
          <w:bCs/>
          <w:color w:val="000000"/>
          <w:sz w:val="15"/>
          <w:szCs w:val="15"/>
        </w:rPr>
      </w:pPr>
      <w:bookmarkStart w:id="61" w:name="_GoBack"/>
      <w:bookmarkEnd w:id="61"/>
    </w:p>
    <w:p>
      <w:pPr>
        <w:pStyle w:val="24"/>
        <w:tabs>
          <w:tab w:val="left" w:pos="1050"/>
          <w:tab w:val="right" w:leader="dot" w:pos="9402"/>
        </w:tabs>
        <w:spacing w:line="360" w:lineRule="auto"/>
        <w:ind w:left="0"/>
        <w:jc w:val="center"/>
        <w:outlineLvl w:val="0"/>
        <w:rPr>
          <w:rFonts w:ascii="宋体"/>
          <w:b/>
          <w:bCs/>
          <w:i w:val="0"/>
          <w:iCs w:val="0"/>
          <w:color w:val="000000"/>
          <w:sz w:val="44"/>
          <w:szCs w:val="44"/>
          <w:highlight w:val="none"/>
        </w:rPr>
      </w:pPr>
      <w:bookmarkStart w:id="10" w:name="_Toc363573853"/>
      <w:r>
        <w:rPr>
          <w:rFonts w:hint="eastAsia" w:ascii="宋体" w:hAnsi="宋体" w:cs="宋体"/>
          <w:b/>
          <w:bCs/>
          <w:i w:val="0"/>
          <w:iCs w:val="0"/>
          <w:color w:val="000000"/>
          <w:w w:val="80"/>
          <w:sz w:val="44"/>
          <w:szCs w:val="44"/>
        </w:rPr>
        <w:t>第一章</w:t>
      </w:r>
      <w:r>
        <w:rPr>
          <w:rFonts w:ascii="宋体" w:hAnsi="宋体" w:cs="宋体"/>
          <w:b/>
          <w:bCs/>
          <w:i w:val="0"/>
          <w:iCs w:val="0"/>
          <w:color w:val="000000"/>
          <w:w w:val="80"/>
          <w:sz w:val="44"/>
          <w:szCs w:val="44"/>
        </w:rPr>
        <w:t xml:space="preserve">  </w:t>
      </w:r>
      <w:r>
        <w:rPr>
          <w:rFonts w:hint="eastAsia" w:ascii="宋体" w:hAnsi="宋体" w:cs="宋体"/>
          <w:b/>
          <w:bCs/>
          <w:i w:val="0"/>
          <w:iCs w:val="0"/>
          <w:color w:val="000000"/>
          <w:w w:val="80"/>
          <w:sz w:val="44"/>
          <w:szCs w:val="44"/>
          <w:highlight w:val="none"/>
        </w:rPr>
        <w:t>竞争性磋商公</w:t>
      </w:r>
      <w:bookmarkEnd w:id="0"/>
      <w:bookmarkEnd w:id="1"/>
      <w:bookmarkEnd w:id="2"/>
      <w:bookmarkEnd w:id="3"/>
      <w:bookmarkEnd w:id="4"/>
      <w:bookmarkEnd w:id="5"/>
      <w:bookmarkEnd w:id="6"/>
      <w:bookmarkEnd w:id="7"/>
      <w:bookmarkEnd w:id="8"/>
      <w:bookmarkEnd w:id="9"/>
      <w:r>
        <w:rPr>
          <w:rFonts w:hint="eastAsia" w:ascii="宋体" w:hAnsi="宋体" w:cs="宋体"/>
          <w:b/>
          <w:bCs/>
          <w:i w:val="0"/>
          <w:iCs w:val="0"/>
          <w:color w:val="000000"/>
          <w:w w:val="80"/>
          <w:sz w:val="44"/>
          <w:szCs w:val="44"/>
          <w:highlight w:val="none"/>
        </w:rPr>
        <w:t>告</w:t>
      </w:r>
      <w:bookmarkEnd w:id="1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szCs w:val="24"/>
          <w:highlight w:val="none"/>
        </w:rPr>
      </w:pPr>
      <w:r>
        <w:rPr>
          <w:rFonts w:hint="eastAsia" w:ascii="宋体" w:hAnsi="宋体"/>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szCs w:val="24"/>
          <w:highlight w:val="none"/>
        </w:rPr>
      </w:pPr>
      <w:r>
        <w:rPr>
          <w:rFonts w:hint="eastAsia" w:ascii="宋体" w:hAnsi="宋体"/>
          <w:sz w:val="24"/>
          <w:szCs w:val="24"/>
          <w:highlight w:val="none"/>
          <w:u w:val="single"/>
        </w:rPr>
        <w:t>2024年南通智慧文旅平台基础运维项目</w:t>
      </w:r>
      <w:r>
        <w:rPr>
          <w:rFonts w:hint="eastAsia" w:ascii="宋体" w:hAnsi="宋体"/>
          <w:sz w:val="24"/>
          <w:szCs w:val="24"/>
          <w:highlight w:val="none"/>
        </w:rPr>
        <w:t>的潜在供应商应在“</w:t>
      </w:r>
      <w:r>
        <w:rPr>
          <w:rFonts w:hint="eastAsia" w:ascii="宋体" w:hAnsi="宋体"/>
          <w:sz w:val="24"/>
          <w:szCs w:val="24"/>
          <w:highlight w:val="none"/>
          <w:u w:val="single"/>
        </w:rPr>
        <w:t>南通市文化广电和旅游局-公告栏</w:t>
      </w:r>
      <w:r>
        <w:rPr>
          <w:rFonts w:hint="eastAsia" w:ascii="宋体" w:hAnsi="宋体"/>
          <w:sz w:val="24"/>
          <w:szCs w:val="24"/>
          <w:highlight w:val="none"/>
        </w:rPr>
        <w:t>”获取采购文件，并于</w:t>
      </w:r>
      <w:r>
        <w:rPr>
          <w:rFonts w:ascii="宋体" w:hAnsi="宋体"/>
          <w:sz w:val="24"/>
          <w:szCs w:val="24"/>
          <w:highlight w:val="none"/>
          <w:u w:val="single"/>
        </w:rPr>
        <w:t xml:space="preserve"> </w:t>
      </w:r>
      <w:r>
        <w:rPr>
          <w:rFonts w:hint="eastAsia" w:ascii="宋体" w:hAnsi="宋体"/>
          <w:sz w:val="24"/>
          <w:szCs w:val="24"/>
          <w:highlight w:val="none"/>
          <w:u w:val="single"/>
        </w:rPr>
        <w:t>2024</w:t>
      </w:r>
      <w:r>
        <w:rPr>
          <w:rFonts w:hint="eastAsia" w:ascii="宋体" w:hAnsi="宋体"/>
          <w:bCs/>
          <w:sz w:val="24"/>
          <w:szCs w:val="24"/>
          <w:highlight w:val="none"/>
          <w:u w:val="single"/>
        </w:rPr>
        <w:t>年</w:t>
      </w:r>
      <w:r>
        <w:rPr>
          <w:rFonts w:hint="eastAsia" w:ascii="宋体" w:hAnsi="宋体"/>
          <w:bCs/>
          <w:sz w:val="24"/>
          <w:szCs w:val="24"/>
          <w:highlight w:val="none"/>
          <w:u w:val="single"/>
          <w:lang w:val="en-US" w:eastAsia="zh-CN"/>
        </w:rPr>
        <w:t>3</w:t>
      </w:r>
      <w:r>
        <w:rPr>
          <w:rFonts w:hint="eastAsia" w:ascii="宋体" w:hAnsi="宋体"/>
          <w:bCs/>
          <w:sz w:val="24"/>
          <w:szCs w:val="24"/>
          <w:highlight w:val="none"/>
          <w:u w:val="single"/>
        </w:rPr>
        <w:t>月</w:t>
      </w:r>
      <w:r>
        <w:rPr>
          <w:rFonts w:hint="eastAsia" w:ascii="宋体" w:hAnsi="宋体"/>
          <w:bCs/>
          <w:sz w:val="24"/>
          <w:szCs w:val="24"/>
          <w:highlight w:val="none"/>
          <w:u w:val="single"/>
          <w:lang w:val="en-US" w:eastAsia="zh-CN"/>
        </w:rPr>
        <w:t>11</w:t>
      </w:r>
      <w:r>
        <w:rPr>
          <w:rFonts w:hint="eastAsia" w:ascii="宋体" w:hAnsi="宋体"/>
          <w:bCs/>
          <w:sz w:val="24"/>
          <w:szCs w:val="24"/>
          <w:highlight w:val="none"/>
          <w:u w:val="single"/>
        </w:rPr>
        <w:t>日</w:t>
      </w:r>
      <w:r>
        <w:rPr>
          <w:rFonts w:hint="eastAsia" w:ascii="宋体" w:hAnsi="宋体"/>
          <w:bCs/>
          <w:sz w:val="24"/>
          <w:szCs w:val="24"/>
          <w:highlight w:val="none"/>
          <w:u w:val="single"/>
          <w:lang w:val="en-US" w:eastAsia="zh-CN"/>
        </w:rPr>
        <w:t>09</w:t>
      </w:r>
      <w:r>
        <w:rPr>
          <w:rFonts w:hint="eastAsia" w:ascii="宋体" w:hAnsi="宋体"/>
          <w:bCs/>
          <w:sz w:val="24"/>
          <w:szCs w:val="24"/>
          <w:highlight w:val="none"/>
          <w:u w:val="single"/>
        </w:rPr>
        <w:t>点</w:t>
      </w:r>
      <w:r>
        <w:rPr>
          <w:rFonts w:hint="eastAsia" w:ascii="宋体" w:hAnsi="宋体"/>
          <w:bCs/>
          <w:sz w:val="24"/>
          <w:szCs w:val="24"/>
          <w:highlight w:val="none"/>
          <w:u w:val="single"/>
          <w:lang w:val="en-US" w:eastAsia="zh-CN"/>
        </w:rPr>
        <w:t>30</w:t>
      </w:r>
      <w:r>
        <w:rPr>
          <w:rFonts w:hint="eastAsia" w:ascii="宋体" w:hAnsi="宋体"/>
          <w:bCs/>
          <w:sz w:val="24"/>
          <w:szCs w:val="24"/>
          <w:highlight w:val="none"/>
          <w:u w:val="single"/>
        </w:rPr>
        <w:t>分</w:t>
      </w:r>
      <w:r>
        <w:rPr>
          <w:rFonts w:hint="eastAsia" w:ascii="宋体" w:hAnsi="宋体"/>
          <w:bCs/>
          <w:sz w:val="24"/>
          <w:szCs w:val="24"/>
          <w:highlight w:val="none"/>
        </w:rPr>
        <w:t>（北京时间）前提交响应</w:t>
      </w:r>
      <w:r>
        <w:rPr>
          <w:rFonts w:ascii="宋体" w:hAnsi="宋体"/>
          <w:bCs/>
          <w:sz w:val="24"/>
          <w:szCs w:val="24"/>
          <w:highlight w:val="none"/>
        </w:rPr>
        <w:t>文件</w:t>
      </w:r>
      <w:r>
        <w:rPr>
          <w:rFonts w:hint="eastAsia" w:ascii="宋体" w:hAnsi="宋体"/>
          <w:sz w:val="24"/>
          <w:szCs w:val="24"/>
          <w:highlight w:val="none"/>
        </w:rPr>
        <w:t>。</w:t>
      </w:r>
    </w:p>
    <w:p>
      <w:pPr>
        <w:widowControl/>
        <w:snapToGrid w:val="0"/>
        <w:spacing w:line="360" w:lineRule="auto"/>
        <w:ind w:firstLine="470" w:firstLineChars="196"/>
        <w:jc w:val="left"/>
        <w:rPr>
          <w:rFonts w:ascii="宋体" w:cs="宋体"/>
          <w:sz w:val="24"/>
          <w:szCs w:val="24"/>
          <w:highlight w:val="none"/>
        </w:rPr>
      </w:pPr>
      <w:r>
        <w:rPr>
          <w:rFonts w:hint="eastAsia" w:ascii="宋体" w:hAnsi="宋体" w:cs="宋体"/>
          <w:sz w:val="24"/>
          <w:szCs w:val="24"/>
          <w:highlight w:val="none"/>
        </w:rPr>
        <w:t>2024年南通智慧文旅平台基础运维项目组织竞争性磋商采购，诚邀符合条件的潜在供应商参加该项目的竞争性磋商。</w:t>
      </w:r>
    </w:p>
    <w:p>
      <w:pPr>
        <w:widowControl/>
        <w:snapToGrid w:val="0"/>
        <w:spacing w:line="360" w:lineRule="auto"/>
        <w:ind w:firstLine="472" w:firstLineChars="196"/>
        <w:jc w:val="left"/>
        <w:rPr>
          <w:rFonts w:ascii="宋体" w:cs="宋体"/>
          <w:b/>
          <w:sz w:val="24"/>
          <w:szCs w:val="24"/>
          <w:highlight w:val="none"/>
        </w:rPr>
      </w:pPr>
      <w:r>
        <w:rPr>
          <w:rFonts w:hint="eastAsia" w:ascii="宋体" w:hAnsi="宋体" w:cs="宋体"/>
          <w:b/>
          <w:sz w:val="24"/>
          <w:szCs w:val="24"/>
          <w:highlight w:val="none"/>
        </w:rPr>
        <w:t>一、项目基本情况：</w:t>
      </w:r>
    </w:p>
    <w:p>
      <w:pPr>
        <w:widowControl/>
        <w:snapToGrid w:val="0"/>
        <w:spacing w:line="360" w:lineRule="auto"/>
        <w:ind w:firstLine="470" w:firstLineChars="196"/>
        <w:jc w:val="left"/>
        <w:rPr>
          <w:rFonts w:ascii="宋体" w:cs="宋体"/>
          <w:b/>
          <w:sz w:val="24"/>
          <w:szCs w:val="24"/>
          <w:highlight w:val="none"/>
        </w:rPr>
      </w:pPr>
      <w:r>
        <w:rPr>
          <w:rFonts w:hint="eastAsia" w:ascii="宋体" w:hAnsi="宋体" w:cs="宋体"/>
          <w:sz w:val="24"/>
          <w:szCs w:val="24"/>
          <w:highlight w:val="none"/>
        </w:rPr>
        <w:t>项目编码：NTWC2024006</w:t>
      </w:r>
    </w:p>
    <w:p>
      <w:pPr>
        <w:snapToGrid w:val="0"/>
        <w:spacing w:line="360" w:lineRule="auto"/>
        <w:ind w:firstLine="480" w:firstLineChars="200"/>
        <w:rPr>
          <w:rFonts w:ascii="宋体"/>
          <w:sz w:val="24"/>
          <w:szCs w:val="24"/>
          <w:highlight w:val="none"/>
        </w:rPr>
      </w:pPr>
      <w:r>
        <w:rPr>
          <w:rFonts w:hint="eastAsia" w:ascii="宋体" w:hAnsi="宋体" w:cs="宋体"/>
          <w:sz w:val="24"/>
          <w:szCs w:val="24"/>
          <w:highlight w:val="none"/>
        </w:rPr>
        <w:t>项目名称：2024年南通智慧文旅平台基础运维项目</w:t>
      </w:r>
    </w:p>
    <w:p>
      <w:pPr>
        <w:snapToGrid w:val="0"/>
        <w:spacing w:line="360" w:lineRule="auto"/>
        <w:ind w:firstLine="480" w:firstLineChars="200"/>
        <w:rPr>
          <w:rFonts w:ascii="宋体"/>
          <w:sz w:val="24"/>
          <w:szCs w:val="24"/>
          <w:highlight w:val="none"/>
        </w:rPr>
      </w:pPr>
      <w:r>
        <w:rPr>
          <w:rFonts w:hint="eastAsia" w:ascii="宋体" w:hAnsi="宋体" w:cs="宋体"/>
          <w:sz w:val="24"/>
          <w:szCs w:val="24"/>
          <w:highlight w:val="none"/>
        </w:rPr>
        <w:t>采购方式：竞争性磋商</w:t>
      </w:r>
    </w:p>
    <w:p>
      <w:pPr>
        <w:widowControl/>
        <w:snapToGrid w:val="0"/>
        <w:spacing w:line="360" w:lineRule="auto"/>
        <w:ind w:firstLine="470" w:firstLineChars="196"/>
        <w:jc w:val="left"/>
        <w:rPr>
          <w:rFonts w:ascii="宋体" w:hAnsi="宋体" w:cs="宋体"/>
          <w:sz w:val="24"/>
          <w:szCs w:val="24"/>
          <w:highlight w:val="none"/>
        </w:rPr>
      </w:pPr>
      <w:r>
        <w:rPr>
          <w:rFonts w:hint="eastAsia" w:ascii="宋体" w:hAnsi="宋体" w:cs="宋体"/>
          <w:sz w:val="24"/>
          <w:szCs w:val="24"/>
          <w:highlight w:val="none"/>
        </w:rPr>
        <w:t xml:space="preserve">预算金额：34.4万元 </w:t>
      </w:r>
    </w:p>
    <w:p>
      <w:pPr>
        <w:widowControl/>
        <w:snapToGrid w:val="0"/>
        <w:spacing w:line="360" w:lineRule="auto"/>
        <w:ind w:firstLine="470" w:firstLineChars="196"/>
        <w:jc w:val="left"/>
        <w:rPr>
          <w:rFonts w:ascii="宋体" w:hAnsi="宋体" w:cs="宋体"/>
          <w:sz w:val="24"/>
          <w:szCs w:val="24"/>
          <w:highlight w:val="none"/>
        </w:rPr>
      </w:pPr>
      <w:r>
        <w:rPr>
          <w:rFonts w:hint="eastAsia" w:ascii="宋体" w:hAnsi="宋体" w:cs="宋体"/>
          <w:sz w:val="24"/>
          <w:szCs w:val="24"/>
          <w:highlight w:val="none"/>
        </w:rPr>
        <w:t>最高限价：34.4万元，</w:t>
      </w:r>
      <w:r>
        <w:rPr>
          <w:rFonts w:hint="eastAsia" w:ascii="宋体" w:hAnsi="宋体" w:cs="Arial"/>
          <w:kern w:val="0"/>
          <w:sz w:val="24"/>
          <w:szCs w:val="24"/>
          <w:highlight w:val="none"/>
        </w:rPr>
        <w:t>磋商报价超过最高限价的为无效报价。</w:t>
      </w:r>
    </w:p>
    <w:p>
      <w:pPr>
        <w:widowControl/>
        <w:snapToGrid w:val="0"/>
        <w:spacing w:line="360" w:lineRule="auto"/>
        <w:ind w:firstLine="470" w:firstLineChars="196"/>
        <w:jc w:val="left"/>
        <w:rPr>
          <w:rFonts w:ascii="宋体" w:cs="宋体"/>
          <w:sz w:val="24"/>
          <w:szCs w:val="24"/>
          <w:highlight w:val="none"/>
        </w:rPr>
      </w:pPr>
      <w:r>
        <w:rPr>
          <w:rFonts w:hint="eastAsia" w:ascii="宋体" w:hAnsi="宋体" w:cs="宋体"/>
          <w:sz w:val="24"/>
          <w:szCs w:val="24"/>
          <w:highlight w:val="none"/>
        </w:rPr>
        <w:t>采购需求：详见磋商文件第三章</w:t>
      </w:r>
    </w:p>
    <w:p>
      <w:pPr>
        <w:pStyle w:val="51"/>
        <w:ind w:firstLine="480"/>
        <w:rPr>
          <w:rFonts w:ascii="宋体" w:cs="宋体"/>
          <w:sz w:val="24"/>
          <w:szCs w:val="24"/>
          <w:highlight w:val="none"/>
        </w:rPr>
      </w:pPr>
      <w:r>
        <w:rPr>
          <w:rFonts w:hint="eastAsia" w:ascii="宋体"/>
          <w:sz w:val="24"/>
          <w:szCs w:val="24"/>
          <w:highlight w:val="none"/>
        </w:rPr>
        <w:t>付款方式</w:t>
      </w:r>
      <w:r>
        <w:rPr>
          <w:rFonts w:hint="eastAsia"/>
          <w:highlight w:val="none"/>
          <w:lang w:eastAsia="zh-CN"/>
        </w:rPr>
        <w:t>：</w:t>
      </w:r>
      <w:r>
        <w:rPr>
          <w:rFonts w:hint="eastAsia" w:ascii="宋体"/>
          <w:sz w:val="24"/>
          <w:szCs w:val="24"/>
          <w:highlight w:val="none"/>
        </w:rPr>
        <w:t>签订合同</w:t>
      </w:r>
      <w:r>
        <w:rPr>
          <w:rFonts w:hint="eastAsia" w:ascii="宋体"/>
          <w:sz w:val="24"/>
          <w:szCs w:val="24"/>
          <w:highlight w:val="none"/>
          <w:lang w:val="en-US" w:eastAsia="zh-CN"/>
        </w:rPr>
        <w:t>后</w:t>
      </w:r>
      <w:r>
        <w:rPr>
          <w:rFonts w:hint="eastAsia" w:ascii="宋体"/>
          <w:sz w:val="24"/>
          <w:szCs w:val="24"/>
          <w:highlight w:val="none"/>
        </w:rPr>
        <w:t>付</w:t>
      </w:r>
      <w:r>
        <w:rPr>
          <w:rFonts w:hint="eastAsia" w:ascii="宋体"/>
          <w:sz w:val="24"/>
          <w:szCs w:val="24"/>
          <w:highlight w:val="none"/>
          <w:lang w:val="en-US" w:eastAsia="zh-CN"/>
        </w:rPr>
        <w:t>合同款的</w:t>
      </w:r>
      <w:r>
        <w:rPr>
          <w:rFonts w:hint="eastAsia" w:ascii="宋体"/>
          <w:sz w:val="24"/>
          <w:szCs w:val="24"/>
          <w:highlight w:val="none"/>
        </w:rPr>
        <w:t>50%，项目完成后付剩余款项</w:t>
      </w:r>
      <w:r>
        <w:rPr>
          <w:rFonts w:hint="eastAsia" w:ascii="宋体"/>
          <w:sz w:val="24"/>
          <w:szCs w:val="24"/>
          <w:highlight w:val="none"/>
          <w:lang w:eastAsia="zh-CN"/>
        </w:rPr>
        <w:t>。</w:t>
      </w:r>
    </w:p>
    <w:p>
      <w:pPr>
        <w:widowControl/>
        <w:snapToGrid w:val="0"/>
        <w:spacing w:line="360" w:lineRule="auto"/>
        <w:ind w:firstLine="470" w:firstLineChars="196"/>
        <w:jc w:val="left"/>
        <w:rPr>
          <w:rFonts w:ascii="宋体" w:cs="宋体"/>
          <w:sz w:val="24"/>
          <w:szCs w:val="24"/>
          <w:highlight w:val="none"/>
        </w:rPr>
      </w:pPr>
      <w:r>
        <w:rPr>
          <w:rFonts w:hint="eastAsia" w:ascii="宋体" w:hAnsi="宋体" w:cs="宋体"/>
          <w:sz w:val="24"/>
          <w:szCs w:val="24"/>
          <w:highlight w:val="none"/>
        </w:rPr>
        <w:t>本项目不接受联合体投标。</w:t>
      </w:r>
    </w:p>
    <w:p>
      <w:pPr>
        <w:widowControl/>
        <w:snapToGrid w:val="0"/>
        <w:spacing w:line="360" w:lineRule="auto"/>
        <w:ind w:firstLine="472" w:firstLineChars="196"/>
        <w:jc w:val="left"/>
        <w:rPr>
          <w:rFonts w:ascii="宋体" w:cs="宋体"/>
          <w:b/>
          <w:sz w:val="24"/>
          <w:szCs w:val="24"/>
          <w:highlight w:val="none"/>
        </w:rPr>
      </w:pPr>
      <w:r>
        <w:rPr>
          <w:rFonts w:hint="eastAsia" w:ascii="宋体" w:hAnsi="宋体" w:cs="宋体"/>
          <w:b/>
          <w:sz w:val="24"/>
          <w:szCs w:val="24"/>
          <w:highlight w:val="none"/>
        </w:rPr>
        <w:t>二、申请人的资格要求：</w:t>
      </w:r>
    </w:p>
    <w:p>
      <w:pPr>
        <w:widowControl/>
        <w:snapToGrid w:val="0"/>
        <w:spacing w:line="360" w:lineRule="auto"/>
        <w:ind w:firstLine="470" w:firstLineChars="196"/>
        <w:jc w:val="left"/>
        <w:rPr>
          <w:rFonts w:ascii="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pPr>
        <w:widowControl/>
        <w:shd w:val="clear" w:color="auto" w:fill="FFFFFF"/>
        <w:spacing w:line="360" w:lineRule="auto"/>
        <w:ind w:firstLine="480" w:firstLineChars="200"/>
        <w:jc w:val="left"/>
        <w:rPr>
          <w:rFonts w:ascii="宋体" w:hAnsi="宋体" w:cs="宋体"/>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w:t>
      </w:r>
      <w:r>
        <w:rPr>
          <w:rFonts w:hint="eastAsia" w:ascii="宋体" w:hAnsi="宋体" w:cs="宋体"/>
          <w:sz w:val="24"/>
          <w:szCs w:val="24"/>
          <w:highlight w:val="none"/>
        </w:rPr>
        <w:t>本项目的特定资格要求：</w:t>
      </w:r>
      <w:r>
        <w:rPr>
          <w:rFonts w:ascii="宋体" w:hAnsi="宋体" w:cs="宋体"/>
          <w:sz w:val="24"/>
          <w:szCs w:val="24"/>
          <w:highlight w:val="none"/>
        </w:rPr>
        <w:t xml:space="preserve"> </w:t>
      </w:r>
    </w:p>
    <w:p>
      <w:pPr>
        <w:widowControl/>
        <w:snapToGrid w:val="0"/>
        <w:spacing w:line="480" w:lineRule="exact"/>
        <w:ind w:firstLine="470" w:firstLineChars="196"/>
        <w:jc w:val="left"/>
        <w:rPr>
          <w:rFonts w:ascii="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w:t>
      </w:r>
      <w:r>
        <w:rPr>
          <w:rFonts w:hint="eastAsia" w:ascii="宋体" w:hAnsi="宋体" w:cs="宋体"/>
          <w:sz w:val="24"/>
          <w:szCs w:val="24"/>
          <w:highlight w:val="none"/>
        </w:rPr>
        <w:t>投标供应商的企业法人营业执照副本复印件、税务登记证副本复印件；或三证合一的营业执照副本复印件。</w:t>
      </w:r>
    </w:p>
    <w:p>
      <w:pPr>
        <w:widowControl/>
        <w:snapToGrid w:val="0"/>
        <w:spacing w:line="480" w:lineRule="exact"/>
        <w:ind w:firstLine="470" w:firstLineChars="196"/>
        <w:jc w:val="left"/>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投标人法定代表人参加投标的，必须提供法定代表人身份证明及本人身份证复印件；非法定代表人参加投标的，必须提供法定代表人签字或盖章的授权委托书及被授权人本人的身份证复印件（格式参见第六章）。</w:t>
      </w:r>
    </w:p>
    <w:p>
      <w:pPr>
        <w:snapToGrid w:val="0"/>
        <w:spacing w:line="480" w:lineRule="exact"/>
        <w:ind w:firstLine="560"/>
        <w:rPr>
          <w:rFonts w:ascii="宋体" w:cs="宋体"/>
          <w:sz w:val="24"/>
          <w:szCs w:val="24"/>
          <w:highlight w:val="none"/>
        </w:rPr>
      </w:pPr>
      <w:r>
        <w:rPr>
          <w:rFonts w:ascii="宋体" w:hAnsi="宋体" w:cs="宋体"/>
          <w:bCs/>
          <w:sz w:val="24"/>
          <w:szCs w:val="24"/>
          <w:highlight w:val="none"/>
        </w:rPr>
        <w:t>3</w:t>
      </w:r>
      <w:r>
        <w:rPr>
          <w:rFonts w:hint="eastAsia" w:ascii="宋体" w:hAnsi="宋体" w:cs="宋体"/>
          <w:bCs/>
          <w:sz w:val="24"/>
          <w:szCs w:val="24"/>
          <w:highlight w:val="none"/>
        </w:rPr>
        <w:t>、</w:t>
      </w:r>
      <w:r>
        <w:rPr>
          <w:rFonts w:hint="eastAsia" w:ascii="宋体" w:hAnsi="宋体"/>
          <w:sz w:val="24"/>
          <w:szCs w:val="24"/>
          <w:highlight w:val="none"/>
        </w:rPr>
        <w:t>提供投标供应商参加本次采购活动前一年内（至少一个月，不含投标当月</w:t>
      </w:r>
      <w:r>
        <w:rPr>
          <w:rFonts w:ascii="宋体" w:hAnsi="宋体"/>
          <w:sz w:val="24"/>
          <w:szCs w:val="24"/>
          <w:highlight w:val="none"/>
        </w:rPr>
        <w:t>)</w:t>
      </w:r>
      <w:r>
        <w:rPr>
          <w:rFonts w:hint="eastAsia" w:ascii="宋体" w:hAnsi="宋体"/>
          <w:sz w:val="24"/>
          <w:szCs w:val="24"/>
          <w:highlight w:val="none"/>
        </w:rPr>
        <w:t>的依法缴纳税收、缴纳社会保障资金的相关材料（提供相关主管部门证明或银行代扣证明）复印件。</w:t>
      </w:r>
    </w:p>
    <w:p>
      <w:pPr>
        <w:widowControl/>
        <w:snapToGrid w:val="0"/>
        <w:spacing w:line="480" w:lineRule="exact"/>
        <w:ind w:firstLine="470" w:firstLineChars="196"/>
        <w:jc w:val="left"/>
        <w:rPr>
          <w:rFonts w:ascii="宋体"/>
          <w:color w:val="FF0000"/>
          <w:sz w:val="24"/>
          <w:szCs w:val="24"/>
          <w:highlight w:val="none"/>
        </w:rPr>
      </w:pPr>
      <w:r>
        <w:rPr>
          <w:rFonts w:hint="eastAsia" w:ascii="宋体" w:hAnsi="宋体" w:cs="宋体"/>
          <w:sz w:val="24"/>
          <w:szCs w:val="24"/>
          <w:highlight w:val="none"/>
        </w:rPr>
        <w:t>4、投标供应商须提供参与本次项目采购活动前三年内，在经营活动中没有重大违法记录的书面《无重大违法记录声明函》（格式参见第六章）。</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5、供应商须提供资格文件声明函（格式参见第六章）。</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sz w:val="24"/>
          <w:szCs w:val="24"/>
          <w:highlight w:val="none"/>
        </w:rPr>
        <w:t>6、</w:t>
      </w:r>
      <w:r>
        <w:rPr>
          <w:rFonts w:hint="eastAsia" w:ascii="宋体" w:hAnsi="宋体" w:cs="宋体"/>
          <w:kern w:val="0"/>
          <w:sz w:val="24"/>
          <w:szCs w:val="24"/>
          <w:highlight w:val="none"/>
        </w:rPr>
        <w:t>未被“信用中国”网站（www.creditchina.gov.cn）、中国政府采购网列入失信被执行人、重大税收违法案件当事人名单、政府采购严重失信行为记录名单。（提供查询截图）</w:t>
      </w:r>
    </w:p>
    <w:p>
      <w:pPr>
        <w:pStyle w:val="120"/>
        <w:ind w:firstLine="569" w:firstLineChars="271"/>
        <w:rPr>
          <w:highlight w:val="none"/>
        </w:rPr>
      </w:pPr>
      <w:r>
        <w:rPr>
          <w:rFonts w:hint="eastAsia"/>
          <w:highlight w:val="none"/>
        </w:rPr>
        <w:t>（7）</w:t>
      </w:r>
      <w:r>
        <w:rPr>
          <w:rFonts w:hint="eastAsia" w:cs="宋体"/>
          <w:kern w:val="0"/>
          <w:sz w:val="24"/>
          <w:highlight w:val="none"/>
        </w:rPr>
        <w:t>符合相关法律、法规规定的其他要求。</w:t>
      </w:r>
    </w:p>
    <w:p>
      <w:pPr>
        <w:snapToGrid w:val="0"/>
        <w:spacing w:line="360" w:lineRule="auto"/>
        <w:ind w:firstLine="482" w:firstLineChars="200"/>
        <w:rPr>
          <w:rFonts w:cs="宋体" w:asciiTheme="majorEastAsia" w:hAnsiTheme="majorEastAsia" w:eastAsiaTheme="majorEastAsia"/>
          <w:b/>
          <w:sz w:val="24"/>
          <w:szCs w:val="24"/>
          <w:highlight w:val="none"/>
        </w:rPr>
      </w:pPr>
      <w:r>
        <w:rPr>
          <w:rFonts w:hint="eastAsia" w:cs="宋体" w:asciiTheme="majorEastAsia" w:hAnsiTheme="majorEastAsia" w:eastAsiaTheme="majorEastAsia"/>
          <w:b/>
          <w:sz w:val="24"/>
          <w:szCs w:val="24"/>
          <w:highlight w:val="none"/>
        </w:rPr>
        <w:t>【特别提醒】法定代表人为同一个人的两个及两个以上法人，母公司、全资子公司及其控股公司，都不得在同一采购项目相同标段中同时参加投标，一经发现，将视同围标处理。</w:t>
      </w:r>
    </w:p>
    <w:p>
      <w:pPr>
        <w:widowControl/>
        <w:snapToGrid w:val="0"/>
        <w:spacing w:line="360" w:lineRule="auto"/>
        <w:ind w:firstLine="472" w:firstLineChars="196"/>
        <w:jc w:val="left"/>
        <w:rPr>
          <w:rFonts w:hint="eastAsia" w:ascii="宋体" w:hAnsi="宋体" w:cs="Arial"/>
          <w:b/>
          <w:bCs/>
          <w:kern w:val="0"/>
          <w:sz w:val="24"/>
          <w:szCs w:val="24"/>
          <w:highlight w:val="none"/>
        </w:rPr>
      </w:pPr>
      <w:bookmarkStart w:id="11" w:name="_Toc12670503"/>
      <w:bookmarkStart w:id="12" w:name="_Toc521203418"/>
      <w:bookmarkStart w:id="13" w:name="_Toc521201597"/>
      <w:bookmarkStart w:id="14" w:name="_Toc94544744"/>
      <w:bookmarkStart w:id="15" w:name="_Toc94585340"/>
      <w:bookmarkStart w:id="16" w:name="_Toc8895739"/>
      <w:bookmarkStart w:id="17" w:name="_Toc94544828"/>
      <w:bookmarkStart w:id="18" w:name="_Toc11554639"/>
      <w:bookmarkStart w:id="19" w:name="_Toc11500280"/>
      <w:bookmarkStart w:id="20" w:name="_Toc11499584"/>
      <w:bookmarkStart w:id="21" w:name="_Toc363573854"/>
      <w:r>
        <w:rPr>
          <w:rFonts w:hint="eastAsia" w:ascii="宋体" w:hAnsi="宋体" w:cs="Arial"/>
          <w:b/>
          <w:bCs/>
          <w:kern w:val="0"/>
          <w:sz w:val="24"/>
          <w:szCs w:val="24"/>
          <w:highlight w:val="none"/>
        </w:rPr>
        <w:t>参与本项目竞争性磋商响应的供应商，应依照规定提交各类声明函、承诺函（如涉有），不再同时提供原件备查或提供有关部门出具的相关证明文件。但本项目成交的供应商（以下称成交人），应做好提交声明函、承诺函相应原件的核查准备；核查后发现虚假或违背承诺的，将依照相关法律法规规定处理。</w:t>
      </w:r>
    </w:p>
    <w:p>
      <w:pPr>
        <w:widowControl/>
        <w:snapToGrid w:val="0"/>
        <w:spacing w:line="360" w:lineRule="auto"/>
        <w:ind w:firstLine="472" w:firstLineChars="196"/>
        <w:jc w:val="left"/>
        <w:rPr>
          <w:rFonts w:ascii="宋体" w:cs="宋体"/>
          <w:b/>
          <w:sz w:val="24"/>
          <w:szCs w:val="24"/>
          <w:highlight w:val="none"/>
        </w:rPr>
      </w:pPr>
      <w:r>
        <w:rPr>
          <w:rFonts w:hint="eastAsia" w:ascii="宋体" w:hAnsi="宋体" w:cs="宋体"/>
          <w:b/>
          <w:sz w:val="24"/>
          <w:szCs w:val="24"/>
          <w:highlight w:val="none"/>
        </w:rPr>
        <w:t>三、获取采购文件</w:t>
      </w:r>
    </w:p>
    <w:p>
      <w:pPr>
        <w:widowControl/>
        <w:snapToGrid w:val="0"/>
        <w:spacing w:line="360" w:lineRule="auto"/>
        <w:ind w:firstLine="470" w:firstLineChars="196"/>
        <w:jc w:val="left"/>
        <w:rPr>
          <w:rFonts w:ascii="宋体" w:cs="宋体"/>
          <w:sz w:val="24"/>
          <w:szCs w:val="24"/>
          <w:highlight w:val="none"/>
        </w:rPr>
      </w:pPr>
      <w:r>
        <w:rPr>
          <w:rFonts w:hint="eastAsia" w:ascii="宋体" w:hAnsi="宋体" w:cs="宋体"/>
          <w:sz w:val="24"/>
          <w:szCs w:val="24"/>
          <w:highlight w:val="none"/>
        </w:rPr>
        <w:t>时间</w:t>
      </w:r>
      <w:r>
        <w:rPr>
          <w:rFonts w:hint="eastAsia" w:ascii="宋体" w:hAnsi="宋体" w:cs="宋体"/>
          <w:sz w:val="24"/>
          <w:szCs w:val="24"/>
          <w:highlight w:val="none"/>
        </w:rPr>
        <w:t>：2024年2月</w:t>
      </w:r>
      <w:r>
        <w:rPr>
          <w:rFonts w:hint="eastAsia" w:ascii="宋体" w:hAnsi="宋体" w:cs="宋体"/>
          <w:sz w:val="24"/>
          <w:szCs w:val="24"/>
          <w:highlight w:val="none"/>
          <w:lang w:val="en-US" w:eastAsia="zh-CN"/>
        </w:rPr>
        <w:t>27</w:t>
      </w:r>
      <w:r>
        <w:rPr>
          <w:rFonts w:hint="eastAsia" w:ascii="宋体" w:hAnsi="宋体" w:cs="宋体"/>
          <w:sz w:val="24"/>
          <w:szCs w:val="24"/>
          <w:highlight w:val="none"/>
        </w:rPr>
        <w:t>日至2024年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sz w:val="24"/>
          <w:szCs w:val="24"/>
          <w:highlight w:val="none"/>
          <w:lang w:val="en-US" w:eastAsia="zh-CN"/>
        </w:rPr>
        <w:t>11</w:t>
      </w:r>
      <w:r>
        <w:rPr>
          <w:rFonts w:hint="eastAsia" w:ascii="宋体" w:hAnsi="宋体" w:cs="宋体"/>
          <w:sz w:val="24"/>
          <w:szCs w:val="24"/>
          <w:highlight w:val="none"/>
        </w:rPr>
        <w:t>日</w:t>
      </w:r>
    </w:p>
    <w:p>
      <w:pPr>
        <w:widowControl/>
        <w:snapToGrid w:val="0"/>
        <w:spacing w:line="360" w:lineRule="auto"/>
        <w:ind w:firstLine="470" w:firstLineChars="196"/>
        <w:jc w:val="left"/>
        <w:rPr>
          <w:rFonts w:ascii="宋体" w:cs="宋体"/>
          <w:sz w:val="24"/>
          <w:szCs w:val="24"/>
          <w:highlight w:val="none"/>
        </w:rPr>
      </w:pPr>
      <w:r>
        <w:rPr>
          <w:rFonts w:hint="eastAsia" w:ascii="宋体" w:hAnsi="宋体" w:cs="宋体"/>
          <w:sz w:val="24"/>
          <w:szCs w:val="24"/>
          <w:highlight w:val="none"/>
        </w:rPr>
        <w:t>方式：公告附件下载</w:t>
      </w:r>
    </w:p>
    <w:p>
      <w:pPr>
        <w:widowControl/>
        <w:snapToGrid w:val="0"/>
        <w:spacing w:line="360" w:lineRule="auto"/>
        <w:jc w:val="left"/>
        <w:rPr>
          <w:rFonts w:ascii="宋体" w:cs="宋体"/>
          <w:b/>
          <w:sz w:val="24"/>
          <w:szCs w:val="24"/>
          <w:highlight w:val="none"/>
        </w:rPr>
      </w:pPr>
      <w:r>
        <w:rPr>
          <w:rFonts w:hint="eastAsia" w:ascii="宋体" w:hAnsi="宋体" w:cs="宋体"/>
          <w:b/>
          <w:sz w:val="24"/>
          <w:szCs w:val="24"/>
          <w:highlight w:val="none"/>
        </w:rPr>
        <w:t>四、响应文件提交</w:t>
      </w:r>
    </w:p>
    <w:p>
      <w:pPr>
        <w:widowControl/>
        <w:snapToGrid w:val="0"/>
        <w:spacing w:line="360" w:lineRule="auto"/>
        <w:ind w:firstLine="470" w:firstLineChars="196"/>
        <w:jc w:val="left"/>
        <w:rPr>
          <w:rFonts w:ascii="宋体" w:cs="宋体"/>
          <w:sz w:val="24"/>
          <w:szCs w:val="24"/>
          <w:highlight w:val="none"/>
        </w:rPr>
      </w:pPr>
      <w:r>
        <w:rPr>
          <w:rFonts w:hint="eastAsia" w:ascii="宋体" w:hAnsi="宋体" w:cs="宋体"/>
          <w:sz w:val="24"/>
          <w:szCs w:val="24"/>
          <w:highlight w:val="none"/>
        </w:rPr>
        <w:t>截止时间：2024年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b/>
          <w:sz w:val="24"/>
          <w:szCs w:val="24"/>
          <w:highlight w:val="none"/>
          <w:lang w:val="en-US" w:eastAsia="zh-CN"/>
        </w:rPr>
        <w:t>11</w:t>
      </w:r>
      <w:r>
        <w:rPr>
          <w:rFonts w:hint="eastAsia" w:ascii="宋体" w:hAnsi="宋体" w:cs="宋体"/>
          <w:b/>
          <w:sz w:val="24"/>
          <w:szCs w:val="24"/>
          <w:highlight w:val="none"/>
        </w:rPr>
        <w:t>日</w:t>
      </w:r>
      <w:r>
        <w:rPr>
          <w:rFonts w:hint="eastAsia" w:ascii="宋体" w:hAnsi="宋体" w:cs="宋体"/>
          <w:b/>
          <w:sz w:val="24"/>
          <w:szCs w:val="24"/>
          <w:highlight w:val="none"/>
          <w:lang w:val="en-US" w:eastAsia="zh-CN"/>
        </w:rPr>
        <w:t>09</w:t>
      </w:r>
      <w:r>
        <w:rPr>
          <w:rFonts w:hint="eastAsia" w:ascii="宋体" w:hAnsi="宋体" w:cs="宋体"/>
          <w:b/>
          <w:sz w:val="24"/>
          <w:szCs w:val="24"/>
          <w:highlight w:val="none"/>
        </w:rPr>
        <w:t>时</w:t>
      </w:r>
      <w:r>
        <w:rPr>
          <w:rFonts w:hint="eastAsia" w:ascii="宋体" w:hAnsi="宋体" w:cs="宋体"/>
          <w:b/>
          <w:sz w:val="24"/>
          <w:szCs w:val="24"/>
          <w:highlight w:val="none"/>
          <w:lang w:val="en-US" w:eastAsia="zh-CN"/>
        </w:rPr>
        <w:t>30</w:t>
      </w:r>
      <w:r>
        <w:rPr>
          <w:rFonts w:hint="eastAsia" w:ascii="宋体" w:hAnsi="宋体" w:cs="宋体"/>
          <w:b/>
          <w:sz w:val="24"/>
          <w:szCs w:val="24"/>
          <w:highlight w:val="none"/>
        </w:rPr>
        <w:t>分</w:t>
      </w:r>
      <w:r>
        <w:rPr>
          <w:rFonts w:hint="eastAsia" w:ascii="宋体" w:hAnsi="宋体" w:cs="宋体"/>
          <w:bCs/>
          <w:sz w:val="24"/>
          <w:szCs w:val="24"/>
          <w:highlight w:val="none"/>
        </w:rPr>
        <w:t>。</w:t>
      </w:r>
    </w:p>
    <w:p>
      <w:pPr>
        <w:widowControl/>
        <w:snapToGrid w:val="0"/>
        <w:spacing w:line="360" w:lineRule="auto"/>
        <w:ind w:firstLine="470" w:firstLineChars="196"/>
        <w:jc w:val="left"/>
        <w:rPr>
          <w:rFonts w:ascii="宋体" w:cs="宋体"/>
          <w:b/>
          <w:sz w:val="24"/>
          <w:szCs w:val="24"/>
          <w:highlight w:val="none"/>
        </w:rPr>
      </w:pPr>
      <w:r>
        <w:rPr>
          <w:rFonts w:hint="eastAsia" w:ascii="宋体" w:hAnsi="宋体" w:cs="宋体"/>
          <w:sz w:val="24"/>
          <w:szCs w:val="24"/>
          <w:highlight w:val="none"/>
        </w:rPr>
        <w:t>地点：南通市行政中心综合楼538会议室(南通市崇川区世纪大道6号)，如有变动另行通知。</w:t>
      </w:r>
    </w:p>
    <w:p>
      <w:pPr>
        <w:widowControl/>
        <w:snapToGrid w:val="0"/>
        <w:spacing w:line="360" w:lineRule="auto"/>
        <w:ind w:firstLine="472" w:firstLineChars="196"/>
        <w:jc w:val="left"/>
        <w:rPr>
          <w:rFonts w:ascii="宋体" w:cs="宋体"/>
          <w:b/>
          <w:sz w:val="24"/>
          <w:szCs w:val="24"/>
          <w:highlight w:val="none"/>
        </w:rPr>
      </w:pPr>
      <w:r>
        <w:rPr>
          <w:rFonts w:hint="eastAsia" w:ascii="宋体" w:hAnsi="宋体" w:cs="宋体"/>
          <w:b/>
          <w:sz w:val="24"/>
          <w:szCs w:val="24"/>
          <w:highlight w:val="none"/>
        </w:rPr>
        <w:t>五、开启</w:t>
      </w:r>
    </w:p>
    <w:p>
      <w:pPr>
        <w:widowControl/>
        <w:snapToGrid w:val="0"/>
        <w:spacing w:line="360" w:lineRule="auto"/>
        <w:ind w:firstLine="472" w:firstLineChars="196"/>
        <w:jc w:val="left"/>
        <w:rPr>
          <w:rFonts w:ascii="宋体" w:cs="宋体"/>
          <w:sz w:val="24"/>
          <w:szCs w:val="24"/>
          <w:highlight w:val="none"/>
        </w:rPr>
      </w:pPr>
      <w:r>
        <w:rPr>
          <w:rFonts w:hint="eastAsia" w:ascii="宋体" w:hAnsi="宋体" w:cs="宋体"/>
          <w:b/>
          <w:sz w:val="24"/>
          <w:szCs w:val="24"/>
          <w:highlight w:val="none"/>
        </w:rPr>
        <w:t>时间：</w:t>
      </w:r>
      <w:r>
        <w:rPr>
          <w:rFonts w:hint="eastAsia" w:ascii="宋体" w:hAnsi="宋体" w:cs="宋体"/>
          <w:sz w:val="24"/>
          <w:szCs w:val="24"/>
          <w:highlight w:val="none"/>
        </w:rPr>
        <w:t>2024年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b/>
          <w:sz w:val="24"/>
          <w:szCs w:val="24"/>
          <w:highlight w:val="none"/>
          <w:lang w:val="en-US" w:eastAsia="zh-CN"/>
        </w:rPr>
        <w:t>11</w:t>
      </w:r>
      <w:r>
        <w:rPr>
          <w:rFonts w:hint="eastAsia" w:ascii="宋体" w:hAnsi="宋体" w:cs="宋体"/>
          <w:b/>
          <w:sz w:val="24"/>
          <w:szCs w:val="24"/>
          <w:highlight w:val="none"/>
        </w:rPr>
        <w:t>日</w:t>
      </w:r>
      <w:r>
        <w:rPr>
          <w:rFonts w:hint="eastAsia" w:ascii="宋体" w:hAnsi="宋体" w:cs="宋体"/>
          <w:b/>
          <w:sz w:val="24"/>
          <w:szCs w:val="24"/>
          <w:highlight w:val="none"/>
          <w:lang w:val="en-US" w:eastAsia="zh-CN"/>
        </w:rPr>
        <w:t>09</w:t>
      </w:r>
      <w:r>
        <w:rPr>
          <w:rFonts w:hint="eastAsia" w:ascii="宋体" w:hAnsi="宋体" w:cs="宋体"/>
          <w:b/>
          <w:sz w:val="24"/>
          <w:szCs w:val="24"/>
          <w:highlight w:val="none"/>
        </w:rPr>
        <w:t>时</w:t>
      </w:r>
      <w:r>
        <w:rPr>
          <w:rFonts w:hint="eastAsia" w:ascii="宋体" w:hAnsi="宋体" w:cs="宋体"/>
          <w:b/>
          <w:sz w:val="24"/>
          <w:szCs w:val="24"/>
          <w:highlight w:val="none"/>
          <w:lang w:val="en-US" w:eastAsia="zh-CN"/>
        </w:rPr>
        <w:t>30</w:t>
      </w:r>
      <w:r>
        <w:rPr>
          <w:rFonts w:hint="eastAsia" w:ascii="宋体" w:hAnsi="宋体" w:cs="宋体"/>
          <w:b/>
          <w:sz w:val="24"/>
          <w:szCs w:val="24"/>
          <w:highlight w:val="none"/>
        </w:rPr>
        <w:t>分</w:t>
      </w:r>
      <w:r>
        <w:rPr>
          <w:rFonts w:hint="eastAsia" w:ascii="宋体" w:hAnsi="宋体" w:cs="宋体"/>
          <w:bCs/>
          <w:sz w:val="24"/>
          <w:szCs w:val="24"/>
          <w:highlight w:val="none"/>
        </w:rPr>
        <w:t>。</w:t>
      </w:r>
    </w:p>
    <w:p>
      <w:pPr>
        <w:widowControl/>
        <w:snapToGrid w:val="0"/>
        <w:spacing w:line="360" w:lineRule="auto"/>
        <w:ind w:firstLine="470" w:firstLineChars="196"/>
        <w:jc w:val="left"/>
        <w:rPr>
          <w:rFonts w:ascii="宋体" w:cs="宋体"/>
          <w:b/>
          <w:sz w:val="24"/>
          <w:szCs w:val="24"/>
          <w:highlight w:val="none"/>
        </w:rPr>
      </w:pPr>
      <w:r>
        <w:rPr>
          <w:rFonts w:hint="eastAsia" w:ascii="宋体" w:hAnsi="宋体" w:cs="宋体"/>
          <w:sz w:val="24"/>
          <w:szCs w:val="24"/>
          <w:highlight w:val="none"/>
        </w:rPr>
        <w:t>地点：南通市行政中心综合楼538会议室(南通市崇川区世纪大道6号)，如有变动另行通知。</w:t>
      </w:r>
    </w:p>
    <w:p>
      <w:pPr>
        <w:widowControl/>
        <w:snapToGrid w:val="0"/>
        <w:spacing w:line="360" w:lineRule="auto"/>
        <w:ind w:firstLine="472" w:firstLineChars="196"/>
        <w:jc w:val="left"/>
        <w:rPr>
          <w:rFonts w:ascii="宋体" w:cs="宋体"/>
          <w:b/>
          <w:sz w:val="24"/>
          <w:szCs w:val="24"/>
          <w:highlight w:val="none"/>
        </w:rPr>
      </w:pPr>
      <w:r>
        <w:rPr>
          <w:rFonts w:hint="eastAsia" w:ascii="宋体" w:hAnsi="宋体" w:cs="宋体"/>
          <w:b/>
          <w:sz w:val="24"/>
          <w:szCs w:val="24"/>
          <w:highlight w:val="none"/>
        </w:rPr>
        <w:t>六、公告期限</w:t>
      </w:r>
    </w:p>
    <w:p>
      <w:pPr>
        <w:widowControl/>
        <w:snapToGrid w:val="0"/>
        <w:spacing w:line="360" w:lineRule="auto"/>
        <w:ind w:firstLine="470" w:firstLineChars="196"/>
        <w:jc w:val="left"/>
        <w:rPr>
          <w:rFonts w:ascii="宋体" w:cs="宋体"/>
          <w:sz w:val="24"/>
          <w:szCs w:val="24"/>
          <w:highlight w:val="none"/>
        </w:rPr>
      </w:pPr>
      <w:r>
        <w:rPr>
          <w:rFonts w:hint="eastAsia" w:ascii="宋体" w:hAnsi="宋体" w:cs="宋体"/>
          <w:sz w:val="24"/>
          <w:szCs w:val="24"/>
          <w:highlight w:val="none"/>
        </w:rPr>
        <w:t>自本公告发布之日起</w:t>
      </w:r>
      <w:r>
        <w:rPr>
          <w:rFonts w:ascii="宋体" w:hAnsi="宋体" w:cs="宋体"/>
          <w:sz w:val="24"/>
          <w:szCs w:val="24"/>
          <w:highlight w:val="none"/>
        </w:rPr>
        <w:t>3</w:t>
      </w:r>
      <w:r>
        <w:rPr>
          <w:rFonts w:hint="eastAsia" w:ascii="宋体" w:hAnsi="宋体" w:cs="宋体"/>
          <w:sz w:val="24"/>
          <w:szCs w:val="24"/>
          <w:highlight w:val="none"/>
        </w:rPr>
        <w:t>个工作日。</w:t>
      </w:r>
    </w:p>
    <w:p>
      <w:pPr>
        <w:spacing w:line="360" w:lineRule="auto"/>
        <w:ind w:firstLine="487" w:firstLineChars="202"/>
        <w:rPr>
          <w:rFonts w:ascii="宋体" w:cs="宋体"/>
          <w:b/>
          <w:sz w:val="24"/>
          <w:szCs w:val="24"/>
          <w:highlight w:val="none"/>
        </w:rPr>
      </w:pPr>
      <w:r>
        <w:rPr>
          <w:rFonts w:hint="eastAsia" w:ascii="宋体" w:hAnsi="宋体" w:cs="宋体"/>
          <w:b/>
          <w:sz w:val="24"/>
          <w:szCs w:val="24"/>
          <w:highlight w:val="none"/>
        </w:rPr>
        <w:t>七、凡对本次采购提出询问，请按以下方式联系</w:t>
      </w:r>
    </w:p>
    <w:p>
      <w:pPr>
        <w:spacing w:line="360" w:lineRule="auto"/>
        <w:ind w:firstLine="484" w:firstLineChars="202"/>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、采购人信息</w:t>
      </w:r>
    </w:p>
    <w:p>
      <w:pPr>
        <w:spacing w:line="360" w:lineRule="auto"/>
        <w:ind w:firstLine="484" w:firstLineChars="202"/>
        <w:rPr>
          <w:rFonts w:ascii="宋体" w:cs="宋体"/>
          <w:sz w:val="24"/>
          <w:szCs w:val="24"/>
          <w:highlight w:val="none"/>
        </w:rPr>
      </w:pPr>
      <w:r>
        <w:rPr>
          <w:rFonts w:hint="eastAsia" w:ascii="宋体" w:hAnsi="宋体" w:cs="宋体"/>
          <w:sz w:val="24"/>
          <w:szCs w:val="24"/>
          <w:highlight w:val="none"/>
        </w:rPr>
        <w:t>名</w:t>
      </w:r>
      <w:r>
        <w:rPr>
          <w:rFonts w:ascii="宋体" w:hAnsi="宋体" w:cs="宋体"/>
          <w:sz w:val="24"/>
          <w:szCs w:val="24"/>
          <w:highlight w:val="none"/>
        </w:rPr>
        <w:t xml:space="preserve">  </w:t>
      </w:r>
      <w:r>
        <w:rPr>
          <w:rFonts w:hint="eastAsia" w:ascii="宋体" w:hAnsi="宋体" w:cs="宋体"/>
          <w:sz w:val="24"/>
          <w:szCs w:val="24"/>
          <w:highlight w:val="none"/>
        </w:rPr>
        <w:t>称：南通市文化广电和旅游局</w:t>
      </w:r>
    </w:p>
    <w:p>
      <w:pPr>
        <w:spacing w:line="360" w:lineRule="auto"/>
        <w:ind w:firstLine="484" w:firstLineChars="202"/>
        <w:rPr>
          <w:rFonts w:ascii="宋体" w:cs="宋体"/>
          <w:sz w:val="24"/>
          <w:szCs w:val="24"/>
          <w:highlight w:val="none"/>
        </w:rPr>
      </w:pPr>
      <w:r>
        <w:rPr>
          <w:rFonts w:hint="eastAsia" w:ascii="宋体" w:hAnsi="宋体" w:cs="宋体"/>
          <w:sz w:val="24"/>
          <w:szCs w:val="24"/>
          <w:highlight w:val="none"/>
        </w:rPr>
        <w:t>地</w:t>
      </w:r>
      <w:r>
        <w:rPr>
          <w:rFonts w:ascii="宋体" w:hAnsi="宋体" w:cs="宋体"/>
          <w:sz w:val="24"/>
          <w:szCs w:val="24"/>
          <w:highlight w:val="none"/>
        </w:rPr>
        <w:t xml:space="preserve">  </w:t>
      </w:r>
      <w:r>
        <w:rPr>
          <w:rFonts w:hint="eastAsia" w:ascii="宋体" w:hAnsi="宋体" w:cs="宋体"/>
          <w:sz w:val="24"/>
          <w:szCs w:val="24"/>
          <w:highlight w:val="none"/>
        </w:rPr>
        <w:t>址：南通市崇川区世纪大道</w:t>
      </w:r>
      <w:r>
        <w:rPr>
          <w:rFonts w:ascii="宋体" w:hAnsi="宋体" w:cs="宋体"/>
          <w:sz w:val="24"/>
          <w:szCs w:val="24"/>
          <w:highlight w:val="none"/>
        </w:rPr>
        <w:t>6</w:t>
      </w:r>
      <w:r>
        <w:rPr>
          <w:rFonts w:hint="eastAsia" w:ascii="宋体" w:hAnsi="宋体" w:cs="宋体"/>
          <w:sz w:val="24"/>
          <w:szCs w:val="24"/>
          <w:highlight w:val="none"/>
        </w:rPr>
        <w:t>号</w:t>
      </w:r>
    </w:p>
    <w:p>
      <w:pPr>
        <w:spacing w:line="360" w:lineRule="auto"/>
        <w:ind w:firstLine="484" w:firstLineChars="202"/>
        <w:rPr>
          <w:rFonts w:ascii="宋体" w:hAnsi="宋体" w:cs="宋体"/>
          <w:sz w:val="24"/>
          <w:szCs w:val="24"/>
          <w:highlight w:val="none"/>
        </w:rPr>
      </w:pPr>
      <w:r>
        <w:rPr>
          <w:rFonts w:hint="eastAsia" w:ascii="宋体" w:hAnsi="宋体" w:cs="宋体"/>
          <w:sz w:val="24"/>
          <w:szCs w:val="24"/>
          <w:highlight w:val="none"/>
        </w:rPr>
        <w:t xml:space="preserve">联系人：周先生 </w:t>
      </w:r>
    </w:p>
    <w:p>
      <w:pPr>
        <w:spacing w:line="360" w:lineRule="auto"/>
        <w:ind w:firstLine="484" w:firstLineChars="202"/>
        <w:rPr>
          <w:rFonts w:ascii="宋体" w:cs="宋体"/>
          <w:kern w:val="0"/>
          <w:sz w:val="24"/>
          <w:szCs w:val="20"/>
          <w:highlight w:val="none"/>
        </w:rPr>
      </w:pPr>
      <w:r>
        <w:rPr>
          <w:rFonts w:hint="eastAsia" w:ascii="宋体" w:hAnsi="宋体" w:cs="宋体"/>
          <w:sz w:val="24"/>
          <w:szCs w:val="24"/>
          <w:highlight w:val="none"/>
        </w:rPr>
        <w:t>联系电话：85216517</w:t>
      </w:r>
      <w:r>
        <w:rPr>
          <w:rFonts w:hint="eastAsia" w:ascii="宋体" w:hAnsi="宋体" w:cs="宋体"/>
          <w:kern w:val="0"/>
          <w:sz w:val="24"/>
          <w:szCs w:val="20"/>
          <w:highlight w:val="none"/>
        </w:rPr>
        <w:t xml:space="preserve"> </w:t>
      </w:r>
    </w:p>
    <w:p>
      <w:pPr>
        <w:spacing w:line="360" w:lineRule="auto"/>
        <w:ind w:firstLine="484" w:firstLineChars="202"/>
        <w:rPr>
          <w:rFonts w:ascii="宋体" w:hAnsi="宋体" w:cs="宋体"/>
          <w:sz w:val="24"/>
          <w:szCs w:val="24"/>
          <w:highlight w:val="none"/>
        </w:rPr>
      </w:pPr>
      <w:r>
        <w:rPr>
          <w:rFonts w:ascii="宋体" w:hAnsi="宋体" w:cs="宋体"/>
          <w:kern w:val="0"/>
          <w:sz w:val="24"/>
          <w:szCs w:val="20"/>
          <w:highlight w:val="none"/>
        </w:rPr>
        <w:t>2</w:t>
      </w:r>
      <w:r>
        <w:rPr>
          <w:rFonts w:hint="eastAsia" w:ascii="宋体" w:hAnsi="宋体" w:cs="宋体"/>
          <w:kern w:val="0"/>
          <w:sz w:val="24"/>
          <w:szCs w:val="20"/>
          <w:highlight w:val="none"/>
        </w:rPr>
        <w:t>、</w:t>
      </w:r>
      <w:r>
        <w:rPr>
          <w:rFonts w:hint="eastAsia" w:ascii="宋体" w:hAnsi="宋体" w:cs="宋体"/>
          <w:sz w:val="24"/>
          <w:szCs w:val="24"/>
          <w:highlight w:val="none"/>
        </w:rPr>
        <w:t>招标代理</w:t>
      </w:r>
    </w:p>
    <w:p>
      <w:pPr>
        <w:pStyle w:val="51"/>
        <w:ind w:firstLine="480"/>
        <w:rPr>
          <w:rFonts w:ascii="宋体" w:hAnsi="宋体" w:cs="宋体"/>
          <w:highlight w:val="none"/>
        </w:rPr>
      </w:pPr>
      <w:r>
        <w:rPr>
          <w:rFonts w:hint="eastAsia" w:ascii="宋体" w:hAnsi="宋体" w:cs="宋体"/>
          <w:highlight w:val="none"/>
        </w:rPr>
        <w:t>名  称</w:t>
      </w:r>
      <w:r>
        <w:rPr>
          <w:rFonts w:ascii="宋体" w:hAnsi="宋体" w:cs="宋体"/>
          <w:highlight w:val="none"/>
        </w:rPr>
        <w:t>：南通通城建设工程项目管理有限公司</w:t>
      </w:r>
    </w:p>
    <w:p>
      <w:pPr>
        <w:pStyle w:val="51"/>
        <w:ind w:firstLine="480"/>
        <w:rPr>
          <w:rFonts w:ascii="宋体" w:hAnsi="宋体" w:cs="宋体"/>
          <w:highlight w:val="none"/>
        </w:rPr>
      </w:pPr>
      <w:r>
        <w:rPr>
          <w:rFonts w:ascii="宋体" w:hAnsi="宋体" w:cs="宋体"/>
          <w:highlight w:val="none"/>
        </w:rPr>
        <w:t>地</w:t>
      </w:r>
      <w:r>
        <w:rPr>
          <w:rFonts w:hint="eastAsia" w:ascii="宋体" w:hAnsi="宋体" w:cs="宋体"/>
          <w:highlight w:val="none"/>
        </w:rPr>
        <w:t xml:space="preserve">  </w:t>
      </w:r>
      <w:r>
        <w:rPr>
          <w:rFonts w:ascii="宋体" w:hAnsi="宋体" w:cs="宋体"/>
          <w:highlight w:val="none"/>
        </w:rPr>
        <w:t>址</w:t>
      </w:r>
      <w:r>
        <w:rPr>
          <w:rFonts w:hint="eastAsia" w:ascii="宋体" w:hAnsi="宋体" w:cs="宋体"/>
          <w:highlight w:val="none"/>
        </w:rPr>
        <w:t>：</w:t>
      </w:r>
      <w:r>
        <w:rPr>
          <w:rFonts w:ascii="宋体" w:hAnsi="宋体" w:cs="宋体"/>
          <w:highlight w:val="none"/>
        </w:rPr>
        <w:t>南通市崇川区工农南路156号鑫乾广场A座22楼2202室</w:t>
      </w:r>
    </w:p>
    <w:p>
      <w:pPr>
        <w:pStyle w:val="51"/>
        <w:ind w:firstLine="480"/>
        <w:rPr>
          <w:rFonts w:ascii="宋体" w:hAnsi="宋体" w:cs="宋体"/>
          <w:highlight w:val="none"/>
        </w:rPr>
      </w:pPr>
      <w:r>
        <w:rPr>
          <w:rFonts w:ascii="宋体" w:hAnsi="宋体" w:cs="宋体"/>
          <w:highlight w:val="none"/>
        </w:rPr>
        <w:t>联系方式：</w:t>
      </w:r>
      <w:r>
        <w:rPr>
          <w:rFonts w:hint="eastAsia" w:ascii="宋体" w:hAnsi="宋体" w:cs="宋体"/>
          <w:highlight w:val="none"/>
        </w:rPr>
        <w:t xml:space="preserve">缪女士   </w:t>
      </w:r>
      <w:r>
        <w:rPr>
          <w:rFonts w:ascii="宋体" w:hAnsi="宋体" w:cs="宋体"/>
          <w:highlight w:val="none"/>
        </w:rPr>
        <w:t xml:space="preserve">18906296216 </w:t>
      </w:r>
    </w:p>
    <w:p>
      <w:pPr>
        <w:pStyle w:val="51"/>
        <w:spacing w:line="360" w:lineRule="auto"/>
        <w:ind w:firstLine="480"/>
      </w:pPr>
    </w:p>
    <w:p>
      <w:pPr>
        <w:spacing w:line="360" w:lineRule="auto"/>
        <w:ind w:firstLine="480" w:firstLineChars="200"/>
        <w:jc w:val="center"/>
        <w:rPr>
          <w:rFonts w:ascii="宋体"/>
          <w:color w:val="000000"/>
          <w:w w:val="80"/>
        </w:rPr>
      </w:pPr>
      <w:r>
        <w:rPr>
          <w:rFonts w:ascii="宋体"/>
          <w:sz w:val="24"/>
          <w:szCs w:val="24"/>
        </w:rPr>
        <w:br w:type="page"/>
      </w:r>
      <w:r>
        <w:rPr>
          <w:rFonts w:hint="eastAsia" w:ascii="宋体" w:hAnsi="宋体" w:cs="宋体"/>
          <w:b/>
          <w:bCs/>
          <w:color w:val="000000"/>
          <w:w w:val="80"/>
          <w:sz w:val="44"/>
          <w:szCs w:val="44"/>
        </w:rPr>
        <w:t>第二章</w:t>
      </w:r>
      <w:r>
        <w:rPr>
          <w:rFonts w:ascii="宋体" w:hAnsi="宋体" w:cs="宋体"/>
          <w:b/>
          <w:bCs/>
          <w:color w:val="000000"/>
          <w:w w:val="80"/>
          <w:sz w:val="44"/>
          <w:szCs w:val="44"/>
        </w:rPr>
        <w:t xml:space="preserve">  </w:t>
      </w:r>
      <w:bookmarkEnd w:id="11"/>
      <w:bookmarkEnd w:id="12"/>
      <w:bookmarkEnd w:id="13"/>
      <w:bookmarkEnd w:id="14"/>
      <w:bookmarkEnd w:id="15"/>
      <w:bookmarkEnd w:id="16"/>
      <w:bookmarkEnd w:id="17"/>
      <w:bookmarkEnd w:id="18"/>
      <w:bookmarkEnd w:id="19"/>
      <w:bookmarkEnd w:id="20"/>
      <w:r>
        <w:rPr>
          <w:rFonts w:hint="eastAsia" w:ascii="宋体" w:hAnsi="宋体" w:cs="宋体"/>
          <w:b/>
          <w:bCs/>
          <w:color w:val="000000"/>
          <w:w w:val="80"/>
          <w:sz w:val="44"/>
          <w:szCs w:val="44"/>
        </w:rPr>
        <w:t>磋商供应商须知</w:t>
      </w:r>
      <w:bookmarkEnd w:id="21"/>
    </w:p>
    <w:p>
      <w:pPr>
        <w:snapToGrid w:val="0"/>
        <w:spacing w:line="480" w:lineRule="exact"/>
        <w:ind w:firstLine="482" w:firstLineChars="200"/>
        <w:outlineLvl w:val="1"/>
        <w:rPr>
          <w:rFonts w:ascii="宋体"/>
          <w:b/>
          <w:bCs/>
          <w:color w:val="000000"/>
          <w:sz w:val="24"/>
          <w:szCs w:val="24"/>
        </w:rPr>
      </w:pPr>
      <w:bookmarkStart w:id="22" w:name="_Toc94544871"/>
      <w:bookmarkStart w:id="23" w:name="_Toc521203419"/>
      <w:bookmarkStart w:id="24" w:name="_Toc8895740"/>
      <w:bookmarkStart w:id="25" w:name="_Toc94544745"/>
      <w:bookmarkStart w:id="26" w:name="_Toc11499585"/>
      <w:bookmarkStart w:id="27" w:name="_Toc12670504"/>
      <w:bookmarkStart w:id="28" w:name="_Toc94585341"/>
      <w:bookmarkStart w:id="29" w:name="_Toc11554640"/>
      <w:bookmarkStart w:id="30" w:name="_Toc521201598"/>
      <w:bookmarkStart w:id="31" w:name="_Toc11500281"/>
      <w:r>
        <w:rPr>
          <w:rFonts w:hint="eastAsia" w:ascii="宋体" w:hAnsi="宋体" w:cs="宋体"/>
          <w:b/>
          <w:bCs/>
          <w:color w:val="000000"/>
          <w:sz w:val="24"/>
          <w:szCs w:val="24"/>
        </w:rPr>
        <w:t>一、说明</w:t>
      </w:r>
    </w:p>
    <w:p>
      <w:pPr>
        <w:snapToGrid w:val="0"/>
        <w:spacing w:line="48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、本竞争性磋商文件仅适用于南通通城建设工程项目管理有限公司组织的竞争性磋商采购活动。</w:t>
      </w:r>
    </w:p>
    <w:p>
      <w:pPr>
        <w:snapToGrid w:val="0"/>
        <w:spacing w:line="48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、竞争性磋商活动及因本次磋商产生的合同受中国法律制约和保护。</w:t>
      </w:r>
    </w:p>
    <w:p>
      <w:pPr>
        <w:snapToGrid w:val="0"/>
        <w:spacing w:line="48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、竞争性磋商文件的解释权属于</w:t>
      </w:r>
      <w:r>
        <w:rPr>
          <w:rFonts w:hint="eastAsia" w:ascii="宋体" w:hAnsi="宋体" w:cs="宋体"/>
          <w:sz w:val="24"/>
          <w:szCs w:val="24"/>
        </w:rPr>
        <w:t>南通市文化广电和旅游局</w:t>
      </w:r>
      <w:r>
        <w:rPr>
          <w:rFonts w:hint="eastAsia" w:ascii="宋体" w:hAnsi="宋体" w:cs="宋体"/>
          <w:color w:val="000000"/>
          <w:sz w:val="24"/>
          <w:szCs w:val="24"/>
        </w:rPr>
        <w:t>。</w:t>
      </w:r>
    </w:p>
    <w:p>
      <w:pPr>
        <w:snapToGrid w:val="0"/>
        <w:spacing w:line="480" w:lineRule="exact"/>
        <w:ind w:firstLine="480" w:firstLineChars="200"/>
        <w:rPr>
          <w:rFonts w:ascii="宋体"/>
          <w:color w:val="FF00FF"/>
          <w:sz w:val="24"/>
          <w:szCs w:val="24"/>
        </w:rPr>
      </w:pPr>
      <w:r>
        <w:rPr>
          <w:rFonts w:ascii="宋体" w:hAnsi="宋体" w:cs="宋体"/>
          <w:color w:val="000000"/>
          <w:sz w:val="24"/>
          <w:szCs w:val="24"/>
        </w:rPr>
        <w:t>4</w:t>
      </w:r>
      <w:r>
        <w:rPr>
          <w:rFonts w:hint="eastAsia" w:ascii="宋体" w:hAnsi="宋体" w:cs="宋体"/>
          <w:color w:val="000000"/>
          <w:sz w:val="24"/>
          <w:szCs w:val="24"/>
        </w:rPr>
        <w:t>、供应商下载磋商文件后，应仔细检查磋商文件的所有内容。如内容中有页码短缺、资格要求以及任何设置有不合理的条件对供应商实行差别待遇或者歧视待遇的，应在磋商文件发布</w:t>
      </w:r>
      <w:r>
        <w:rPr>
          <w:rFonts w:hint="eastAsia" w:ascii="宋体" w:hAnsi="宋体" w:cs="宋体"/>
          <w:sz w:val="24"/>
          <w:szCs w:val="24"/>
        </w:rPr>
        <w:t>后的</w:t>
      </w:r>
      <w:r>
        <w:rPr>
          <w:rFonts w:ascii="宋体" w:hAnsi="宋体" w:cs="宋体"/>
          <w:sz w:val="24"/>
          <w:szCs w:val="24"/>
        </w:rPr>
        <w:t>3</w:t>
      </w:r>
      <w:r>
        <w:rPr>
          <w:rFonts w:hint="eastAsia" w:ascii="宋体" w:hAnsi="宋体" w:cs="宋体"/>
          <w:sz w:val="24"/>
          <w:szCs w:val="24"/>
        </w:rPr>
        <w:t>日内，</w:t>
      </w:r>
      <w:r>
        <w:rPr>
          <w:rFonts w:hint="eastAsia" w:ascii="宋体" w:hAnsi="宋体" w:cs="宋体"/>
          <w:color w:val="000000"/>
          <w:sz w:val="24"/>
          <w:szCs w:val="24"/>
        </w:rPr>
        <w:t>以书面形式向采购单位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b/>
          <w:bCs/>
          <w:color w:val="000000"/>
          <w:sz w:val="24"/>
          <w:szCs w:val="24"/>
        </w:rPr>
        <w:t>非书面形式的不作为日后质疑提出的依据。</w:t>
      </w:r>
    </w:p>
    <w:p>
      <w:pPr>
        <w:snapToGrid w:val="0"/>
        <w:spacing w:line="480" w:lineRule="exact"/>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、供应商应认真审阅</w:t>
      </w:r>
      <w:r>
        <w:rPr>
          <w:rFonts w:hint="eastAsia" w:ascii="宋体" w:hAnsi="宋体" w:cs="宋体"/>
          <w:sz w:val="24"/>
          <w:szCs w:val="24"/>
        </w:rPr>
        <w:t>磋商文件中</w:t>
      </w:r>
      <w:r>
        <w:rPr>
          <w:rFonts w:hint="eastAsia" w:ascii="宋体" w:hAnsi="宋体" w:cs="宋体"/>
          <w:color w:val="000000"/>
          <w:sz w:val="24"/>
          <w:szCs w:val="24"/>
        </w:rPr>
        <w:t>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2" w:firstLineChars="200"/>
        <w:outlineLvl w:val="1"/>
        <w:rPr>
          <w:rFonts w:ascii="宋体"/>
          <w:b/>
          <w:bCs/>
          <w:color w:val="000000"/>
          <w:sz w:val="24"/>
          <w:szCs w:val="24"/>
        </w:rPr>
      </w:pPr>
      <w:r>
        <w:rPr>
          <w:rFonts w:hint="eastAsia" w:ascii="宋体" w:hAnsi="宋体" w:cs="宋体"/>
          <w:b/>
          <w:bCs/>
          <w:color w:val="000000"/>
          <w:sz w:val="24"/>
          <w:szCs w:val="24"/>
        </w:rPr>
        <w:t>二、磋商文件的澄清、修改、答疑</w:t>
      </w:r>
    </w:p>
    <w:p>
      <w:pPr>
        <w:snapToGrid w:val="0"/>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、代理机构有权对发出的磋商文件进行必要的澄清、修改或补充。</w:t>
      </w:r>
    </w:p>
    <w:p>
      <w:pPr>
        <w:snapToGrid w:val="0"/>
        <w:spacing w:line="48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、磋商文件的澄清、修改、补充等内容均以书面明确的形式发布，并以“南通市文化广电和旅游局”发布的信息为准。</w:t>
      </w:r>
    </w:p>
    <w:p>
      <w:pPr>
        <w:snapToGrid w:val="0"/>
        <w:spacing w:line="48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、代理机构对磋商文件的澄清、修改将构成磋商文件的一部分，对响应磋商的供应商具有约束力。</w:t>
      </w:r>
    </w:p>
    <w:p>
      <w:pPr>
        <w:snapToGrid w:val="0"/>
        <w:spacing w:line="48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、澄清或者修改的内容可能影响到响应文件编制的，采购单位将在提交响应文件接收截止之日</w:t>
      </w:r>
      <w:r>
        <w:rPr>
          <w:rFonts w:ascii="宋体" w:hAnsi="宋体" w:cs="宋体"/>
          <w:sz w:val="24"/>
          <w:szCs w:val="24"/>
        </w:rPr>
        <w:t>5</w:t>
      </w:r>
      <w:r>
        <w:rPr>
          <w:rFonts w:hint="eastAsia" w:ascii="宋体" w:hAnsi="宋体" w:cs="宋体"/>
          <w:sz w:val="24"/>
          <w:szCs w:val="24"/>
        </w:rPr>
        <w:t>日前，发布澄清或者修改公告，不足</w:t>
      </w:r>
      <w:r>
        <w:rPr>
          <w:rFonts w:ascii="宋体" w:hAnsi="宋体" w:cs="宋体"/>
          <w:sz w:val="24"/>
          <w:szCs w:val="24"/>
        </w:rPr>
        <w:t>5</w:t>
      </w:r>
      <w:r>
        <w:rPr>
          <w:rFonts w:hint="eastAsia" w:ascii="宋体" w:hAnsi="宋体" w:cs="宋体"/>
          <w:sz w:val="24"/>
          <w:szCs w:val="24"/>
        </w:rPr>
        <w:t>日的，当顺延提交响应文件接收截止时间。</w:t>
      </w:r>
    </w:p>
    <w:p>
      <w:pPr>
        <w:snapToGrid w:val="0"/>
        <w:spacing w:line="48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、采购单位视情组织答疑会。如有产生答疑且对磋商文件内容有修改，将按照本须知有关规定，以补充通知（公告）的方式发出。</w:t>
      </w:r>
    </w:p>
    <w:p>
      <w:pPr>
        <w:snapToGrid w:val="0"/>
        <w:spacing w:line="460" w:lineRule="exact"/>
        <w:ind w:firstLine="482" w:firstLineChars="200"/>
        <w:outlineLvl w:val="1"/>
        <w:rPr>
          <w:rFonts w:ascii="宋体"/>
          <w:b/>
          <w:bCs/>
          <w:sz w:val="24"/>
          <w:szCs w:val="24"/>
        </w:rPr>
      </w:pPr>
      <w:r>
        <w:rPr>
          <w:rFonts w:hint="eastAsia" w:ascii="宋体" w:hAnsi="宋体" w:cs="宋体"/>
          <w:b/>
          <w:bCs/>
          <w:sz w:val="24"/>
          <w:szCs w:val="24"/>
        </w:rPr>
        <w:t>三、磋商项目涉及到的现场勘察</w:t>
      </w:r>
    </w:p>
    <w:p>
      <w:pPr>
        <w:spacing w:line="460" w:lineRule="exact"/>
        <w:ind w:firstLine="484" w:firstLineChars="202"/>
        <w:rPr>
          <w:rFonts w:ascii="宋体"/>
          <w:sz w:val="24"/>
          <w:szCs w:val="24"/>
        </w:rPr>
      </w:pPr>
      <w:r>
        <w:rPr>
          <w:rFonts w:ascii="宋体" w:hAnsi="宋体" w:cs="宋体"/>
          <w:sz w:val="24"/>
          <w:szCs w:val="24"/>
        </w:rPr>
        <w:t>1</w:t>
      </w:r>
      <w:r>
        <w:rPr>
          <w:rFonts w:hint="eastAsia" w:ascii="宋体" w:hAnsi="宋体" w:cs="宋体"/>
          <w:sz w:val="24"/>
          <w:szCs w:val="24"/>
        </w:rPr>
        <w:t>、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pPr>
        <w:spacing w:line="460" w:lineRule="exact"/>
        <w:ind w:firstLine="484" w:firstLineChars="202"/>
        <w:rPr>
          <w:rFonts w:ascii="宋体"/>
          <w:sz w:val="24"/>
          <w:szCs w:val="24"/>
        </w:rPr>
      </w:pPr>
      <w:r>
        <w:rPr>
          <w:rFonts w:ascii="宋体" w:hAnsi="宋体" w:cs="宋体"/>
          <w:sz w:val="24"/>
          <w:szCs w:val="24"/>
        </w:rPr>
        <w:t>2</w:t>
      </w:r>
      <w:r>
        <w:rPr>
          <w:rFonts w:hint="eastAsia" w:ascii="宋体" w:hAnsi="宋体" w:cs="宋体"/>
          <w:sz w:val="24"/>
          <w:szCs w:val="24"/>
        </w:rPr>
        <w:t>、采购单位向供应商提供的有关现场的资料和数据，是采购单位现有的并认为能使供应商可利用的资料。采购人对供应商由此而做出的推论、理解和结论概不负责。</w:t>
      </w:r>
    </w:p>
    <w:p>
      <w:pPr>
        <w:spacing w:line="460" w:lineRule="exact"/>
        <w:ind w:firstLine="484" w:firstLineChars="202"/>
        <w:rPr>
          <w:rFonts w:ascii="宋体"/>
          <w:sz w:val="24"/>
          <w:szCs w:val="24"/>
        </w:rPr>
      </w:pPr>
      <w:r>
        <w:rPr>
          <w:rFonts w:ascii="宋体" w:hAnsi="宋体" w:cs="宋体"/>
          <w:sz w:val="24"/>
          <w:szCs w:val="24"/>
        </w:rPr>
        <w:t>3</w:t>
      </w:r>
      <w:r>
        <w:rPr>
          <w:rFonts w:hint="eastAsia" w:ascii="宋体" w:hAnsi="宋体" w:cs="宋体"/>
          <w:sz w:val="24"/>
          <w:szCs w:val="24"/>
        </w:rPr>
        <w:t>、经采购人允许，供应商可为勘察目的进入采购人的项目现场，但供应商不得因此使采购人承担有关的责任和蒙受损失。供应商应承担勘察现场的责任和风险。</w:t>
      </w:r>
    </w:p>
    <w:p>
      <w:pPr>
        <w:spacing w:line="460" w:lineRule="exact"/>
        <w:ind w:firstLine="484" w:firstLineChars="202"/>
        <w:rPr>
          <w:sz w:val="24"/>
          <w:szCs w:val="24"/>
        </w:rPr>
      </w:pPr>
      <w:r>
        <w:rPr>
          <w:rFonts w:ascii="宋体" w:hAnsi="宋体" w:cs="宋体"/>
          <w:sz w:val="24"/>
          <w:szCs w:val="24"/>
        </w:rPr>
        <w:t>4</w:t>
      </w:r>
      <w:r>
        <w:rPr>
          <w:rFonts w:hint="eastAsia" w:ascii="宋体" w:hAnsi="宋体" w:cs="宋体"/>
          <w:sz w:val="24"/>
          <w:szCs w:val="24"/>
        </w:rPr>
        <w:t>、供应商应认真踏勘现场。在现场勘察时，熟悉供货及安装现场、现场周围交通道路等情况，以获得一切可能影响其投标的直接资料。供应商成交后，不得以不完全了解现场情况为理由而向采购人提出任何索赔的要求，对此采购人不承担任何责任并将不作任何答复与考虑。</w:t>
      </w:r>
      <w:r>
        <w:rPr>
          <w:rFonts w:ascii="宋体" w:hAnsi="宋体" w:cs="宋体"/>
          <w:b/>
          <w:bCs/>
          <w:sz w:val="24"/>
          <w:szCs w:val="24"/>
        </w:rPr>
        <w:t xml:space="preserve">        </w:t>
      </w:r>
    </w:p>
    <w:p>
      <w:pPr>
        <w:snapToGrid w:val="0"/>
        <w:spacing w:line="480" w:lineRule="exact"/>
        <w:ind w:firstLine="482" w:firstLineChars="200"/>
        <w:outlineLvl w:val="1"/>
        <w:rPr>
          <w:rFonts w:ascii="宋体"/>
          <w:b/>
          <w:bCs/>
          <w:color w:val="000000"/>
          <w:sz w:val="24"/>
          <w:szCs w:val="24"/>
        </w:rPr>
      </w:pPr>
      <w:r>
        <w:rPr>
          <w:rFonts w:hint="eastAsia" w:ascii="宋体" w:hAnsi="宋体" w:cs="宋体"/>
          <w:b/>
          <w:bCs/>
          <w:color w:val="000000"/>
          <w:sz w:val="24"/>
          <w:szCs w:val="24"/>
        </w:rPr>
        <w:t>四、响应文件的编制及装订</w:t>
      </w:r>
    </w:p>
    <w:p>
      <w:pPr>
        <w:spacing w:line="480" w:lineRule="exact"/>
        <w:ind w:firstLine="484" w:firstLineChars="202"/>
        <w:rPr>
          <w:rFonts w:ascii="宋体"/>
          <w:color w:val="000000"/>
          <w:sz w:val="24"/>
          <w:szCs w:val="24"/>
        </w:rPr>
      </w:pPr>
      <w:r>
        <w:rPr>
          <w:rFonts w:hint="eastAsia" w:ascii="宋体" w:hAnsi="宋体" w:cs="宋体"/>
          <w:color w:val="000000"/>
          <w:sz w:val="24"/>
          <w:szCs w:val="24"/>
        </w:rPr>
        <w:t>供应</w:t>
      </w:r>
      <w:r>
        <w:rPr>
          <w:rFonts w:hint="eastAsia" w:ascii="宋体" w:hAnsi="宋体" w:cs="宋体"/>
          <w:sz w:val="24"/>
          <w:szCs w:val="24"/>
        </w:rPr>
        <w:t>商按磋商文件要求编写响应文件，并牢固装订成册。响应文件均需采用</w:t>
      </w:r>
      <w:r>
        <w:rPr>
          <w:rFonts w:ascii="宋体" w:hAnsi="宋体" w:cs="宋体"/>
          <w:sz w:val="24"/>
          <w:szCs w:val="24"/>
        </w:rPr>
        <w:t>A4</w:t>
      </w:r>
      <w:r>
        <w:rPr>
          <w:rFonts w:hint="eastAsia" w:ascii="宋体" w:hAnsi="宋体" w:cs="宋体"/>
          <w:sz w:val="24"/>
          <w:szCs w:val="24"/>
        </w:rPr>
        <w:t>纸（图纸等除外），响应文件不得行间插字、涂改、增删，如修改错漏处，须经签署响应文件的投标人法定代表人或其委托的代理人（以下称被授权人）签字（或盖章）并加盖公章。</w:t>
      </w:r>
    </w:p>
    <w:p>
      <w:pPr>
        <w:snapToGrid w:val="0"/>
        <w:spacing w:line="480" w:lineRule="exact"/>
        <w:ind w:firstLine="482" w:firstLineChars="200"/>
        <w:outlineLvl w:val="1"/>
        <w:rPr>
          <w:rFonts w:ascii="宋体"/>
          <w:b/>
          <w:bCs/>
          <w:color w:val="000000"/>
          <w:sz w:val="24"/>
          <w:szCs w:val="24"/>
        </w:rPr>
      </w:pPr>
      <w:r>
        <w:rPr>
          <w:rFonts w:hint="eastAsia" w:ascii="宋体" w:hAnsi="宋体" w:cs="宋体"/>
          <w:b/>
          <w:bCs/>
          <w:color w:val="000000"/>
          <w:sz w:val="24"/>
          <w:szCs w:val="24"/>
        </w:rPr>
        <w:t>五、响应文件的份数和签署</w:t>
      </w:r>
    </w:p>
    <w:p>
      <w:pPr>
        <w:snapToGrid w:val="0"/>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、响应文件由：</w:t>
      </w:r>
      <w:r>
        <w:rPr>
          <w:rFonts w:ascii="宋体" w:hAnsi="宋体" w:cs="宋体"/>
          <w:sz w:val="24"/>
          <w:szCs w:val="24"/>
        </w:rPr>
        <w:fldChar w:fldCharType="begin"/>
      </w:r>
      <w:r>
        <w:rPr>
          <w:rFonts w:ascii="宋体" w:hAnsi="宋体" w:cs="宋体"/>
          <w:sz w:val="24"/>
          <w:szCs w:val="24"/>
        </w:rPr>
        <w:instrText xml:space="preserve"> = 1 \* GB3 </w:instrText>
      </w:r>
      <w:r>
        <w:rPr>
          <w:rFonts w:ascii="宋体" w:hAnsi="宋体" w:cs="宋体"/>
          <w:sz w:val="24"/>
          <w:szCs w:val="24"/>
        </w:rPr>
        <w:fldChar w:fldCharType="separate"/>
      </w:r>
      <w:r>
        <w:rPr>
          <w:rFonts w:hint="eastAsia" w:ascii="宋体" w:hAnsi="宋体" w:cs="宋体"/>
          <w:sz w:val="24"/>
          <w:szCs w:val="24"/>
        </w:rPr>
        <w:t>①</w:t>
      </w:r>
      <w:r>
        <w:rPr>
          <w:rFonts w:ascii="宋体" w:hAnsi="宋体" w:cs="宋体"/>
          <w:sz w:val="24"/>
          <w:szCs w:val="24"/>
        </w:rPr>
        <w:fldChar w:fldCharType="end"/>
      </w:r>
      <w:r>
        <w:rPr>
          <w:rFonts w:hint="eastAsia" w:ascii="宋体" w:hAnsi="宋体" w:cs="宋体"/>
          <w:sz w:val="24"/>
          <w:szCs w:val="24"/>
        </w:rPr>
        <w:t>资格审查文件、</w:t>
      </w:r>
      <w:r>
        <w:rPr>
          <w:rFonts w:ascii="宋体" w:hAnsi="宋体" w:cs="宋体"/>
          <w:sz w:val="24"/>
          <w:szCs w:val="24"/>
        </w:rPr>
        <w:fldChar w:fldCharType="begin"/>
      </w:r>
      <w:r>
        <w:rPr>
          <w:rFonts w:ascii="宋体" w:hAnsi="宋体" w:cs="宋体"/>
          <w:sz w:val="24"/>
          <w:szCs w:val="24"/>
        </w:rPr>
        <w:instrText xml:space="preserve"> = 2 \* GB3 </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hint="eastAsia" w:ascii="宋体" w:hAnsi="宋体" w:cs="宋体"/>
          <w:sz w:val="24"/>
          <w:szCs w:val="24"/>
        </w:rPr>
        <w:t>技术响应文件、</w:t>
      </w:r>
      <w:r>
        <w:rPr>
          <w:rFonts w:ascii="宋体" w:hAnsi="宋体" w:cs="宋体"/>
          <w:sz w:val="24"/>
          <w:szCs w:val="24"/>
        </w:rPr>
        <w:fldChar w:fldCharType="begin"/>
      </w:r>
      <w:r>
        <w:rPr>
          <w:rFonts w:ascii="宋体" w:hAnsi="宋体" w:cs="宋体"/>
          <w:sz w:val="24"/>
          <w:szCs w:val="24"/>
        </w:rPr>
        <w:instrText xml:space="preserve"> = 3 \* GB3 </w:instrText>
      </w:r>
      <w:r>
        <w:rPr>
          <w:rFonts w:ascii="宋体" w:hAnsi="宋体" w:cs="宋体"/>
          <w:sz w:val="24"/>
          <w:szCs w:val="24"/>
        </w:rPr>
        <w:fldChar w:fldCharType="separate"/>
      </w:r>
      <w:r>
        <w:rPr>
          <w:rFonts w:hint="eastAsia" w:ascii="宋体" w:hAnsi="宋体" w:cs="宋体"/>
          <w:sz w:val="24"/>
          <w:szCs w:val="24"/>
        </w:rPr>
        <w:t>③</w:t>
      </w:r>
      <w:r>
        <w:rPr>
          <w:rFonts w:ascii="宋体" w:hAnsi="宋体" w:cs="宋体"/>
          <w:sz w:val="24"/>
          <w:szCs w:val="24"/>
        </w:rPr>
        <w:fldChar w:fldCharType="end"/>
      </w:r>
      <w:r>
        <w:rPr>
          <w:rFonts w:hint="eastAsia" w:ascii="宋体" w:hAnsi="宋体" w:cs="宋体"/>
          <w:sz w:val="24"/>
          <w:szCs w:val="24"/>
        </w:rPr>
        <w:t>商务报价响应文件，共</w:t>
      </w:r>
      <w:r>
        <w:rPr>
          <w:rFonts w:ascii="宋体" w:hAnsi="宋体" w:cs="宋体"/>
          <w:sz w:val="24"/>
          <w:szCs w:val="24"/>
        </w:rPr>
        <w:t>3</w:t>
      </w:r>
      <w:r>
        <w:rPr>
          <w:rFonts w:hint="eastAsia" w:ascii="宋体" w:hAnsi="宋体" w:cs="宋体"/>
          <w:sz w:val="24"/>
          <w:szCs w:val="24"/>
        </w:rPr>
        <w:t>部分组成（以下由文件序号代称）。</w:t>
      </w:r>
    </w:p>
    <w:p>
      <w:pPr>
        <w:snapToGrid w:val="0"/>
        <w:spacing w:line="480" w:lineRule="exact"/>
        <w:ind w:firstLine="480" w:firstLineChars="200"/>
        <w:rPr>
          <w:rFonts w:ascii="宋体"/>
          <w:sz w:val="24"/>
          <w:szCs w:val="24"/>
          <w:u w:val="single"/>
        </w:rPr>
      </w:pPr>
      <w:r>
        <w:rPr>
          <w:rFonts w:ascii="宋体" w:hAnsi="宋体" w:cs="宋体"/>
          <w:sz w:val="24"/>
          <w:szCs w:val="24"/>
        </w:rPr>
        <w:t>2</w:t>
      </w:r>
      <w:r>
        <w:rPr>
          <w:rFonts w:hint="eastAsia" w:ascii="宋体" w:hAnsi="宋体" w:cs="宋体"/>
          <w:sz w:val="24"/>
          <w:szCs w:val="24"/>
        </w:rPr>
        <w:t>、响应文件均为一式三份，其中“正本”壹份和“副本”两份。</w:t>
      </w:r>
    </w:p>
    <w:p>
      <w:pPr>
        <w:snapToGrid w:val="0"/>
        <w:spacing w:line="480" w:lineRule="exact"/>
        <w:ind w:firstLine="470" w:firstLineChars="196"/>
        <w:rPr>
          <w:rFonts w:ascii="宋体"/>
          <w:sz w:val="24"/>
          <w:szCs w:val="24"/>
        </w:rPr>
      </w:pPr>
      <w:r>
        <w:rPr>
          <w:rFonts w:ascii="宋体" w:hAnsi="宋体" w:cs="宋体"/>
          <w:sz w:val="24"/>
          <w:szCs w:val="24"/>
        </w:rPr>
        <w:t>3</w:t>
      </w:r>
      <w:r>
        <w:rPr>
          <w:rFonts w:hint="eastAsia" w:ascii="宋体" w:hAnsi="宋体" w:cs="宋体"/>
          <w:sz w:val="24"/>
          <w:szCs w:val="24"/>
        </w:rPr>
        <w:t>、在每份响应文件上要明确标注项目名称、对应的响应文件名称、供应商的全称、日期、“正本”、“副本”字样。“正本”和“副本”若有差异，概以“正本”为准。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ascii="宋体"/>
          <w:sz w:val="24"/>
          <w:szCs w:val="24"/>
        </w:rPr>
      </w:pPr>
      <w:r>
        <w:rPr>
          <w:rFonts w:ascii="宋体" w:hAnsi="宋体" w:cs="宋体"/>
          <w:sz w:val="24"/>
          <w:szCs w:val="24"/>
        </w:rPr>
        <w:t>4</w:t>
      </w:r>
      <w:r>
        <w:rPr>
          <w:rFonts w:hint="eastAsia" w:ascii="宋体" w:hAnsi="宋体" w:cs="宋体"/>
          <w:sz w:val="24"/>
          <w:szCs w:val="24"/>
        </w:rPr>
        <w:t>、供应商可将响应文件正副本统一密封或分别密封，如正本和副本分别密封的，应在封袋上标明正、副本字样。</w:t>
      </w:r>
    </w:p>
    <w:p>
      <w:pPr>
        <w:snapToGrid w:val="0"/>
        <w:spacing w:line="480" w:lineRule="exact"/>
        <w:ind w:firstLine="470" w:firstLineChars="196"/>
        <w:rPr>
          <w:rFonts w:ascii="宋体"/>
          <w:sz w:val="24"/>
          <w:szCs w:val="24"/>
        </w:rPr>
      </w:pPr>
      <w:r>
        <w:rPr>
          <w:rFonts w:ascii="宋体" w:hAnsi="宋体" w:cs="宋体"/>
          <w:sz w:val="24"/>
          <w:szCs w:val="24"/>
        </w:rPr>
        <w:t>5</w:t>
      </w:r>
      <w:r>
        <w:rPr>
          <w:rFonts w:hint="eastAsia" w:ascii="宋体" w:hAnsi="宋体" w:cs="宋体"/>
          <w:sz w:val="24"/>
          <w:szCs w:val="24"/>
        </w:rPr>
        <w:t>、响应文件中的所有“正本”，其正文内容须按磋商文件要求由供应商法定代表人或被授权人签字（或盖章）并加盖单位公章。“副本”可复印，但须加盖单位公章。</w:t>
      </w:r>
    </w:p>
    <w:p>
      <w:pPr>
        <w:snapToGrid w:val="0"/>
        <w:spacing w:line="480" w:lineRule="exact"/>
        <w:ind w:firstLine="472" w:firstLineChars="196"/>
        <w:rPr>
          <w:rFonts w:ascii="宋体"/>
          <w:b/>
          <w:bCs/>
          <w:sz w:val="24"/>
          <w:szCs w:val="24"/>
        </w:rPr>
      </w:pPr>
      <w:r>
        <w:rPr>
          <w:rFonts w:hint="eastAsia" w:ascii="宋体" w:hAnsi="宋体" w:cs="宋体"/>
          <w:b/>
          <w:bCs/>
          <w:sz w:val="24"/>
          <w:szCs w:val="24"/>
        </w:rPr>
        <w:t>六、响应文件的密封及标记</w:t>
      </w:r>
    </w:p>
    <w:p>
      <w:pPr>
        <w:snapToGrid w:val="0"/>
        <w:spacing w:line="480" w:lineRule="exact"/>
        <w:ind w:firstLine="480" w:firstLineChars="200"/>
        <w:rPr>
          <w:rFonts w:ascii="宋体"/>
          <w:sz w:val="24"/>
          <w:szCs w:val="24"/>
          <w:u w:val="single"/>
        </w:rPr>
      </w:pPr>
      <w:r>
        <w:rPr>
          <w:rFonts w:ascii="宋体" w:hAnsi="宋体" w:cs="宋体"/>
          <w:sz w:val="24"/>
          <w:szCs w:val="24"/>
        </w:rPr>
        <w:t>1</w:t>
      </w:r>
      <w:r>
        <w:rPr>
          <w:rFonts w:hint="eastAsia" w:ascii="宋体" w:hAnsi="宋体" w:cs="宋体"/>
          <w:sz w:val="24"/>
          <w:szCs w:val="24"/>
        </w:rPr>
        <w:t>、供应商须将本项目响应文件：</w:t>
      </w:r>
      <w:r>
        <w:rPr>
          <w:rFonts w:ascii="宋体" w:hAnsi="宋体" w:cs="宋体"/>
          <w:sz w:val="24"/>
          <w:szCs w:val="24"/>
        </w:rPr>
        <w:fldChar w:fldCharType="begin"/>
      </w:r>
      <w:r>
        <w:rPr>
          <w:rFonts w:ascii="宋体" w:hAnsi="宋体" w:cs="宋体"/>
          <w:sz w:val="24"/>
          <w:szCs w:val="24"/>
        </w:rPr>
        <w:instrText xml:space="preserve"> = 1 \* GB3 </w:instrText>
      </w:r>
      <w:r>
        <w:rPr>
          <w:rFonts w:ascii="宋体" w:hAnsi="宋体" w:cs="宋体"/>
          <w:sz w:val="24"/>
          <w:szCs w:val="24"/>
        </w:rPr>
        <w:fldChar w:fldCharType="separate"/>
      </w:r>
      <w:r>
        <w:rPr>
          <w:rFonts w:hint="eastAsia" w:ascii="宋体" w:hAnsi="宋体" w:cs="宋体"/>
          <w:sz w:val="24"/>
          <w:szCs w:val="24"/>
        </w:rPr>
        <w:t>①</w:t>
      </w:r>
      <w:r>
        <w:rPr>
          <w:rFonts w:ascii="宋体" w:hAnsi="宋体" w:cs="宋体"/>
          <w:sz w:val="24"/>
          <w:szCs w:val="24"/>
        </w:rPr>
        <w:fldChar w:fldCharType="end"/>
      </w:r>
      <w:r>
        <w:rPr>
          <w:rFonts w:hint="eastAsia" w:ascii="宋体" w:hAnsi="宋体" w:cs="宋体"/>
          <w:sz w:val="24"/>
          <w:szCs w:val="24"/>
        </w:rPr>
        <w:t>、</w:t>
      </w:r>
      <w:r>
        <w:rPr>
          <w:rFonts w:ascii="宋体" w:hAnsi="宋体" w:cs="宋体"/>
          <w:sz w:val="24"/>
          <w:szCs w:val="24"/>
        </w:rPr>
        <w:fldChar w:fldCharType="begin"/>
      </w:r>
      <w:r>
        <w:rPr>
          <w:rFonts w:ascii="宋体" w:hAnsi="宋体" w:cs="宋体"/>
          <w:sz w:val="24"/>
          <w:szCs w:val="24"/>
        </w:rPr>
        <w:instrText xml:space="preserve"> = 2 \* GB3 </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hint="eastAsia" w:ascii="宋体" w:hAnsi="宋体" w:cs="宋体"/>
          <w:sz w:val="24"/>
          <w:szCs w:val="24"/>
        </w:rPr>
        <w:t>、③</w:t>
      </w:r>
      <w:r>
        <w:rPr>
          <w:rFonts w:hint="eastAsia" w:ascii="宋体" w:hAnsi="宋体" w:cs="宋体"/>
          <w:b/>
          <w:bCs/>
          <w:sz w:val="24"/>
          <w:szCs w:val="24"/>
        </w:rPr>
        <w:t>单独密封</w:t>
      </w:r>
      <w:r>
        <w:rPr>
          <w:rFonts w:hint="eastAsia" w:ascii="宋体" w:hAnsi="宋体" w:cs="宋体"/>
          <w:sz w:val="24"/>
          <w:szCs w:val="24"/>
        </w:rPr>
        <w:t>。</w:t>
      </w:r>
    </w:p>
    <w:p>
      <w:pPr>
        <w:snapToGrid w:val="0"/>
        <w:spacing w:line="4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、密封后，应在每一密封的响应文件上明确标注磋商项目名称、响应文件各自对应的名称、供应商的全称及日期。</w:t>
      </w:r>
    </w:p>
    <w:p>
      <w:pPr>
        <w:snapToGrid w:val="0"/>
        <w:spacing w:line="48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、在密封处加盖供应商公章或签字。</w:t>
      </w:r>
    </w:p>
    <w:p>
      <w:pPr>
        <w:snapToGrid w:val="0"/>
        <w:spacing w:line="480" w:lineRule="exact"/>
        <w:ind w:firstLine="482" w:firstLineChars="200"/>
        <w:rPr>
          <w:rFonts w:ascii="宋体"/>
          <w:sz w:val="24"/>
          <w:szCs w:val="24"/>
        </w:rPr>
      </w:pPr>
      <w:r>
        <w:rPr>
          <w:rFonts w:hint="eastAsia" w:ascii="宋体" w:hAnsi="宋体" w:cs="宋体"/>
          <w:b/>
          <w:bCs/>
          <w:sz w:val="24"/>
          <w:szCs w:val="24"/>
        </w:rPr>
        <w:t>【特别提醒】</w:t>
      </w:r>
      <w:r>
        <w:rPr>
          <w:rFonts w:hint="eastAsia" w:ascii="宋体" w:hAnsi="宋体" w:cs="宋体"/>
          <w:sz w:val="24"/>
          <w:szCs w:val="24"/>
        </w:rPr>
        <w:t>响应文件中的</w:t>
      </w:r>
      <w:r>
        <w:rPr>
          <w:rFonts w:ascii="宋体" w:hAnsi="宋体" w:cs="宋体"/>
          <w:sz w:val="24"/>
          <w:szCs w:val="24"/>
        </w:rPr>
        <w:fldChar w:fldCharType="begin"/>
      </w:r>
      <w:r>
        <w:rPr>
          <w:rFonts w:ascii="宋体" w:hAnsi="宋体" w:cs="宋体"/>
          <w:sz w:val="24"/>
          <w:szCs w:val="24"/>
        </w:rPr>
        <w:instrText xml:space="preserve"> = 1 \* GB3 </w:instrText>
      </w:r>
      <w:r>
        <w:rPr>
          <w:rFonts w:ascii="宋体" w:hAnsi="宋体" w:cs="宋体"/>
          <w:sz w:val="24"/>
          <w:szCs w:val="24"/>
        </w:rPr>
        <w:fldChar w:fldCharType="separate"/>
      </w:r>
      <w:r>
        <w:rPr>
          <w:rFonts w:hint="eastAsia" w:ascii="宋体" w:hAnsi="宋体" w:cs="宋体"/>
          <w:sz w:val="24"/>
          <w:szCs w:val="24"/>
        </w:rPr>
        <w:t>①</w:t>
      </w:r>
      <w:r>
        <w:rPr>
          <w:rFonts w:ascii="宋体" w:hAnsi="宋体" w:cs="宋体"/>
          <w:sz w:val="24"/>
          <w:szCs w:val="24"/>
        </w:rPr>
        <w:fldChar w:fldCharType="end"/>
      </w:r>
      <w:r>
        <w:rPr>
          <w:rFonts w:hint="eastAsia" w:ascii="宋体" w:hAnsi="宋体" w:cs="宋体"/>
          <w:sz w:val="24"/>
          <w:szCs w:val="24"/>
        </w:rPr>
        <w:t>和</w:t>
      </w:r>
      <w:r>
        <w:rPr>
          <w:rFonts w:ascii="宋体" w:hAnsi="宋体" w:cs="宋体"/>
          <w:sz w:val="24"/>
          <w:szCs w:val="24"/>
        </w:rPr>
        <w:fldChar w:fldCharType="begin"/>
      </w:r>
      <w:r>
        <w:rPr>
          <w:rFonts w:ascii="宋体" w:hAnsi="宋体" w:cs="宋体"/>
          <w:sz w:val="24"/>
          <w:szCs w:val="24"/>
        </w:rPr>
        <w:instrText xml:space="preserve"> = 2 \* GB3 </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hint="eastAsia" w:ascii="宋体" w:hAnsi="宋体" w:cs="宋体"/>
          <w:sz w:val="24"/>
          <w:szCs w:val="24"/>
        </w:rPr>
        <w:t>的“正本”或“副本”中，均不得含有③商务报价响应文件中报价表（报价单）内的任何项目价格，否则作无效投标处理。</w:t>
      </w:r>
    </w:p>
    <w:p>
      <w:pPr>
        <w:snapToGrid w:val="0"/>
        <w:spacing w:line="480" w:lineRule="exact"/>
        <w:ind w:firstLine="496" w:firstLineChars="206"/>
        <w:outlineLvl w:val="1"/>
        <w:rPr>
          <w:rFonts w:ascii="宋体"/>
          <w:b/>
          <w:bCs/>
          <w:color w:val="000000"/>
          <w:sz w:val="24"/>
          <w:szCs w:val="24"/>
        </w:rPr>
      </w:pPr>
      <w:r>
        <w:rPr>
          <w:rFonts w:hint="eastAsia" w:ascii="宋体" w:hAnsi="宋体" w:cs="宋体"/>
          <w:b/>
          <w:bCs/>
          <w:color w:val="000000"/>
          <w:sz w:val="24"/>
          <w:szCs w:val="24"/>
        </w:rPr>
        <w:t>七、投标报价</w:t>
      </w:r>
    </w:p>
    <w:p>
      <w:pPr>
        <w:snapToGrid w:val="0"/>
        <w:spacing w:line="480" w:lineRule="exact"/>
        <w:ind w:firstLine="494" w:firstLineChars="206"/>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、本项目不接受任何有选择的报价。</w:t>
      </w:r>
    </w:p>
    <w:p>
      <w:pPr>
        <w:snapToGrid w:val="0"/>
        <w:spacing w:line="480" w:lineRule="exact"/>
        <w:ind w:firstLine="494" w:firstLineChars="206"/>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w:t>
      </w:r>
      <w:r>
        <w:rPr>
          <w:rFonts w:hint="eastAsia" w:ascii="宋体" w:hAnsi="宋体" w:cs="宋体"/>
          <w:sz w:val="24"/>
          <w:szCs w:val="24"/>
        </w:rPr>
        <w:t>磋商报价</w:t>
      </w:r>
      <w:r>
        <w:rPr>
          <w:rFonts w:hint="eastAsia" w:ascii="宋体" w:hAnsi="宋体" w:cs="宋体"/>
          <w:color w:val="000000"/>
          <w:sz w:val="24"/>
          <w:szCs w:val="24"/>
        </w:rPr>
        <w:t>均以人民币为报价的币种。</w:t>
      </w:r>
    </w:p>
    <w:p>
      <w:pPr>
        <w:snapToGrid w:val="0"/>
        <w:spacing w:line="520" w:lineRule="exact"/>
        <w:ind w:firstLine="494" w:firstLineChars="206"/>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磋商报价表必须加盖单位公章且必须经法定代表人或被授权人签字或盖章。响应文件中报价表（开标一览表）内容与响应文件中内容明细不一致的，以报价表（开标一览表）为准；响应文件中涉及大写金额和小写金额不一致的，以大写金额为准；总价金额与按单价汇总金额不一致的，以单价金额计算结果为准；单价金额小数点有明显错位的，应以总价为准，并修改单价。</w:t>
      </w:r>
    </w:p>
    <w:p>
      <w:pPr>
        <w:snapToGrid w:val="0"/>
        <w:spacing w:line="520" w:lineRule="exact"/>
        <w:ind w:firstLine="480" w:firstLineChars="200"/>
        <w:rPr>
          <w:rFonts w:ascii="宋体"/>
          <w:sz w:val="24"/>
          <w:szCs w:val="24"/>
        </w:rPr>
      </w:pPr>
      <w:r>
        <w:rPr>
          <w:rFonts w:ascii="宋体" w:hAnsi="宋体" w:cs="宋体"/>
          <w:color w:val="000000"/>
          <w:sz w:val="24"/>
          <w:szCs w:val="24"/>
        </w:rPr>
        <w:t>4</w:t>
      </w:r>
      <w:r>
        <w:rPr>
          <w:rFonts w:hint="eastAsia" w:ascii="宋体" w:hAnsi="宋体" w:cs="宋体"/>
          <w:color w:val="000000"/>
          <w:sz w:val="24"/>
          <w:szCs w:val="24"/>
        </w:rPr>
        <w:t>、</w:t>
      </w:r>
      <w:r>
        <w:rPr>
          <w:rFonts w:hint="eastAsia" w:ascii="宋体" w:hAnsi="宋体" w:cs="宋体"/>
          <w:sz w:val="24"/>
          <w:szCs w:val="24"/>
        </w:rPr>
        <w:t>磋商报价应包含下列费用：磋商总报价（以人民币计价）应包即本项目实施的所有费用以及包含响应磋商文件采购要求的所有费用。</w:t>
      </w:r>
    </w:p>
    <w:p>
      <w:pPr>
        <w:snapToGrid w:val="0"/>
        <w:spacing w:line="480" w:lineRule="exact"/>
        <w:ind w:firstLine="470" w:firstLineChars="196"/>
        <w:outlineLvl w:val="1"/>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投标供应商应详细阅读磋商文件的全部内容，根据采购项目需求，准确制定相关工作方案等，必须对本采购项目全部进行报价，如有漏项，视同对本项目的优惠。不按磋商文件的要求提供响应文件，导致报价无效，按无效标处理。</w:t>
      </w:r>
    </w:p>
    <w:p>
      <w:pPr>
        <w:snapToGrid w:val="0"/>
        <w:spacing w:line="480" w:lineRule="exact"/>
        <w:ind w:firstLine="470" w:firstLineChars="196"/>
        <w:outlineLvl w:val="1"/>
        <w:rPr>
          <w:rFonts w:ascii="宋体"/>
          <w:color w:val="000000"/>
          <w:sz w:val="24"/>
          <w:szCs w:val="24"/>
        </w:rPr>
      </w:pPr>
      <w:r>
        <w:rPr>
          <w:rFonts w:ascii="宋体" w:hAnsi="宋体" w:cs="宋体"/>
          <w:sz w:val="24"/>
          <w:szCs w:val="24"/>
        </w:rPr>
        <w:t>6</w:t>
      </w:r>
      <w:r>
        <w:rPr>
          <w:rFonts w:hint="eastAsia" w:ascii="宋体" w:hAnsi="宋体" w:cs="宋体"/>
          <w:sz w:val="24"/>
          <w:szCs w:val="24"/>
        </w:rPr>
        <w:t>、本项目竞争性磋商的最终总报价作</w:t>
      </w:r>
      <w:r>
        <w:rPr>
          <w:rFonts w:hint="eastAsia" w:ascii="宋体" w:hAnsi="宋体" w:cs="宋体"/>
          <w:color w:val="000000"/>
          <w:sz w:val="24"/>
          <w:szCs w:val="24"/>
        </w:rPr>
        <w:t>为成交价。同时，供应商的最终成交单价在合同实施期间不因市场变化因素而变动。</w:t>
      </w:r>
    </w:p>
    <w:p>
      <w:pPr>
        <w:snapToGrid w:val="0"/>
        <w:spacing w:line="480" w:lineRule="exact"/>
        <w:ind w:firstLine="470" w:firstLineChars="196"/>
        <w:outlineLvl w:val="1"/>
        <w:rPr>
          <w:rFonts w:ascii="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、最低的磋商报价是成交的重要条件，但不是成交的唯一条件。</w:t>
      </w:r>
    </w:p>
    <w:p>
      <w:pPr>
        <w:snapToGrid w:val="0"/>
        <w:spacing w:line="480" w:lineRule="exact"/>
        <w:ind w:firstLine="496" w:firstLineChars="206"/>
        <w:outlineLvl w:val="1"/>
        <w:rPr>
          <w:rFonts w:ascii="宋体"/>
          <w:b/>
          <w:bCs/>
          <w:sz w:val="24"/>
          <w:szCs w:val="24"/>
        </w:rPr>
      </w:pPr>
      <w:r>
        <w:rPr>
          <w:rFonts w:hint="eastAsia" w:ascii="宋体" w:hAnsi="宋体" w:cs="宋体"/>
          <w:b/>
          <w:bCs/>
          <w:sz w:val="24"/>
          <w:szCs w:val="24"/>
        </w:rPr>
        <w:t>八、联合体参与磋商</w:t>
      </w:r>
    </w:p>
    <w:p>
      <w:pPr>
        <w:snapToGrid w:val="0"/>
        <w:spacing w:line="480" w:lineRule="exact"/>
        <w:ind w:firstLine="470" w:firstLineChars="196"/>
        <w:outlineLvl w:val="1"/>
        <w:rPr>
          <w:rFonts w:ascii="宋体"/>
          <w:color w:val="000000"/>
          <w:sz w:val="24"/>
          <w:szCs w:val="24"/>
        </w:rPr>
      </w:pPr>
      <w:r>
        <w:rPr>
          <w:rFonts w:hint="eastAsia" w:ascii="宋体" w:hAnsi="宋体" w:cs="宋体"/>
          <w:sz w:val="24"/>
          <w:szCs w:val="24"/>
        </w:rPr>
        <w:t>不接受任何形式的联合体参与本项目的竞争性磋商。</w:t>
      </w:r>
    </w:p>
    <w:p>
      <w:pPr>
        <w:snapToGrid w:val="0"/>
        <w:spacing w:line="480" w:lineRule="exact"/>
        <w:ind w:firstLine="482" w:firstLineChars="200"/>
        <w:outlineLvl w:val="1"/>
        <w:rPr>
          <w:rFonts w:ascii="宋体"/>
          <w:sz w:val="24"/>
          <w:szCs w:val="24"/>
        </w:rPr>
      </w:pPr>
      <w:r>
        <w:rPr>
          <w:rFonts w:hint="eastAsia" w:ascii="宋体" w:hAnsi="宋体" w:cs="宋体"/>
          <w:b/>
          <w:bCs/>
          <w:color w:val="000000"/>
          <w:sz w:val="24"/>
          <w:szCs w:val="24"/>
        </w:rPr>
        <w:t>九、</w:t>
      </w:r>
      <w:r>
        <w:rPr>
          <w:rFonts w:hint="eastAsia" w:ascii="宋体" w:hAnsi="宋体" w:cs="宋体"/>
          <w:b/>
          <w:bCs/>
          <w:sz w:val="24"/>
          <w:szCs w:val="24"/>
        </w:rPr>
        <w:t>响应文件及</w:t>
      </w:r>
      <w:r>
        <w:rPr>
          <w:rFonts w:hint="eastAsia" w:ascii="宋体" w:hAnsi="宋体" w:cs="宋体"/>
          <w:b/>
          <w:bCs/>
          <w:kern w:val="0"/>
          <w:sz w:val="24"/>
          <w:szCs w:val="24"/>
        </w:rPr>
        <w:t>磋商</w:t>
      </w:r>
      <w:r>
        <w:rPr>
          <w:rFonts w:hint="eastAsia" w:ascii="宋体" w:hAnsi="宋体" w:cs="宋体"/>
          <w:b/>
          <w:bCs/>
          <w:sz w:val="24"/>
          <w:szCs w:val="24"/>
        </w:rPr>
        <w:t>费用</w:t>
      </w:r>
    </w:p>
    <w:p>
      <w:pPr>
        <w:snapToGrid w:val="0"/>
        <w:spacing w:line="480" w:lineRule="exact"/>
        <w:ind w:firstLine="460" w:firstLineChars="192"/>
        <w:rPr>
          <w:rFonts w:cs="宋体" w:asciiTheme="majorEastAsia" w:hAnsiTheme="majorEastAsia" w:eastAsiaTheme="majorEastAsia"/>
          <w:sz w:val="24"/>
          <w:szCs w:val="24"/>
        </w:rPr>
      </w:pPr>
      <w:r>
        <w:rPr>
          <w:rFonts w:cs="宋体" w:asciiTheme="majorEastAsia" w:hAnsiTheme="majorEastAsia" w:eastAsiaTheme="majorEastAsia"/>
          <w:sz w:val="24"/>
          <w:szCs w:val="24"/>
        </w:rPr>
        <w:t>1</w:t>
      </w:r>
      <w:r>
        <w:rPr>
          <w:rFonts w:hint="eastAsia" w:cs="宋体" w:asciiTheme="majorEastAsia" w:hAnsiTheme="majorEastAsia" w:eastAsiaTheme="majorEastAsia"/>
          <w:sz w:val="24"/>
          <w:szCs w:val="24"/>
        </w:rPr>
        <w:t>、磋商程序顺利进行后，除供应商的原件可退回外，其余所有的响应文件都将作为档案保存，不论成交与否，代理机构均不退回。</w:t>
      </w:r>
    </w:p>
    <w:p>
      <w:pPr>
        <w:snapToGrid w:val="0"/>
        <w:spacing w:line="480" w:lineRule="exact"/>
        <w:ind w:firstLine="460" w:firstLineChars="192"/>
        <w:rPr>
          <w:rFonts w:cs="宋体" w:asciiTheme="majorEastAsia" w:hAnsiTheme="majorEastAsia" w:eastAsiaTheme="majorEastAsia"/>
          <w:b/>
          <w:bCs/>
          <w:kern w:val="0"/>
          <w:sz w:val="24"/>
          <w:szCs w:val="24"/>
        </w:rPr>
      </w:pPr>
      <w:r>
        <w:rPr>
          <w:rFonts w:cs="宋体" w:asciiTheme="majorEastAsia" w:hAnsiTheme="majorEastAsia" w:eastAsiaTheme="majorEastAsia"/>
          <w:color w:val="000000"/>
          <w:sz w:val="24"/>
          <w:szCs w:val="24"/>
        </w:rPr>
        <w:t>2</w:t>
      </w:r>
      <w:r>
        <w:rPr>
          <w:rFonts w:hint="eastAsia" w:cs="宋体" w:asciiTheme="majorEastAsia" w:hAnsiTheme="majorEastAsia" w:eastAsiaTheme="majorEastAsia"/>
          <w:color w:val="000000"/>
          <w:sz w:val="24"/>
          <w:szCs w:val="24"/>
        </w:rPr>
        <w:t>、</w:t>
      </w:r>
      <w:r>
        <w:rPr>
          <w:rFonts w:asciiTheme="majorEastAsia" w:hAnsiTheme="majorEastAsia" w:eastAsiaTheme="majorEastAsia"/>
          <w:sz w:val="24"/>
          <w:szCs w:val="24"/>
        </w:rPr>
        <w:t>供应商在提交投标文件的同时提交300元（现金）磋商文件相关费用，无论是否成交，该费用不予退还。</w:t>
      </w:r>
    </w:p>
    <w:p>
      <w:pPr>
        <w:snapToGrid w:val="0"/>
        <w:spacing w:line="480" w:lineRule="exact"/>
        <w:ind w:firstLine="460" w:firstLineChars="192"/>
        <w:rPr>
          <w:rFonts w:cs="宋体" w:asciiTheme="majorEastAsia" w:hAnsiTheme="majorEastAsia" w:eastAsiaTheme="majorEastAsia"/>
          <w:sz w:val="24"/>
          <w:szCs w:val="24"/>
        </w:rPr>
      </w:pPr>
      <w:r>
        <w:rPr>
          <w:rFonts w:cs="宋体" w:asciiTheme="majorEastAsia" w:hAnsiTheme="majorEastAsia" w:eastAsiaTheme="majorEastAsia"/>
          <w:color w:val="000000"/>
          <w:sz w:val="24"/>
          <w:szCs w:val="24"/>
        </w:rPr>
        <w:t>3</w:t>
      </w:r>
      <w:r>
        <w:rPr>
          <w:rFonts w:hint="eastAsia" w:cs="宋体" w:asciiTheme="majorEastAsia" w:hAnsiTheme="majorEastAsia" w:eastAsiaTheme="majorEastAsia"/>
          <w:color w:val="000000"/>
          <w:sz w:val="24"/>
          <w:szCs w:val="24"/>
        </w:rPr>
        <w:t>、成交后，供应商须向招标代理机构缴纳招标代理服务费，收费标准为成交价</w:t>
      </w:r>
      <w:r>
        <w:rPr>
          <w:rFonts w:cs="宋体" w:asciiTheme="majorEastAsia" w:hAnsiTheme="majorEastAsia" w:eastAsiaTheme="majorEastAsia"/>
          <w:color w:val="000000"/>
          <w:sz w:val="24"/>
          <w:szCs w:val="24"/>
        </w:rPr>
        <w:t>*1.</w:t>
      </w:r>
      <w:r>
        <w:rPr>
          <w:rFonts w:hint="eastAsia" w:cs="宋体" w:asciiTheme="majorEastAsia" w:hAnsiTheme="majorEastAsia" w:eastAsiaTheme="majorEastAsia"/>
          <w:color w:val="000000"/>
          <w:sz w:val="24"/>
          <w:szCs w:val="24"/>
        </w:rPr>
        <w:t>2</w:t>
      </w:r>
      <w:r>
        <w:rPr>
          <w:rFonts w:cs="宋体" w:asciiTheme="majorEastAsia" w:hAnsiTheme="majorEastAsia" w:eastAsiaTheme="majorEastAsia"/>
          <w:color w:val="000000"/>
          <w:sz w:val="24"/>
          <w:szCs w:val="24"/>
        </w:rPr>
        <w:t>%</w:t>
      </w:r>
      <w:r>
        <w:rPr>
          <w:rFonts w:hint="eastAsia" w:cs="宋体" w:asciiTheme="majorEastAsia" w:hAnsiTheme="majorEastAsia" w:eastAsiaTheme="majorEastAsia"/>
          <w:color w:val="000000"/>
          <w:sz w:val="24"/>
          <w:szCs w:val="24"/>
        </w:rPr>
        <w:t>，</w:t>
      </w:r>
      <w:r>
        <w:rPr>
          <w:rFonts w:hint="eastAsia" w:cs="宋体" w:asciiTheme="majorEastAsia" w:hAnsiTheme="majorEastAsia" w:eastAsiaTheme="majorEastAsia"/>
          <w:sz w:val="24"/>
          <w:szCs w:val="24"/>
        </w:rPr>
        <w:t>不足20</w:t>
      </w:r>
      <w:r>
        <w:rPr>
          <w:rFonts w:cs="宋体" w:asciiTheme="majorEastAsia" w:hAnsiTheme="majorEastAsia" w:eastAsiaTheme="majorEastAsia"/>
          <w:sz w:val="24"/>
          <w:szCs w:val="24"/>
        </w:rPr>
        <w:t>00</w:t>
      </w:r>
      <w:r>
        <w:rPr>
          <w:rFonts w:hint="eastAsia" w:cs="宋体" w:asciiTheme="majorEastAsia" w:hAnsiTheme="majorEastAsia" w:eastAsiaTheme="majorEastAsia"/>
          <w:sz w:val="24"/>
          <w:szCs w:val="24"/>
        </w:rPr>
        <w:t>元，按20</w:t>
      </w:r>
      <w:r>
        <w:rPr>
          <w:rFonts w:cs="宋体" w:asciiTheme="majorEastAsia" w:hAnsiTheme="majorEastAsia" w:eastAsiaTheme="majorEastAsia"/>
          <w:sz w:val="24"/>
          <w:szCs w:val="24"/>
        </w:rPr>
        <w:t>00</w:t>
      </w:r>
      <w:r>
        <w:rPr>
          <w:rFonts w:hint="eastAsia" w:cs="宋体" w:asciiTheme="majorEastAsia" w:hAnsiTheme="majorEastAsia" w:eastAsiaTheme="majorEastAsia"/>
          <w:sz w:val="24"/>
          <w:szCs w:val="24"/>
        </w:rPr>
        <w:t>元计取。</w:t>
      </w:r>
      <w:r>
        <w:rPr>
          <w:rFonts w:hint="eastAsia" w:cs="宋体" w:asciiTheme="majorEastAsia" w:hAnsiTheme="majorEastAsia" w:eastAsiaTheme="majorEastAsia"/>
          <w:color w:val="000000"/>
          <w:sz w:val="24"/>
          <w:szCs w:val="24"/>
        </w:rPr>
        <w:t>投标供应商在报价中综合考虑该部分费用，不得单列。</w:t>
      </w:r>
    </w:p>
    <w:p>
      <w:pPr>
        <w:snapToGrid w:val="0"/>
        <w:spacing w:line="480" w:lineRule="exact"/>
        <w:ind w:firstLine="460" w:firstLineChars="192"/>
        <w:rPr>
          <w:rFonts w:cs="宋体" w:asciiTheme="majorEastAsia" w:hAnsiTheme="majorEastAsia" w:eastAsiaTheme="majorEastAsia"/>
          <w:color w:val="000000"/>
          <w:sz w:val="24"/>
          <w:szCs w:val="24"/>
        </w:rPr>
      </w:pPr>
      <w:r>
        <w:rPr>
          <w:rFonts w:cs="宋体" w:asciiTheme="majorEastAsia" w:hAnsiTheme="majorEastAsia" w:eastAsiaTheme="majorEastAsia"/>
          <w:color w:val="000000"/>
          <w:sz w:val="24"/>
          <w:szCs w:val="24"/>
        </w:rPr>
        <w:t>4</w:t>
      </w:r>
      <w:r>
        <w:rPr>
          <w:rFonts w:hint="eastAsia" w:cs="宋体" w:asciiTheme="majorEastAsia" w:hAnsiTheme="majorEastAsia" w:eastAsiaTheme="majorEastAsia"/>
          <w:color w:val="000000"/>
          <w:sz w:val="24"/>
          <w:szCs w:val="24"/>
        </w:rPr>
        <w:t>、无论磋商过程和结果如何，参加项目磋商的供应商自行承担与本次项目磋商有关的全部费用。</w:t>
      </w:r>
    </w:p>
    <w:bookmarkEnd w:id="22"/>
    <w:bookmarkEnd w:id="23"/>
    <w:bookmarkEnd w:id="24"/>
    <w:bookmarkEnd w:id="25"/>
    <w:bookmarkEnd w:id="26"/>
    <w:bookmarkEnd w:id="27"/>
    <w:bookmarkEnd w:id="28"/>
    <w:bookmarkEnd w:id="29"/>
    <w:bookmarkEnd w:id="30"/>
    <w:bookmarkEnd w:id="31"/>
    <w:p>
      <w:pPr>
        <w:numPr>
          <w:ilvl w:val="0"/>
          <w:numId w:val="3"/>
        </w:numPr>
        <w:jc w:val="center"/>
        <w:rPr>
          <w:b/>
          <w:bCs/>
          <w:sz w:val="36"/>
          <w:szCs w:val="36"/>
        </w:rPr>
      </w:pPr>
      <w:bookmarkStart w:id="32" w:name="_Toc11500282"/>
      <w:bookmarkStart w:id="33" w:name="_Toc12670505"/>
      <w:bookmarkStart w:id="34" w:name="_Toc11554641"/>
      <w:bookmarkStart w:id="35" w:name="_Toc94544872"/>
      <w:bookmarkStart w:id="36" w:name="_Toc8895741"/>
      <w:bookmarkStart w:id="37" w:name="_Toc11499586"/>
      <w:bookmarkStart w:id="38" w:name="_Toc94585342"/>
      <w:bookmarkStart w:id="39" w:name="_Toc13803483"/>
      <w:bookmarkStart w:id="40" w:name="_Toc521203420"/>
      <w:bookmarkStart w:id="41" w:name="_Toc521201599"/>
      <w:bookmarkStart w:id="42" w:name="_Toc94544746"/>
      <w:bookmarkStart w:id="43" w:name="_Toc363573856"/>
      <w:r>
        <w:rPr>
          <w:b/>
          <w:bCs/>
          <w:sz w:val="36"/>
          <w:szCs w:val="36"/>
        </w:rPr>
        <w:t xml:space="preserve">   </w:t>
      </w:r>
      <w:r>
        <w:rPr>
          <w:rFonts w:hint="eastAsia"/>
          <w:b/>
          <w:bCs/>
          <w:sz w:val="36"/>
          <w:szCs w:val="36"/>
        </w:rPr>
        <w:t>项目需求</w:t>
      </w:r>
    </w:p>
    <w:p>
      <w:pPr>
        <w:pStyle w:val="51"/>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s="宋体"/>
          <w:b/>
          <w:bCs/>
          <w:highlight w:val="cyan"/>
        </w:rPr>
      </w:pPr>
      <w:r>
        <w:rPr>
          <w:rFonts w:hint="eastAsia" w:ascii="宋体" w:hAnsi="宋体" w:cs="宋体"/>
          <w:b/>
          <w:bCs/>
          <w:highlight w:val="none"/>
        </w:rPr>
        <w:t>2024年南通智慧文旅平台基础运维服务项目，其中包含数据巡检、软件运维、硬件维保等内容。</w:t>
      </w:r>
    </w:p>
    <w:p>
      <w:pPr>
        <w:pStyle w:val="51"/>
        <w:ind w:firstLine="0" w:firstLineChars="0"/>
        <w:rPr>
          <w:rFonts w:ascii="宋体" w:hAnsi="宋体" w:cs="宋体"/>
          <w:b/>
          <w:bCs/>
        </w:rPr>
      </w:pPr>
      <w:r>
        <w:rPr>
          <w:rFonts w:hint="eastAsia" w:ascii="宋体" w:hAnsi="宋体" w:cs="宋体"/>
          <w:b/>
          <w:bCs/>
        </w:rPr>
        <w:t>一、2024年南通智慧文旅平台基础运维清单</w:t>
      </w:r>
    </w:p>
    <w:tbl>
      <w:tblPr>
        <w:tblStyle w:val="52"/>
        <w:tblW w:w="8382" w:type="dxa"/>
        <w:tblInd w:w="-202" w:type="dxa"/>
        <w:tblLayout w:type="fixed"/>
        <w:tblCellMar>
          <w:top w:w="0" w:type="dxa"/>
          <w:left w:w="108" w:type="dxa"/>
          <w:bottom w:w="0" w:type="dxa"/>
          <w:right w:w="108" w:type="dxa"/>
        </w:tblCellMar>
      </w:tblPr>
      <w:tblGrid>
        <w:gridCol w:w="702"/>
        <w:gridCol w:w="1243"/>
        <w:gridCol w:w="1309"/>
        <w:gridCol w:w="5128"/>
      </w:tblGrid>
      <w:tr>
        <w:tblPrEx>
          <w:tblCellMar>
            <w:top w:w="0" w:type="dxa"/>
            <w:left w:w="108" w:type="dxa"/>
            <w:bottom w:w="0" w:type="dxa"/>
            <w:right w:w="108" w:type="dxa"/>
          </w:tblCellMar>
        </w:tblPrEx>
        <w:trPr>
          <w:trHeight w:val="596"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序号</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系统名称</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服务项目</w:t>
            </w:r>
          </w:p>
        </w:tc>
        <w:tc>
          <w:tcPr>
            <w:tcW w:w="5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服务内容</w:t>
            </w:r>
          </w:p>
        </w:tc>
      </w:tr>
      <w:tr>
        <w:tblPrEx>
          <w:tblCellMar>
            <w:top w:w="0" w:type="dxa"/>
            <w:left w:w="108" w:type="dxa"/>
            <w:bottom w:w="0" w:type="dxa"/>
            <w:right w:w="108" w:type="dxa"/>
          </w:tblCellMar>
        </w:tblPrEx>
        <w:trPr>
          <w:trHeight w:val="252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南通智慧文旅平台</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数据巡检</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1、全市4A级景区实时客流数据巡检；</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2、视频监控专题合计33路视频巡检；</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3、移动运营商数据巡检，包含客流数据、客源地、游客画像、停留时长、首访景区等；</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4、全市文化场馆客流数据巡检；</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5、省厅平台对接接口巡检；</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6、文旅一张图前置机数据对接接口巡检；</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7、雪亮平台文旅视频巡检，合计1529路，协调视频掉线单位进行整改并跟进整改进度。</w:t>
            </w:r>
          </w:p>
        </w:tc>
      </w:tr>
      <w:tr>
        <w:tblPrEx>
          <w:tblCellMar>
            <w:top w:w="0" w:type="dxa"/>
            <w:left w:w="108" w:type="dxa"/>
            <w:bottom w:w="0" w:type="dxa"/>
            <w:right w:w="108" w:type="dxa"/>
          </w:tblCellMar>
        </w:tblPrEx>
        <w:trPr>
          <w:trHeight w:val="22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cs="宋体"/>
                <w:color w:val="000000"/>
                <w:sz w:val="24"/>
                <w:szCs w:val="24"/>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软件运维</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宋体" w:hAnsi="宋体" w:cs="宋体"/>
                <w:color w:val="000000"/>
                <w:sz w:val="24"/>
                <w:szCs w:val="24"/>
              </w:rPr>
            </w:pPr>
            <w:r>
              <w:rPr>
                <w:rFonts w:hint="eastAsia" w:ascii="宋体" w:hAnsi="宋体" w:cs="宋体"/>
                <w:color w:val="000000"/>
                <w:kern w:val="0"/>
                <w:sz w:val="24"/>
                <w:szCs w:val="24"/>
                <w:lang w:bidi="ar"/>
              </w:rPr>
              <w:t>1、智慧文旅数据中台运维，保障平台数据库、景区客流数据、视频数据、文旅资源数据、移动运营商数据、文化场馆客流数据的正常运行；</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2、公共服务平台运维，保障文旅商城正常运行；</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3、省厅平台对接接口运维；</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4、文旅一张图前置机数据对接接口运维。</w:t>
            </w:r>
          </w:p>
        </w:tc>
      </w:tr>
      <w:tr>
        <w:tblPrEx>
          <w:tblCellMar>
            <w:top w:w="0" w:type="dxa"/>
            <w:left w:w="108" w:type="dxa"/>
            <w:bottom w:w="0" w:type="dxa"/>
            <w:right w:w="108" w:type="dxa"/>
          </w:tblCellMar>
        </w:tblPrEx>
        <w:trPr>
          <w:trHeight w:val="876"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环濠河博物馆群人数智能监测系统</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数据巡检</w:t>
            </w:r>
          </w:p>
        </w:tc>
        <w:tc>
          <w:tcPr>
            <w:tcW w:w="5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全市博物馆的客流、视频数据巡检</w:t>
            </w:r>
          </w:p>
        </w:tc>
      </w:tr>
      <w:tr>
        <w:tblPrEx>
          <w:tblCellMar>
            <w:top w:w="0" w:type="dxa"/>
            <w:left w:w="108" w:type="dxa"/>
            <w:bottom w:w="0" w:type="dxa"/>
            <w:right w:w="108" w:type="dxa"/>
          </w:tblCellMar>
        </w:tblPrEx>
        <w:trPr>
          <w:trHeight w:val="1014"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cs="宋体"/>
                <w:color w:val="000000"/>
                <w:sz w:val="24"/>
                <w:szCs w:val="24"/>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软件运维</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宋体" w:hAnsi="宋体" w:cs="宋体"/>
                <w:color w:val="000000"/>
                <w:sz w:val="24"/>
                <w:szCs w:val="24"/>
              </w:rPr>
            </w:pPr>
            <w:r>
              <w:rPr>
                <w:rFonts w:hint="eastAsia" w:ascii="宋体" w:hAnsi="宋体" w:cs="宋体"/>
                <w:color w:val="000000"/>
                <w:kern w:val="0"/>
                <w:sz w:val="24"/>
                <w:szCs w:val="24"/>
                <w:lang w:bidi="ar"/>
              </w:rPr>
              <w:t>博物馆平台运维，保障平台数据库、博物馆客流及视频数据的正常运行。</w:t>
            </w:r>
          </w:p>
        </w:tc>
      </w:tr>
      <w:tr>
        <w:tblPrEx>
          <w:tblCellMar>
            <w:top w:w="0" w:type="dxa"/>
            <w:left w:w="108" w:type="dxa"/>
            <w:bottom w:w="0" w:type="dxa"/>
            <w:right w:w="108" w:type="dxa"/>
          </w:tblCellMar>
        </w:tblPrEx>
        <w:trPr>
          <w:trHeight w:val="36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cs="宋体"/>
                <w:color w:val="000000"/>
                <w:sz w:val="24"/>
                <w:szCs w:val="24"/>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硬件维护</w:t>
            </w:r>
          </w:p>
        </w:tc>
        <w:tc>
          <w:tcPr>
            <w:tcW w:w="5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12家环濠河博物馆客流相机维保工作：</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1、视频信号线路、摄像机供电线路的检测、故障排除、隐患排查；</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2、前端摄像机的维护、故障排除等；</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3、提供5*8小时维保热线，随时接受甲方的服务请求；接到甲方服务请求后，工作时间内，派专业工程师2小时内到达现场，24小时内恢复，设备修复后由甲方相关人员签字确认；</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4、维护保养过程中需购买、更换设备或配件的，事先汇报，由业主单位确认后，进行维修或更换。更换的设备（或器件）的型号参数不低于原设备（或器件）型号参数，并记入设备维修（更换）记录单。</w:t>
            </w:r>
          </w:p>
        </w:tc>
      </w:tr>
    </w:tbl>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pStyle w:val="51"/>
        <w:ind w:firstLine="480"/>
      </w:pPr>
    </w:p>
    <w:p>
      <w:pPr>
        <w:spacing w:line="360" w:lineRule="auto"/>
        <w:ind w:firstLine="354" w:firstLineChars="100"/>
        <w:jc w:val="center"/>
        <w:rPr>
          <w:rFonts w:ascii="宋体"/>
          <w:color w:val="FF0000"/>
          <w:kern w:val="0"/>
          <w:sz w:val="32"/>
          <w:szCs w:val="32"/>
        </w:rPr>
      </w:pPr>
      <w:r>
        <w:rPr>
          <w:rFonts w:hint="eastAsia" w:ascii="宋体" w:hAnsi="宋体" w:cs="宋体"/>
          <w:b/>
          <w:bCs/>
          <w:color w:val="000000"/>
          <w:w w:val="80"/>
          <w:sz w:val="44"/>
          <w:szCs w:val="44"/>
        </w:rPr>
        <w:t>第四章</w:t>
      </w:r>
      <w:r>
        <w:rPr>
          <w:rFonts w:ascii="宋体" w:hAnsi="宋体" w:cs="宋体"/>
          <w:b/>
          <w:bCs/>
          <w:color w:val="000000"/>
          <w:w w:val="80"/>
          <w:sz w:val="44"/>
          <w:szCs w:val="44"/>
        </w:rPr>
        <w:t xml:space="preserve">  </w:t>
      </w:r>
      <w:bookmarkEnd w:id="32"/>
      <w:bookmarkEnd w:id="33"/>
      <w:bookmarkEnd w:id="34"/>
      <w:bookmarkEnd w:id="35"/>
      <w:bookmarkEnd w:id="36"/>
      <w:bookmarkEnd w:id="37"/>
      <w:bookmarkEnd w:id="38"/>
      <w:bookmarkEnd w:id="39"/>
      <w:bookmarkEnd w:id="40"/>
      <w:bookmarkEnd w:id="41"/>
      <w:bookmarkEnd w:id="42"/>
      <w:bookmarkStart w:id="44" w:name="_Toc85627670"/>
      <w:bookmarkStart w:id="45" w:name="_Toc38121794"/>
      <w:bookmarkStart w:id="46" w:name="_Toc37322565"/>
      <w:bookmarkStart w:id="47" w:name="_Toc43217893"/>
      <w:bookmarkStart w:id="48" w:name="_Toc182848996"/>
      <w:bookmarkStart w:id="49" w:name="_Toc11554642"/>
      <w:bookmarkStart w:id="50" w:name="_Toc13803484"/>
      <w:bookmarkStart w:id="51" w:name="_Toc11499587"/>
      <w:bookmarkStart w:id="52" w:name="_Toc94544873"/>
      <w:bookmarkStart w:id="53" w:name="_Toc11500283"/>
      <w:bookmarkStart w:id="54" w:name="_Toc8895742"/>
      <w:bookmarkStart w:id="55" w:name="_Toc12670506"/>
      <w:bookmarkStart w:id="56" w:name="_Toc94544747"/>
      <w:r>
        <w:rPr>
          <w:rFonts w:hint="eastAsia" w:ascii="宋体" w:hAnsi="宋体" w:cs="宋体"/>
          <w:b/>
          <w:bCs/>
          <w:color w:val="000000"/>
          <w:w w:val="80"/>
          <w:sz w:val="44"/>
          <w:szCs w:val="44"/>
        </w:rPr>
        <w:t>评审方法和程序</w:t>
      </w:r>
      <w:bookmarkEnd w:id="43"/>
    </w:p>
    <w:bookmarkEnd w:id="44"/>
    <w:bookmarkEnd w:id="45"/>
    <w:bookmarkEnd w:id="46"/>
    <w:bookmarkEnd w:id="47"/>
    <w:bookmarkEnd w:id="48"/>
    <w:p>
      <w:pPr>
        <w:snapToGrid w:val="0"/>
        <w:spacing w:line="360" w:lineRule="auto"/>
        <w:ind w:firstLine="482" w:firstLineChars="200"/>
        <w:outlineLvl w:val="1"/>
        <w:rPr>
          <w:rFonts w:ascii="宋体"/>
          <w:b/>
          <w:bCs/>
          <w:color w:val="000000"/>
          <w:sz w:val="24"/>
          <w:szCs w:val="24"/>
        </w:rPr>
      </w:pPr>
      <w:bookmarkStart w:id="57" w:name="_Toc363573857"/>
      <w:bookmarkEnd w:id="57"/>
      <w:r>
        <w:rPr>
          <w:rFonts w:hint="eastAsia" w:ascii="宋体" w:hAnsi="宋体" w:cs="宋体"/>
          <w:b/>
          <w:bCs/>
          <w:color w:val="000000"/>
          <w:sz w:val="24"/>
          <w:szCs w:val="24"/>
        </w:rPr>
        <w:t>一、采购单位组织磋商</w:t>
      </w:r>
    </w:p>
    <w:p>
      <w:pPr>
        <w:snapToGrid w:val="0"/>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、本次竞争性磋商依据有关法规成立磋商小组。磋商小组由采购人代表和评审专家共3人或3人以上组成。</w:t>
      </w:r>
    </w:p>
    <w:p>
      <w:pPr>
        <w:snapToGrid w:val="0"/>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、采用竞争性磋商方式的采购项目，评审专家应当从政府采购评审专家库内相关专业的专家名单中随机抽取。情况特殊、通过随机方式难以确定合适的评审专家的，经主管预算单位同意，可以自行选定评审专家。</w:t>
      </w:r>
    </w:p>
    <w:p>
      <w:pPr>
        <w:snapToGrid w:val="0"/>
        <w:spacing w:line="480" w:lineRule="exact"/>
        <w:ind w:firstLine="480" w:firstLineChars="200"/>
        <w:rPr>
          <w:rFonts w:ascii="宋体" w:cs="宋体"/>
          <w:sz w:val="24"/>
          <w:szCs w:val="24"/>
        </w:rPr>
      </w:pPr>
      <w:r>
        <w:rPr>
          <w:rFonts w:hint="eastAsia" w:ascii="宋体" w:hAnsi="宋体" w:cs="宋体"/>
          <w:sz w:val="24"/>
          <w:szCs w:val="24"/>
        </w:rPr>
        <w:t>3、磋商小组的职责：</w:t>
      </w:r>
    </w:p>
    <w:p>
      <w:pPr>
        <w:snapToGrid w:val="0"/>
        <w:spacing w:line="48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）磋商小组成员应当按照客观、公正、审慎的原则，根据磋商文件规定的评审程序、评审方法和评审标准进行独立评审。</w:t>
      </w:r>
    </w:p>
    <w:p>
      <w:pPr>
        <w:snapToGrid w:val="0"/>
        <w:spacing w:line="48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）磋商小组成员应当遵守评审工作纪律，不得泄露评审情况和评审中获悉的商业秘密，对个人的评审意见承担法律责任。</w:t>
      </w:r>
    </w:p>
    <w:p>
      <w:pPr>
        <w:snapToGrid w:val="0"/>
        <w:spacing w:line="48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）磋商小组成员在评审过程中发现供应商有行贿、提供虚假材料或者串通等违法行为的，应当及时向财政部门报告</w:t>
      </w:r>
      <w:r>
        <w:rPr>
          <w:rFonts w:ascii="宋体" w:cs="宋体"/>
          <w:sz w:val="24"/>
          <w:szCs w:val="24"/>
        </w:rPr>
        <w:t>,</w:t>
      </w:r>
      <w:r>
        <w:rPr>
          <w:rFonts w:hint="eastAsia" w:ascii="宋体" w:hAnsi="宋体" w:cs="宋体"/>
          <w:sz w:val="24"/>
          <w:szCs w:val="24"/>
        </w:rPr>
        <w:t>并建议将其列入采购黑名单。</w:t>
      </w:r>
    </w:p>
    <w:p>
      <w:pPr>
        <w:snapToGrid w:val="0"/>
        <w:spacing w:line="48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）磋商小组成员在评审过程中受到非法干涉的，应当及时向财政、监察等部门举报。</w:t>
      </w:r>
    </w:p>
    <w:p>
      <w:pPr>
        <w:snapToGrid w:val="0"/>
        <w:spacing w:line="48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）配合采购单位答复供应商提出的质疑；配合财政部门的投诉处理和监督检查工作。</w:t>
      </w:r>
    </w:p>
    <w:p>
      <w:pPr>
        <w:snapToGrid w:val="0"/>
        <w:spacing w:line="480" w:lineRule="exact"/>
        <w:ind w:firstLine="480" w:firstLineChars="200"/>
        <w:rPr>
          <w:rFonts w:ascii="宋体" w:cs="宋体"/>
          <w:sz w:val="24"/>
          <w:szCs w:val="24"/>
        </w:rPr>
      </w:pPr>
      <w:r>
        <w:rPr>
          <w:rFonts w:hint="eastAsia" w:ascii="宋体" w:hAnsi="宋体" w:cs="宋体"/>
          <w:sz w:val="24"/>
          <w:szCs w:val="24"/>
        </w:rPr>
        <w:t>4、评审有关记录由磋商小组成员签名，存档备查。</w:t>
      </w:r>
    </w:p>
    <w:p>
      <w:pPr>
        <w:snapToGrid w:val="0"/>
        <w:spacing w:line="480" w:lineRule="exact"/>
        <w:ind w:firstLine="480" w:firstLineChars="200"/>
        <w:rPr>
          <w:rFonts w:ascii="宋体" w:cs="宋体"/>
          <w:sz w:val="24"/>
          <w:szCs w:val="24"/>
        </w:rPr>
      </w:pPr>
      <w:r>
        <w:rPr>
          <w:rFonts w:hint="eastAsia" w:ascii="宋体" w:hAnsi="宋体" w:cs="宋体"/>
          <w:sz w:val="24"/>
          <w:szCs w:val="24"/>
        </w:rPr>
        <w:t>5、供应商的法定代表人或被授权人须持身份证准时参加磋商开标会。</w:t>
      </w:r>
    </w:p>
    <w:p>
      <w:pPr>
        <w:snapToGrid w:val="0"/>
        <w:spacing w:line="360" w:lineRule="auto"/>
        <w:ind w:firstLine="482" w:firstLineChars="200"/>
        <w:outlineLvl w:val="1"/>
        <w:rPr>
          <w:rFonts w:ascii="宋体"/>
          <w:b/>
          <w:bCs/>
          <w:color w:val="000000"/>
          <w:sz w:val="24"/>
          <w:szCs w:val="24"/>
        </w:rPr>
      </w:pPr>
      <w:r>
        <w:rPr>
          <w:rFonts w:hint="eastAsia" w:ascii="宋体" w:hAnsi="宋体" w:cs="宋体"/>
          <w:b/>
          <w:bCs/>
          <w:color w:val="000000"/>
          <w:sz w:val="24"/>
          <w:szCs w:val="24"/>
        </w:rPr>
        <w:t>二、磋商的原则及方法</w:t>
      </w:r>
    </w:p>
    <w:p>
      <w:pPr>
        <w:snapToGrid w:val="0"/>
        <w:spacing w:line="48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、磋商小组依据采购的相关法规，遵循“公开、公平、公正、择优、信用”的原则进行磋商评审。</w:t>
      </w:r>
    </w:p>
    <w:p>
      <w:pPr>
        <w:snapToGrid w:val="0"/>
        <w:spacing w:line="480" w:lineRule="exact"/>
        <w:ind w:firstLine="484" w:firstLineChars="202"/>
        <w:rPr>
          <w:rFonts w:ascii="宋体" w:cs="宋体"/>
          <w:sz w:val="24"/>
          <w:szCs w:val="24"/>
        </w:rPr>
      </w:pPr>
      <w:r>
        <w:rPr>
          <w:rFonts w:ascii="宋体" w:hAnsi="宋体" w:cs="宋体"/>
          <w:sz w:val="24"/>
          <w:szCs w:val="24"/>
        </w:rPr>
        <w:t>2</w:t>
      </w:r>
      <w:r>
        <w:rPr>
          <w:rFonts w:hint="eastAsia" w:ascii="宋体" w:hAnsi="宋体" w:cs="宋体"/>
          <w:sz w:val="24"/>
          <w:szCs w:val="24"/>
        </w:rPr>
        <w:t>、磋商小组将按照竞争性磋商文件的规定，独立对每个进入打分程序的有效投标供应商的响应文件的技术部分以打分的形式进行评审和评价。技术分是所有评委打分的算术平均值（计算结果均四舍五入保留两位小数）。</w:t>
      </w:r>
      <w:r>
        <w:rPr>
          <w:rFonts w:ascii="宋体" w:hAnsi="宋体" w:cs="宋体"/>
          <w:sz w:val="24"/>
          <w:szCs w:val="24"/>
        </w:rPr>
        <w:t xml:space="preserve"> </w:t>
      </w:r>
    </w:p>
    <w:p>
      <w:pPr>
        <w:snapToGrid w:val="0"/>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、磋商小组所有成员应当集中与单一供应商分别进行磋商，并给予所有参加磋商的供应商平等的磋商机会。</w:t>
      </w:r>
    </w:p>
    <w:p>
      <w:pPr>
        <w:snapToGrid w:val="0"/>
        <w:spacing w:line="480" w:lineRule="exact"/>
        <w:ind w:firstLine="480" w:firstLineChars="200"/>
        <w:rPr>
          <w:rFonts w:ascii="宋体" w:cs="宋体"/>
          <w:sz w:val="24"/>
          <w:szCs w:val="24"/>
        </w:rPr>
      </w:pPr>
      <w:r>
        <w:rPr>
          <w:rFonts w:ascii="宋体" w:hAnsi="宋体" w:cs="宋体"/>
          <w:sz w:val="24"/>
          <w:szCs w:val="24"/>
        </w:rPr>
        <w:t>5</w:t>
      </w:r>
      <w:r>
        <w:rPr>
          <w:rFonts w:hint="eastAsia" w:ascii="宋体" w:hAnsi="宋体" w:cs="宋体"/>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、对磋商文件作出的实质性变动是磋商文件的有效组成部分，磋商小组应当及时以书面形式同时通知所有参加磋商的供应商。</w:t>
      </w:r>
    </w:p>
    <w:p>
      <w:pPr>
        <w:snapToGrid w:val="0"/>
        <w:spacing w:line="480" w:lineRule="exact"/>
        <w:ind w:firstLine="480" w:firstLineChars="200"/>
        <w:rPr>
          <w:rFonts w:ascii="宋体" w:hAnsi="宋体" w:cs="宋体"/>
          <w:sz w:val="24"/>
          <w:szCs w:val="24"/>
        </w:rPr>
      </w:pPr>
      <w:r>
        <w:rPr>
          <w:rFonts w:ascii="宋体" w:hAnsi="宋体" w:cs="宋体"/>
          <w:sz w:val="24"/>
          <w:szCs w:val="24"/>
        </w:rPr>
        <w:t>7</w:t>
      </w:r>
      <w:r>
        <w:rPr>
          <w:rFonts w:hint="eastAsia" w:ascii="宋体" w:hAnsi="宋体" w:cs="宋体"/>
          <w:sz w:val="24"/>
          <w:szCs w:val="24"/>
        </w:rPr>
        <w:t>、供应商应当按照磋商文件的变动情况和磋商小组的要求重新提交响应文件，并由其法定代表人或被授权人签字或者加盖公章。由被授权人签字的，应当附法定代表人授权书。</w:t>
      </w:r>
    </w:p>
    <w:p>
      <w:pPr>
        <w:snapToGrid w:val="0"/>
        <w:spacing w:line="480" w:lineRule="exact"/>
        <w:ind w:firstLine="480" w:firstLineChars="200"/>
        <w:rPr>
          <w:rFonts w:ascii="宋体" w:cs="宋体"/>
          <w:sz w:val="24"/>
          <w:szCs w:val="24"/>
        </w:rPr>
      </w:pPr>
      <w:r>
        <w:rPr>
          <w:rFonts w:ascii="宋体" w:hAnsi="宋体" w:cs="宋体"/>
          <w:sz w:val="24"/>
          <w:szCs w:val="24"/>
        </w:rPr>
        <w:t>8</w:t>
      </w:r>
      <w:r>
        <w:rPr>
          <w:rFonts w:hint="eastAsia" w:ascii="宋体" w:hAnsi="宋体" w:cs="宋体"/>
          <w:sz w:val="24"/>
          <w:szCs w:val="24"/>
        </w:rPr>
        <w:t>、经磋商确定最终采购需求和提交最终报价的供应商：磋商文件能够详细列明采购标的的技术、服务要求的，磋商结束后，磋商小组应当要求所有实质性响应的供应商在规定时间内提交最终报价。</w:t>
      </w:r>
    </w:p>
    <w:p>
      <w:pPr>
        <w:snapToGrid w:val="0"/>
        <w:spacing w:line="480" w:lineRule="exact"/>
        <w:ind w:firstLine="480" w:firstLineChars="200"/>
        <w:rPr>
          <w:rFonts w:ascii="宋体" w:cs="宋体"/>
          <w:sz w:val="24"/>
          <w:szCs w:val="24"/>
        </w:rPr>
      </w:pPr>
      <w:r>
        <w:rPr>
          <w:rFonts w:hint="eastAsia" w:ascii="宋体" w:hAnsi="宋体" w:cs="宋体"/>
          <w:sz w:val="24"/>
          <w:szCs w:val="24"/>
        </w:rPr>
        <w:t>9、除非在磋商中磋商小组对采购单位需求内容作了调整增加，或对采购内容作了实质性变更，否则</w:t>
      </w:r>
      <w:r>
        <w:rPr>
          <w:rFonts w:hint="eastAsia" w:ascii="宋体" w:hAnsi="宋体" w:cs="宋体"/>
          <w:b/>
          <w:sz w:val="24"/>
          <w:szCs w:val="24"/>
        </w:rPr>
        <w:t>采购单位不接受供应商高于自己前一轮的磋商报价</w:t>
      </w:r>
      <w:r>
        <w:rPr>
          <w:rFonts w:hint="eastAsia" w:ascii="宋体" w:hAnsi="宋体" w:cs="宋体"/>
          <w:sz w:val="24"/>
          <w:szCs w:val="24"/>
        </w:rPr>
        <w:t>。</w:t>
      </w:r>
    </w:p>
    <w:p>
      <w:pPr>
        <w:snapToGrid w:val="0"/>
        <w:spacing w:line="48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0、对于在磋商顺利开始后至最终报价前，根据磋商情况退出磋商的供应商，须以书面形式说明退出磋商的原因，经磋商小组同意可以退出磋商。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1、在磋商中，磋商的任何一方不得透露与磋商有关的其他响应磋商的供应商的技术资料、价格及其他信息。</w:t>
      </w:r>
    </w:p>
    <w:p>
      <w:pPr>
        <w:snapToGrid w:val="0"/>
        <w:spacing w:line="48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2、凡两家或以上公司同一法人代表或其中一家公司为另一家公司单一最大股东的，不能同时参与同一采购项目相同标段的磋商采购活动，一经发现，将视同串标处理。</w:t>
      </w:r>
    </w:p>
    <w:p>
      <w:pPr>
        <w:snapToGrid w:val="0"/>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3、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响应处理。</w:t>
      </w:r>
    </w:p>
    <w:p>
      <w:pPr>
        <w:snapToGrid w:val="0"/>
        <w:spacing w:line="360" w:lineRule="auto"/>
        <w:ind w:firstLine="482" w:firstLineChars="200"/>
        <w:outlineLvl w:val="1"/>
        <w:rPr>
          <w:rFonts w:ascii="宋体"/>
          <w:b/>
          <w:bCs/>
          <w:sz w:val="24"/>
          <w:szCs w:val="24"/>
        </w:rPr>
      </w:pPr>
      <w:r>
        <w:rPr>
          <w:rFonts w:hint="eastAsia" w:ascii="宋体" w:hAnsi="宋体" w:cs="宋体"/>
          <w:b/>
          <w:bCs/>
          <w:sz w:val="24"/>
          <w:szCs w:val="24"/>
        </w:rPr>
        <w:t>三、评审步骤</w:t>
      </w:r>
    </w:p>
    <w:p>
      <w:pPr>
        <w:snapToGrid w:val="0"/>
        <w:spacing w:line="360" w:lineRule="auto"/>
        <w:ind w:firstLine="482" w:firstLineChars="200"/>
        <w:rPr>
          <w:rFonts w:ascii="宋体"/>
          <w:b/>
          <w:bCs/>
          <w:sz w:val="24"/>
          <w:szCs w:val="24"/>
          <w:lang w:val="zh-CN"/>
        </w:rPr>
      </w:pPr>
      <w:r>
        <w:rPr>
          <w:rFonts w:ascii="宋体" w:hAnsi="宋体" w:cs="宋体"/>
          <w:b/>
          <w:bCs/>
          <w:sz w:val="24"/>
          <w:szCs w:val="24"/>
          <w:lang w:val="zh-CN"/>
        </w:rPr>
        <w:t>1</w:t>
      </w:r>
      <w:r>
        <w:rPr>
          <w:rFonts w:hint="eastAsia" w:ascii="宋体" w:hAnsi="宋体" w:cs="宋体"/>
          <w:b/>
          <w:bCs/>
          <w:sz w:val="24"/>
          <w:szCs w:val="24"/>
          <w:lang w:val="zh-CN"/>
        </w:rPr>
        <w:t>、评审步骤规定：</w:t>
      </w:r>
    </w:p>
    <w:p>
      <w:pPr>
        <w:snapToGrid w:val="0"/>
        <w:spacing w:line="360" w:lineRule="auto"/>
        <w:ind w:firstLine="482" w:firstLineChars="200"/>
        <w:rPr>
          <w:rFonts w:ascii="宋体"/>
          <w:b/>
          <w:bCs/>
          <w:sz w:val="24"/>
          <w:szCs w:val="24"/>
          <w:lang w:val="zh-CN"/>
        </w:rPr>
      </w:pPr>
      <w:r>
        <w:rPr>
          <w:rFonts w:hint="eastAsia" w:ascii="宋体" w:hAnsi="宋体" w:cs="宋体"/>
          <w:b/>
          <w:bCs/>
          <w:sz w:val="24"/>
          <w:szCs w:val="24"/>
          <w:lang w:val="zh-CN"/>
        </w:rPr>
        <w:t>本次资格审查采用资格后审，各投标人资格审查通过后方能进入技术标的开标。先开技术标，技术标打分结束后再开商务标。</w:t>
      </w:r>
    </w:p>
    <w:p>
      <w:pPr>
        <w:snapToGrid w:val="0"/>
        <w:spacing w:line="360" w:lineRule="auto"/>
        <w:ind w:firstLine="480" w:firstLineChars="200"/>
        <w:rPr>
          <w:rFonts w:ascii="宋体"/>
          <w:sz w:val="24"/>
          <w:szCs w:val="24"/>
          <w:lang w:val="zh-CN"/>
        </w:rPr>
      </w:pPr>
      <w:r>
        <w:rPr>
          <w:rFonts w:hint="eastAsia" w:ascii="宋体" w:hAnsi="宋体" w:cs="宋体"/>
          <w:sz w:val="24"/>
          <w:szCs w:val="24"/>
          <w:lang w:val="zh-CN"/>
        </w:rPr>
        <w:t>第一阶段：</w:t>
      </w:r>
      <w:r>
        <w:rPr>
          <w:rFonts w:hint="eastAsia" w:ascii="宋体" w:hAnsi="宋体" w:cs="宋体"/>
          <w:sz w:val="24"/>
          <w:szCs w:val="24"/>
        </w:rPr>
        <w:t>磋商小组</w:t>
      </w:r>
      <w:r>
        <w:rPr>
          <w:rFonts w:hint="eastAsia" w:ascii="宋体" w:hAnsi="宋体" w:cs="宋体"/>
          <w:sz w:val="24"/>
          <w:szCs w:val="24"/>
          <w:lang w:val="zh-CN"/>
        </w:rPr>
        <w:t>对每个供应商的资格进行审查。</w:t>
      </w:r>
    </w:p>
    <w:p>
      <w:pPr>
        <w:snapToGrid w:val="0"/>
        <w:spacing w:line="360" w:lineRule="auto"/>
        <w:ind w:firstLine="480" w:firstLineChars="200"/>
        <w:rPr>
          <w:rFonts w:ascii="宋体"/>
          <w:sz w:val="24"/>
          <w:szCs w:val="24"/>
          <w:lang w:val="zh-CN"/>
        </w:rPr>
      </w:pPr>
      <w:r>
        <w:rPr>
          <w:rFonts w:hint="eastAsia" w:ascii="宋体" w:hAnsi="宋体" w:cs="宋体"/>
          <w:sz w:val="24"/>
          <w:szCs w:val="24"/>
          <w:lang w:val="zh-CN"/>
        </w:rPr>
        <w:t>第二阶段：</w:t>
      </w:r>
      <w:r>
        <w:rPr>
          <w:rFonts w:hint="eastAsia" w:ascii="宋体" w:hAnsi="宋体" w:cs="宋体"/>
          <w:sz w:val="24"/>
          <w:szCs w:val="24"/>
        </w:rPr>
        <w:t>磋商小组</w:t>
      </w:r>
      <w:r>
        <w:rPr>
          <w:rFonts w:hint="eastAsia" w:ascii="宋体" w:hAnsi="宋体" w:cs="宋体"/>
          <w:sz w:val="24"/>
          <w:szCs w:val="24"/>
          <w:lang w:val="zh-CN"/>
        </w:rPr>
        <w:t>对每个符合资格要求的供应商的技术标进行</w:t>
      </w:r>
      <w:r>
        <w:rPr>
          <w:rFonts w:hint="eastAsia" w:ascii="宋体" w:hAnsi="宋体" w:cs="宋体"/>
          <w:sz w:val="24"/>
          <w:szCs w:val="24"/>
        </w:rPr>
        <w:t>评审</w:t>
      </w:r>
      <w:r>
        <w:rPr>
          <w:rFonts w:hint="eastAsia" w:ascii="宋体" w:hAnsi="宋体" w:cs="宋体"/>
          <w:sz w:val="24"/>
          <w:szCs w:val="24"/>
          <w:lang w:val="zh-CN"/>
        </w:rPr>
        <w:t>。主要审查技术标提交的内容是否齐全，技术方案及项目实施是否完全满足采购文件的要求。</w:t>
      </w:r>
      <w:r>
        <w:rPr>
          <w:rFonts w:hint="eastAsia" w:ascii="宋体" w:hAnsi="宋体" w:cs="宋体"/>
          <w:sz w:val="24"/>
          <w:szCs w:val="24"/>
        </w:rPr>
        <w:t>磋商小组严格按照磋商文件的要求、条件、评分标准，对投标人所提供货物或服务的先进性、可靠性、售后服务承诺、质量保证承诺等实质性响应内容进行比较。</w:t>
      </w:r>
    </w:p>
    <w:p>
      <w:pPr>
        <w:snapToGrid w:val="0"/>
        <w:spacing w:line="360" w:lineRule="auto"/>
        <w:ind w:firstLine="480" w:firstLineChars="200"/>
        <w:rPr>
          <w:rFonts w:ascii="宋体"/>
          <w:sz w:val="24"/>
          <w:szCs w:val="24"/>
          <w:lang w:val="zh-CN"/>
        </w:rPr>
      </w:pPr>
      <w:r>
        <w:rPr>
          <w:rFonts w:hint="eastAsia" w:ascii="宋体" w:hAnsi="宋体" w:cs="宋体"/>
          <w:sz w:val="24"/>
          <w:szCs w:val="24"/>
          <w:lang w:val="zh-CN"/>
        </w:rPr>
        <w:t>第三阶段：以</w:t>
      </w:r>
      <w:r>
        <w:rPr>
          <w:rFonts w:hint="eastAsia" w:ascii="宋体" w:hAnsi="宋体" w:cs="宋体"/>
          <w:sz w:val="24"/>
          <w:szCs w:val="24"/>
        </w:rPr>
        <w:t>投标</w:t>
      </w:r>
      <w:r>
        <w:rPr>
          <w:rFonts w:hint="eastAsia" w:ascii="宋体" w:hAnsi="宋体" w:cs="宋体"/>
          <w:sz w:val="24"/>
          <w:szCs w:val="24"/>
          <w:lang w:val="zh-CN"/>
        </w:rPr>
        <w:t>供应商价格标文件内的</w:t>
      </w:r>
      <w:r>
        <w:rPr>
          <w:rFonts w:hint="eastAsia" w:ascii="宋体" w:hAnsi="宋体" w:cs="宋体"/>
          <w:sz w:val="24"/>
          <w:szCs w:val="24"/>
        </w:rPr>
        <w:t>竞争性磋商</w:t>
      </w:r>
      <w:r>
        <w:rPr>
          <w:rFonts w:hint="eastAsia" w:ascii="宋体" w:hAnsi="宋体" w:cs="宋体"/>
          <w:sz w:val="24"/>
          <w:szCs w:val="24"/>
          <w:lang w:val="zh-CN"/>
        </w:rPr>
        <w:t>报价（即首次报价）为基础，</w:t>
      </w:r>
      <w:r>
        <w:rPr>
          <w:rFonts w:hint="eastAsia" w:ascii="宋体" w:hAnsi="宋体" w:cs="宋体"/>
          <w:sz w:val="24"/>
          <w:szCs w:val="24"/>
        </w:rPr>
        <w:t>磋商小组与投标</w:t>
      </w:r>
      <w:r>
        <w:rPr>
          <w:rFonts w:hint="eastAsia" w:ascii="宋体" w:hAnsi="宋体" w:cs="宋体"/>
          <w:sz w:val="24"/>
          <w:szCs w:val="24"/>
          <w:lang w:val="zh-CN"/>
        </w:rPr>
        <w:t>供应商分别进行</w:t>
      </w:r>
      <w:r>
        <w:rPr>
          <w:rFonts w:hint="eastAsia" w:ascii="宋体" w:hAnsi="宋体" w:cs="宋体"/>
          <w:sz w:val="24"/>
          <w:szCs w:val="24"/>
        </w:rPr>
        <w:t>磋商</w:t>
      </w:r>
      <w:r>
        <w:rPr>
          <w:rFonts w:hint="eastAsia" w:ascii="宋体" w:hAnsi="宋体" w:cs="宋体"/>
          <w:sz w:val="24"/>
          <w:szCs w:val="24"/>
          <w:lang w:val="zh-CN"/>
        </w:rPr>
        <w:t>：内容主要是对</w:t>
      </w:r>
      <w:r>
        <w:rPr>
          <w:rFonts w:hint="eastAsia" w:ascii="宋体" w:hAnsi="宋体" w:cs="宋体"/>
          <w:sz w:val="24"/>
          <w:szCs w:val="24"/>
        </w:rPr>
        <w:t>竞争性磋商</w:t>
      </w:r>
      <w:r>
        <w:rPr>
          <w:rFonts w:hint="eastAsia" w:ascii="宋体" w:hAnsi="宋体" w:cs="宋体"/>
          <w:sz w:val="24"/>
          <w:szCs w:val="24"/>
          <w:lang w:val="zh-CN"/>
        </w:rPr>
        <w:t>响应文件中的项目方案的澄清、修正、补充、确认以及价格调整等。</w:t>
      </w:r>
      <w:r>
        <w:rPr>
          <w:rFonts w:hint="eastAsia" w:ascii="宋体" w:hAnsi="宋体" w:cs="宋体"/>
          <w:sz w:val="24"/>
          <w:szCs w:val="24"/>
        </w:rPr>
        <w:t>磋商</w:t>
      </w:r>
      <w:r>
        <w:rPr>
          <w:rFonts w:hint="eastAsia" w:ascii="宋体" w:hAnsi="宋体" w:cs="宋体"/>
          <w:sz w:val="24"/>
          <w:szCs w:val="24"/>
          <w:lang w:val="zh-CN"/>
        </w:rPr>
        <w:t>明确各供应商符合并满足谈判文件要求，并能完全响应</w:t>
      </w:r>
      <w:r>
        <w:rPr>
          <w:rFonts w:hint="eastAsia" w:ascii="宋体" w:hAnsi="宋体" w:cs="宋体"/>
          <w:sz w:val="24"/>
          <w:szCs w:val="24"/>
        </w:rPr>
        <w:t>磋商</w:t>
      </w:r>
      <w:r>
        <w:rPr>
          <w:rFonts w:hint="eastAsia" w:ascii="宋体" w:hAnsi="宋体" w:cs="宋体"/>
          <w:sz w:val="24"/>
          <w:szCs w:val="24"/>
          <w:lang w:val="zh-CN"/>
        </w:rPr>
        <w:t>内容后，要求其二次报价。如</w:t>
      </w:r>
      <w:r>
        <w:rPr>
          <w:rFonts w:hint="eastAsia" w:ascii="宋体" w:hAnsi="宋体" w:cs="宋体"/>
          <w:sz w:val="24"/>
          <w:szCs w:val="24"/>
        </w:rPr>
        <w:t>磋商</w:t>
      </w:r>
      <w:r>
        <w:rPr>
          <w:rFonts w:hint="eastAsia" w:ascii="宋体" w:hAnsi="宋体" w:cs="宋体"/>
          <w:sz w:val="24"/>
          <w:szCs w:val="24"/>
          <w:lang w:val="zh-CN"/>
        </w:rPr>
        <w:t>内容导致</w:t>
      </w:r>
      <w:r>
        <w:rPr>
          <w:rFonts w:hint="eastAsia" w:ascii="宋体" w:hAnsi="宋体" w:cs="宋体"/>
          <w:sz w:val="24"/>
          <w:szCs w:val="24"/>
        </w:rPr>
        <w:t>竞争性磋商</w:t>
      </w:r>
      <w:r>
        <w:rPr>
          <w:rFonts w:hint="eastAsia" w:ascii="宋体" w:hAnsi="宋体" w:cs="宋体"/>
          <w:sz w:val="24"/>
          <w:szCs w:val="24"/>
          <w:lang w:val="zh-CN"/>
        </w:rPr>
        <w:t>文件有实质性变动的，</w:t>
      </w:r>
      <w:r>
        <w:rPr>
          <w:rFonts w:hint="eastAsia" w:ascii="宋体" w:hAnsi="宋体" w:cs="宋体"/>
          <w:sz w:val="24"/>
          <w:szCs w:val="24"/>
        </w:rPr>
        <w:t>磋商小组</w:t>
      </w:r>
      <w:r>
        <w:rPr>
          <w:rFonts w:hint="eastAsia" w:ascii="宋体" w:hAnsi="宋体" w:cs="宋体"/>
          <w:sz w:val="24"/>
          <w:szCs w:val="24"/>
          <w:lang w:val="zh-CN"/>
        </w:rPr>
        <w:t>应当以书面形式通知所有供应商。</w:t>
      </w:r>
      <w:r>
        <w:rPr>
          <w:rFonts w:ascii="宋体" w:hAnsi="宋体" w:cs="宋体"/>
          <w:sz w:val="24"/>
          <w:szCs w:val="24"/>
          <w:lang w:val="zh-CN"/>
        </w:rPr>
        <w:t xml:space="preserve">  </w:t>
      </w:r>
    </w:p>
    <w:p>
      <w:pPr>
        <w:snapToGrid w:val="0"/>
        <w:spacing w:line="360" w:lineRule="auto"/>
        <w:ind w:firstLine="480" w:firstLineChars="200"/>
        <w:rPr>
          <w:rFonts w:ascii="宋体"/>
          <w:sz w:val="24"/>
          <w:szCs w:val="24"/>
          <w:lang w:val="zh-CN"/>
        </w:rPr>
      </w:pPr>
      <w:r>
        <w:rPr>
          <w:rFonts w:hint="eastAsia" w:ascii="宋体" w:hAnsi="宋体" w:cs="宋体"/>
          <w:sz w:val="24"/>
          <w:szCs w:val="24"/>
          <w:lang w:val="zh-CN"/>
        </w:rPr>
        <w:t>第四阶段：分别</w:t>
      </w:r>
      <w:r>
        <w:rPr>
          <w:rFonts w:hint="eastAsia" w:ascii="宋体" w:hAnsi="宋体" w:cs="宋体"/>
          <w:sz w:val="24"/>
          <w:szCs w:val="24"/>
        </w:rPr>
        <w:t>磋商</w:t>
      </w:r>
      <w:r>
        <w:rPr>
          <w:rFonts w:hint="eastAsia" w:ascii="宋体" w:hAnsi="宋体" w:cs="宋体"/>
          <w:sz w:val="24"/>
          <w:szCs w:val="24"/>
          <w:lang w:val="zh-CN"/>
        </w:rPr>
        <w:t>结束后，</w:t>
      </w:r>
      <w:r>
        <w:rPr>
          <w:rFonts w:hint="eastAsia" w:ascii="宋体" w:hAnsi="宋体" w:cs="宋体"/>
          <w:sz w:val="24"/>
          <w:szCs w:val="24"/>
        </w:rPr>
        <w:t>磋商小组</w:t>
      </w:r>
      <w:r>
        <w:rPr>
          <w:rFonts w:hint="eastAsia" w:ascii="宋体" w:hAnsi="宋体" w:cs="宋体"/>
          <w:sz w:val="24"/>
          <w:szCs w:val="24"/>
          <w:lang w:val="zh-CN"/>
        </w:rPr>
        <w:t>告知所有作出实质性响应的有效供应商在规定的时间内，在</w:t>
      </w:r>
      <w:r>
        <w:rPr>
          <w:rFonts w:hint="eastAsia" w:ascii="宋体" w:hAnsi="宋体" w:cs="宋体"/>
          <w:sz w:val="24"/>
          <w:szCs w:val="24"/>
        </w:rPr>
        <w:t>磋商</w:t>
      </w:r>
      <w:r>
        <w:rPr>
          <w:rFonts w:hint="eastAsia" w:ascii="宋体" w:hAnsi="宋体" w:cs="宋体"/>
          <w:sz w:val="24"/>
          <w:szCs w:val="24"/>
          <w:lang w:val="zh-CN"/>
        </w:rPr>
        <w:t>现场集体给出最终报价，同时最终报价中可包括但不限于如最终澄清方案、有关优惠承诺等。</w:t>
      </w:r>
    </w:p>
    <w:p>
      <w:pPr>
        <w:snapToGrid w:val="0"/>
        <w:spacing w:line="360" w:lineRule="auto"/>
        <w:ind w:firstLine="480" w:firstLineChars="200"/>
        <w:rPr>
          <w:rFonts w:ascii="宋体"/>
          <w:b/>
          <w:bCs/>
          <w:sz w:val="24"/>
          <w:szCs w:val="24"/>
          <w:lang w:val="zh-CN"/>
        </w:rPr>
      </w:pPr>
      <w:r>
        <w:rPr>
          <w:rFonts w:hint="eastAsia" w:ascii="宋体" w:hAnsi="宋体" w:cs="宋体"/>
          <w:sz w:val="24"/>
          <w:szCs w:val="24"/>
          <w:lang w:val="zh-CN"/>
        </w:rPr>
        <w:t>第五阶段：</w:t>
      </w:r>
      <w:r>
        <w:rPr>
          <w:rFonts w:hint="eastAsia" w:ascii="宋体" w:hAnsi="宋体" w:cs="宋体"/>
          <w:sz w:val="24"/>
          <w:szCs w:val="24"/>
        </w:rPr>
        <w:t>磋商小组</w:t>
      </w:r>
      <w:r>
        <w:rPr>
          <w:rFonts w:hint="eastAsia" w:ascii="宋体" w:hAnsi="宋体" w:cs="宋体"/>
          <w:sz w:val="24"/>
          <w:szCs w:val="24"/>
          <w:lang w:val="zh-CN"/>
        </w:rPr>
        <w:t>对供应商的最终报价进行评议和比较，在实质性响应</w:t>
      </w:r>
      <w:r>
        <w:rPr>
          <w:rFonts w:hint="eastAsia" w:ascii="宋体" w:hAnsi="宋体" w:cs="宋体"/>
          <w:sz w:val="24"/>
          <w:szCs w:val="24"/>
        </w:rPr>
        <w:t>竞争性磋商</w:t>
      </w:r>
      <w:r>
        <w:rPr>
          <w:rFonts w:hint="eastAsia" w:ascii="宋体" w:hAnsi="宋体" w:cs="宋体"/>
          <w:sz w:val="24"/>
          <w:szCs w:val="24"/>
          <w:lang w:val="zh-CN"/>
        </w:rPr>
        <w:t>文件，技术标和价格标部分都能满足</w:t>
      </w:r>
      <w:r>
        <w:rPr>
          <w:rFonts w:hint="eastAsia" w:ascii="宋体" w:hAnsi="宋体" w:cs="宋体"/>
          <w:sz w:val="24"/>
          <w:szCs w:val="24"/>
        </w:rPr>
        <w:t>竞争性磋商</w:t>
      </w:r>
      <w:r>
        <w:rPr>
          <w:rFonts w:hint="eastAsia" w:ascii="宋体" w:hAnsi="宋体" w:cs="宋体"/>
          <w:sz w:val="24"/>
          <w:szCs w:val="24"/>
          <w:lang w:val="zh-CN"/>
        </w:rPr>
        <w:t>文件的前提下，</w:t>
      </w:r>
      <w:r>
        <w:rPr>
          <w:rFonts w:hint="eastAsia" w:ascii="宋体" w:hAnsi="宋体" w:cs="宋体"/>
          <w:b/>
          <w:bCs/>
          <w:sz w:val="24"/>
          <w:szCs w:val="24"/>
        </w:rPr>
        <w:t>磋商小组</w:t>
      </w:r>
      <w:r>
        <w:rPr>
          <w:rFonts w:hint="eastAsia" w:ascii="宋体" w:hAnsi="宋体" w:cs="宋体"/>
          <w:b/>
          <w:bCs/>
          <w:sz w:val="24"/>
          <w:szCs w:val="24"/>
          <w:lang w:val="zh-CN"/>
        </w:rPr>
        <w:t>将校核后的各供应商的报价从低到高排序。</w:t>
      </w:r>
    </w:p>
    <w:p>
      <w:pPr>
        <w:snapToGrid w:val="0"/>
        <w:spacing w:line="360" w:lineRule="auto"/>
        <w:ind w:firstLine="480" w:firstLineChars="200"/>
        <w:outlineLvl w:val="1"/>
        <w:rPr>
          <w:rFonts w:ascii="宋体"/>
          <w:sz w:val="24"/>
          <w:szCs w:val="24"/>
          <w:lang w:val="zh-CN"/>
        </w:rPr>
      </w:pPr>
      <w:r>
        <w:rPr>
          <w:rFonts w:ascii="宋体" w:hAnsi="宋体" w:cs="宋体"/>
          <w:sz w:val="24"/>
          <w:szCs w:val="24"/>
          <w:lang w:val="zh-CN"/>
        </w:rPr>
        <w:t>2</w:t>
      </w:r>
      <w:r>
        <w:rPr>
          <w:rFonts w:hint="eastAsia" w:ascii="宋体" w:hAnsi="宋体" w:cs="宋体"/>
          <w:sz w:val="24"/>
          <w:szCs w:val="24"/>
          <w:lang w:val="zh-CN"/>
        </w:rPr>
        <w:t>、在</w:t>
      </w:r>
      <w:r>
        <w:rPr>
          <w:rFonts w:hint="eastAsia" w:ascii="宋体" w:hAnsi="宋体" w:cs="宋体"/>
          <w:sz w:val="24"/>
          <w:szCs w:val="24"/>
        </w:rPr>
        <w:t>磋商</w:t>
      </w:r>
      <w:r>
        <w:rPr>
          <w:rFonts w:hint="eastAsia" w:ascii="宋体" w:hAnsi="宋体" w:cs="宋体"/>
          <w:sz w:val="24"/>
          <w:szCs w:val="24"/>
          <w:lang w:val="zh-CN"/>
        </w:rPr>
        <w:t>过程中，供应商提交的澄清文件和最终报价文件，由供应商法定代表人或被授权人签字盖章后生效，供应商受其约束。</w:t>
      </w:r>
    </w:p>
    <w:p>
      <w:pPr>
        <w:snapToGrid w:val="0"/>
        <w:spacing w:line="360" w:lineRule="auto"/>
        <w:ind w:firstLine="482" w:firstLineChars="200"/>
        <w:outlineLvl w:val="1"/>
        <w:rPr>
          <w:rFonts w:ascii="宋体"/>
          <w:b/>
          <w:bCs/>
          <w:sz w:val="24"/>
          <w:szCs w:val="24"/>
        </w:rPr>
      </w:pPr>
      <w:r>
        <w:rPr>
          <w:rFonts w:hint="eastAsia" w:ascii="宋体" w:hAnsi="宋体" w:cs="宋体"/>
          <w:b/>
          <w:bCs/>
          <w:sz w:val="24"/>
          <w:szCs w:val="24"/>
        </w:rPr>
        <w:t>四、磋商评定结果的方法</w:t>
      </w:r>
    </w:p>
    <w:p>
      <w:pPr>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b/>
          <w:bCs/>
          <w:sz w:val="24"/>
          <w:szCs w:val="24"/>
          <w:u w:val="single"/>
        </w:rPr>
        <w:t>经磋商确定最终采购需求和提交最后报价的供应商后，</w:t>
      </w:r>
      <w:r>
        <w:rPr>
          <w:rFonts w:hint="eastAsia" w:ascii="宋体" w:hAnsi="宋体" w:cs="宋体"/>
          <w:sz w:val="24"/>
          <w:szCs w:val="24"/>
        </w:rPr>
        <w:t>由磋商小组采用综合评分法</w:t>
      </w:r>
      <w:r>
        <w:rPr>
          <w:rFonts w:hint="eastAsia" w:ascii="宋体" w:hAnsi="宋体" w:cs="宋体"/>
          <w:b/>
          <w:bCs/>
          <w:sz w:val="24"/>
          <w:szCs w:val="24"/>
          <w:u w:val="single"/>
        </w:rPr>
        <w:t>对提交最后报价的供应商的响应文件和最后报价</w:t>
      </w:r>
      <w:r>
        <w:rPr>
          <w:rFonts w:hint="eastAsia" w:ascii="宋体" w:hAnsi="宋体" w:cs="宋体"/>
          <w:sz w:val="24"/>
          <w:szCs w:val="24"/>
        </w:rPr>
        <w:t>进行综合评分。</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、评审时，磋商小组各成员应当独立对每个有效响应的文件进行评价、打分，然后汇总每个供应商每项评分因素的得分（计算结果均四舍五入保留两位小数）。</w:t>
      </w:r>
    </w:p>
    <w:p>
      <w:pPr>
        <w:snapToGri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、本次项目磋商的技术</w:t>
      </w:r>
      <w:r>
        <w:rPr>
          <w:rFonts w:hint="eastAsia" w:ascii="宋体" w:hAnsi="宋体" w:cs="宋体"/>
          <w:kern w:val="0"/>
          <w:sz w:val="24"/>
          <w:szCs w:val="24"/>
        </w:rPr>
        <w:t>响应文件</w:t>
      </w:r>
      <w:r>
        <w:rPr>
          <w:rFonts w:hint="eastAsia" w:ascii="宋体" w:hAnsi="宋体" w:cs="宋体"/>
          <w:sz w:val="24"/>
          <w:szCs w:val="24"/>
        </w:rPr>
        <w:t>和商务报价</w:t>
      </w:r>
      <w:r>
        <w:rPr>
          <w:rFonts w:hint="eastAsia" w:ascii="宋体" w:hAnsi="宋体" w:cs="宋体"/>
          <w:kern w:val="0"/>
          <w:sz w:val="24"/>
          <w:szCs w:val="24"/>
        </w:rPr>
        <w:t>响应文件</w:t>
      </w:r>
      <w:r>
        <w:rPr>
          <w:rFonts w:hint="eastAsia" w:ascii="宋体" w:hAnsi="宋体" w:cs="宋体"/>
          <w:sz w:val="24"/>
          <w:szCs w:val="24"/>
        </w:rPr>
        <w:t>评审总分值为</w:t>
      </w:r>
      <w:r>
        <w:rPr>
          <w:rFonts w:ascii="宋体" w:hAnsi="宋体" w:cs="宋体"/>
          <w:sz w:val="24"/>
          <w:szCs w:val="24"/>
        </w:rPr>
        <w:t>100</w:t>
      </w:r>
      <w:r>
        <w:rPr>
          <w:rFonts w:hint="eastAsia" w:ascii="宋体" w:hAnsi="宋体" w:cs="宋体"/>
          <w:sz w:val="24"/>
          <w:szCs w:val="24"/>
        </w:rPr>
        <w:t>分。两部分评审因素比重如下：</w:t>
      </w:r>
      <w:r>
        <w:rPr>
          <w:rFonts w:ascii="宋体" w:hAnsi="宋体" w:cs="宋体"/>
          <w:sz w:val="24"/>
          <w:szCs w:val="24"/>
        </w:rPr>
        <w:t xml:space="preserve"> </w:t>
      </w:r>
    </w:p>
    <w:p>
      <w:pPr>
        <w:snapToGrid w:val="0"/>
        <w:spacing w:line="360" w:lineRule="auto"/>
        <w:ind w:firstLine="480" w:firstLineChars="200"/>
        <w:rPr>
          <w:rFonts w:ascii="宋体"/>
          <w:sz w:val="24"/>
          <w:szCs w:val="24"/>
        </w:rPr>
      </w:pPr>
      <w:r>
        <w:rPr>
          <w:rFonts w:hint="eastAsia" w:ascii="宋体" w:hAnsi="宋体" w:cs="宋体"/>
          <w:sz w:val="24"/>
          <w:szCs w:val="24"/>
        </w:rPr>
        <w:t>技术</w:t>
      </w:r>
      <w:r>
        <w:rPr>
          <w:rFonts w:hint="eastAsia" w:ascii="宋体" w:hAnsi="宋体" w:cs="宋体"/>
          <w:kern w:val="0"/>
          <w:sz w:val="24"/>
          <w:szCs w:val="24"/>
        </w:rPr>
        <w:t>响应文件</w:t>
      </w:r>
      <w:r>
        <w:rPr>
          <w:rFonts w:hint="eastAsia" w:ascii="宋体" w:hAnsi="宋体" w:cs="宋体"/>
          <w:sz w:val="24"/>
          <w:szCs w:val="24"/>
        </w:rPr>
        <w:t>分值占总分值的比重为</w:t>
      </w:r>
      <w:r>
        <w:rPr>
          <w:rFonts w:hint="eastAsia" w:ascii="宋体" w:hAnsi="宋体" w:cs="宋体"/>
          <w:b/>
          <w:bCs/>
          <w:sz w:val="24"/>
          <w:szCs w:val="24"/>
          <w:u w:val="single"/>
        </w:rPr>
        <w:t>8</w:t>
      </w:r>
      <w:r>
        <w:rPr>
          <w:rFonts w:ascii="宋体" w:hAnsi="宋体" w:cs="宋体"/>
          <w:b/>
          <w:bCs/>
          <w:sz w:val="24"/>
          <w:szCs w:val="24"/>
          <w:u w:val="single"/>
        </w:rPr>
        <w:t>0%</w:t>
      </w:r>
      <w:r>
        <w:rPr>
          <w:rFonts w:hint="eastAsia" w:ascii="宋体" w:hAnsi="宋体" w:cs="宋体"/>
          <w:b/>
          <w:bCs/>
          <w:sz w:val="24"/>
          <w:szCs w:val="24"/>
          <w:u w:val="single"/>
        </w:rPr>
        <w:t>（权重）</w:t>
      </w:r>
      <w:r>
        <w:rPr>
          <w:rFonts w:hint="eastAsia" w:ascii="宋体" w:hAnsi="宋体" w:cs="宋体"/>
          <w:sz w:val="24"/>
          <w:szCs w:val="24"/>
        </w:rPr>
        <w:t>（四舍五入保留两位小数）；</w:t>
      </w:r>
    </w:p>
    <w:p>
      <w:pPr>
        <w:snapToGrid w:val="0"/>
        <w:spacing w:line="360" w:lineRule="auto"/>
        <w:ind w:firstLine="480" w:firstLineChars="200"/>
        <w:rPr>
          <w:rFonts w:ascii="宋体"/>
          <w:sz w:val="24"/>
          <w:szCs w:val="24"/>
        </w:rPr>
      </w:pPr>
      <w:r>
        <w:rPr>
          <w:rFonts w:hint="eastAsia" w:ascii="宋体" w:hAnsi="宋体" w:cs="宋体"/>
          <w:sz w:val="24"/>
          <w:szCs w:val="24"/>
        </w:rPr>
        <w:t>商务报价</w:t>
      </w:r>
      <w:r>
        <w:rPr>
          <w:rFonts w:hint="eastAsia" w:ascii="宋体" w:hAnsi="宋体" w:cs="宋体"/>
          <w:kern w:val="0"/>
          <w:sz w:val="24"/>
          <w:szCs w:val="24"/>
        </w:rPr>
        <w:t>响应文件</w:t>
      </w:r>
      <w:r>
        <w:rPr>
          <w:rFonts w:hint="eastAsia" w:ascii="宋体" w:hAnsi="宋体" w:cs="宋体"/>
          <w:sz w:val="24"/>
          <w:szCs w:val="24"/>
        </w:rPr>
        <w:t>分值占总分值的比重为</w:t>
      </w:r>
      <w:r>
        <w:rPr>
          <w:rFonts w:hint="eastAsia" w:ascii="宋体" w:hAnsi="宋体" w:cs="宋体"/>
          <w:b/>
          <w:bCs/>
          <w:sz w:val="24"/>
          <w:szCs w:val="24"/>
          <w:u w:val="single"/>
        </w:rPr>
        <w:t>2</w:t>
      </w:r>
      <w:r>
        <w:rPr>
          <w:rFonts w:ascii="宋体" w:hAnsi="宋体" w:cs="宋体"/>
          <w:b/>
          <w:bCs/>
          <w:sz w:val="24"/>
          <w:szCs w:val="24"/>
          <w:u w:val="single"/>
        </w:rPr>
        <w:t>0%</w:t>
      </w:r>
      <w:r>
        <w:rPr>
          <w:rFonts w:hint="eastAsia" w:ascii="宋体" w:hAnsi="宋体" w:cs="宋体"/>
          <w:b/>
          <w:bCs/>
          <w:sz w:val="24"/>
          <w:szCs w:val="24"/>
          <w:u w:val="single"/>
        </w:rPr>
        <w:t>（权重）</w:t>
      </w:r>
      <w:r>
        <w:rPr>
          <w:rFonts w:ascii="宋体" w:hAnsi="宋体" w:cs="宋体"/>
          <w:b/>
          <w:bCs/>
          <w:sz w:val="24"/>
          <w:szCs w:val="24"/>
          <w:u w:val="single"/>
        </w:rPr>
        <w:t xml:space="preserve"> </w:t>
      </w:r>
      <w:r>
        <w:rPr>
          <w:rFonts w:hint="eastAsia" w:ascii="宋体" w:hAnsi="宋体" w:cs="宋体"/>
          <w:sz w:val="24"/>
          <w:szCs w:val="24"/>
        </w:rPr>
        <w:t>（四舍五入保留两位小数）。</w:t>
      </w:r>
    </w:p>
    <w:p>
      <w:pPr>
        <w:snapToGrid w:val="0"/>
        <w:spacing w:line="360" w:lineRule="auto"/>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、技术</w:t>
      </w:r>
      <w:r>
        <w:rPr>
          <w:rFonts w:hint="eastAsia" w:ascii="宋体" w:hAnsi="宋体" w:cs="宋体"/>
          <w:kern w:val="0"/>
          <w:sz w:val="24"/>
          <w:szCs w:val="24"/>
        </w:rPr>
        <w:t>响应文件分值为所有评委打分的算术平均值，计算</w:t>
      </w:r>
      <w:r>
        <w:rPr>
          <w:rFonts w:hint="eastAsia" w:ascii="宋体" w:hAnsi="宋体" w:cs="宋体"/>
          <w:sz w:val="24"/>
          <w:szCs w:val="24"/>
        </w:rPr>
        <w:t>结果均四舍五入保留两位小数。</w:t>
      </w:r>
      <w:r>
        <w:rPr>
          <w:rFonts w:ascii="宋体" w:hAnsi="宋体" w:cs="宋体"/>
          <w:sz w:val="24"/>
          <w:szCs w:val="24"/>
        </w:rPr>
        <w:t xml:space="preserve">  </w:t>
      </w:r>
    </w:p>
    <w:p>
      <w:pPr>
        <w:pStyle w:val="51"/>
        <w:spacing w:line="360" w:lineRule="auto"/>
        <w:ind w:firstLine="480"/>
      </w:pPr>
      <w:r>
        <w:rPr>
          <w:rFonts w:ascii="宋体" w:hAnsi="宋体" w:cs="宋体"/>
        </w:rPr>
        <w:t>5</w:t>
      </w:r>
      <w:r>
        <w:rPr>
          <w:rFonts w:hint="eastAsia" w:ascii="宋体" w:hAnsi="宋体" w:cs="宋体"/>
        </w:rPr>
        <w:t>、商务报价</w:t>
      </w:r>
      <w:r>
        <w:rPr>
          <w:rFonts w:hint="eastAsia" w:ascii="宋体" w:hAnsi="宋体" w:cs="宋体"/>
          <w:kern w:val="0"/>
        </w:rPr>
        <w:t>响应文件</w:t>
      </w:r>
      <w:r>
        <w:rPr>
          <w:rFonts w:hint="eastAsia" w:ascii="宋体" w:hAnsi="宋体" w:cs="宋体"/>
        </w:rPr>
        <w:t>分值统一采用低价优先法计算直接取得，与技术</w:t>
      </w:r>
      <w:r>
        <w:rPr>
          <w:rFonts w:hint="eastAsia" w:ascii="宋体" w:hAnsi="宋体" w:cs="宋体"/>
          <w:kern w:val="0"/>
        </w:rPr>
        <w:t>响应文件</w:t>
      </w:r>
      <w:r>
        <w:rPr>
          <w:rFonts w:hint="eastAsia" w:ascii="宋体" w:hAnsi="宋体" w:cs="宋体"/>
        </w:rPr>
        <w:t>分值相加为供应商的综合得分（四舍五入保留两位小数）。</w:t>
      </w:r>
    </w:p>
    <w:p>
      <w:pPr>
        <w:snapToGrid w:val="0"/>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、综合得分最高的供应商推荐为项目预成交供应商并出具评审磋商报告。</w:t>
      </w:r>
    </w:p>
    <w:p>
      <w:pPr>
        <w:snapToGrid w:val="0"/>
        <w:spacing w:line="360" w:lineRule="auto"/>
        <w:ind w:firstLine="480" w:firstLineChars="200"/>
        <w:outlineLvl w:val="1"/>
        <w:rPr>
          <w:rFonts w:ascii="宋体"/>
          <w:sz w:val="24"/>
          <w:szCs w:val="24"/>
        </w:rPr>
      </w:pPr>
      <w:r>
        <w:rPr>
          <w:rFonts w:ascii="宋体" w:hAnsi="宋体" w:cs="宋体"/>
          <w:sz w:val="24"/>
          <w:szCs w:val="24"/>
        </w:rPr>
        <w:t>7</w:t>
      </w:r>
      <w:r>
        <w:rPr>
          <w:rFonts w:hint="eastAsia" w:ascii="宋体" w:hAnsi="宋体" w:cs="宋体"/>
          <w:sz w:val="24"/>
          <w:szCs w:val="24"/>
        </w:rPr>
        <w:t>、确定成交候选人的特殊情况处理：</w:t>
      </w:r>
    </w:p>
    <w:p>
      <w:pPr>
        <w:snapToGrid w:val="0"/>
        <w:spacing w:line="360" w:lineRule="auto"/>
        <w:ind w:firstLine="480" w:firstLineChars="200"/>
        <w:outlineLvl w:val="1"/>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）若总分相同，则按最终报价得分高者优先中标。</w:t>
      </w:r>
    </w:p>
    <w:p>
      <w:pPr>
        <w:snapToGrid w:val="0"/>
        <w:spacing w:line="360" w:lineRule="auto"/>
        <w:ind w:firstLine="480" w:firstLineChars="200"/>
        <w:outlineLvl w:val="1"/>
        <w:rPr>
          <w:rFonts w:ascii="宋体"/>
          <w:dstrike/>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）若总分且最终报价得分相同，则采取现场抽签的方式确定（由投标供应商按递交响应文件签到顺序号抽签确定）。</w:t>
      </w:r>
    </w:p>
    <w:p>
      <w:pPr>
        <w:snapToGrid w:val="0"/>
        <w:spacing w:line="360" w:lineRule="auto"/>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、磋商评审时，评委对评审的细则若有争议，由磋商小组集体讨论确定，并对未尽情况有最终解释权。</w:t>
      </w:r>
    </w:p>
    <w:p>
      <w:pPr>
        <w:snapToGrid w:val="0"/>
        <w:spacing w:line="360" w:lineRule="auto"/>
        <w:ind w:firstLine="480" w:firstLineChars="200"/>
        <w:rPr>
          <w:rFonts w:ascii="宋体"/>
          <w:sz w:val="24"/>
          <w:szCs w:val="24"/>
        </w:rPr>
      </w:pPr>
      <w:r>
        <w:rPr>
          <w:rFonts w:ascii="宋体" w:hAnsi="宋体" w:cs="宋体"/>
          <w:sz w:val="24"/>
          <w:szCs w:val="24"/>
        </w:rPr>
        <w:t>9</w:t>
      </w:r>
      <w:r>
        <w:rPr>
          <w:rFonts w:hint="eastAsia" w:ascii="宋体" w:hAnsi="宋体" w:cs="宋体"/>
          <w:sz w:val="24"/>
          <w:szCs w:val="24"/>
        </w:rPr>
        <w:t>、对落标的供应商不做落标原因的解释。</w:t>
      </w:r>
    </w:p>
    <w:p>
      <w:pPr>
        <w:snapToGrid w:val="0"/>
        <w:spacing w:line="480" w:lineRule="exact"/>
        <w:ind w:firstLine="482" w:firstLineChars="200"/>
        <w:outlineLvl w:val="1"/>
        <w:rPr>
          <w:rFonts w:ascii="宋体"/>
          <w:b/>
          <w:bCs/>
          <w:sz w:val="24"/>
          <w:szCs w:val="24"/>
        </w:rPr>
      </w:pPr>
      <w:r>
        <w:rPr>
          <w:rFonts w:hint="eastAsia" w:ascii="宋体" w:hAnsi="宋体" w:cs="宋体"/>
          <w:b/>
          <w:bCs/>
          <w:sz w:val="24"/>
          <w:szCs w:val="24"/>
        </w:rPr>
        <w:t>五、关于投标价格评审</w:t>
      </w:r>
    </w:p>
    <w:p>
      <w:pPr>
        <w:snapToGrid w:val="0"/>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、针对投标价格实质响应的评审</w:t>
      </w:r>
    </w:p>
    <w:p>
      <w:pPr>
        <w:snapToGrid w:val="0"/>
        <w:spacing w:line="480" w:lineRule="exact"/>
        <w:ind w:firstLine="480" w:firstLineChars="200"/>
        <w:rPr>
          <w:rFonts w:ascii="宋体"/>
          <w:sz w:val="24"/>
          <w:szCs w:val="24"/>
        </w:rPr>
      </w:pPr>
      <w:r>
        <w:rPr>
          <w:rFonts w:hint="eastAsia" w:ascii="宋体" w:hAnsi="宋体" w:cs="宋体"/>
          <w:sz w:val="24"/>
          <w:szCs w:val="24"/>
        </w:rPr>
        <w:t>评标委员会将审查每份投标文件的商务报价是否实质上响应了招标文件的要求。实质上响应的投标应该是与招标文件要求的全部条款、条件和规格相符，没有重大偏离或保留。所谓重大偏离或保留是指实质上影响合同的供货范围、质量和性能，或者实质上与招标文件的要求不一致。纠正这些偏离或保留将会对其他实质上响应要求的投标人的竞争地位产生不公正的影响。如未实质上响应</w:t>
      </w:r>
      <w:r>
        <w:rPr>
          <w:rFonts w:ascii="宋体" w:hAnsi="宋体" w:cs="宋体"/>
          <w:sz w:val="24"/>
          <w:szCs w:val="24"/>
        </w:rPr>
        <w:t xml:space="preserve"> </w:t>
      </w:r>
      <w:r>
        <w:rPr>
          <w:rFonts w:hint="eastAsia" w:ascii="宋体" w:hAnsi="宋体" w:cs="宋体"/>
          <w:sz w:val="24"/>
          <w:szCs w:val="24"/>
        </w:rPr>
        <w:t>，则按无效投标处理。</w:t>
      </w:r>
    </w:p>
    <w:p>
      <w:pPr>
        <w:snapToGrid w:val="0"/>
        <w:spacing w:line="4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、针对投标价格合理性的评审</w:t>
      </w:r>
    </w:p>
    <w:p>
      <w:pPr>
        <w:snapToGrid w:val="0"/>
        <w:spacing w:line="480" w:lineRule="exact"/>
        <w:ind w:firstLine="480" w:firstLineChars="200"/>
        <w:rPr>
          <w:rFonts w:ascii="宋体"/>
          <w:color w:val="000000"/>
          <w:sz w:val="24"/>
          <w:szCs w:val="24"/>
        </w:rPr>
      </w:pPr>
      <w:r>
        <w:rPr>
          <w:rFonts w:hint="eastAsia" w:ascii="宋体" w:hAnsi="宋体" w:cs="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w:t>
      </w:r>
      <w:r>
        <w:rPr>
          <w:rFonts w:hint="eastAsia" w:ascii="宋体" w:hAnsi="宋体" w:cs="宋体"/>
          <w:color w:val="000000"/>
          <w:sz w:val="24"/>
          <w:szCs w:val="24"/>
        </w:rPr>
        <w:t>标处理。</w:t>
      </w:r>
    </w:p>
    <w:p>
      <w:pPr>
        <w:snapToGrid w:val="0"/>
        <w:spacing w:line="480" w:lineRule="exact"/>
        <w:ind w:firstLine="482" w:firstLineChars="200"/>
        <w:outlineLvl w:val="1"/>
        <w:rPr>
          <w:rFonts w:ascii="宋体"/>
          <w:b/>
          <w:bCs/>
          <w:sz w:val="24"/>
          <w:szCs w:val="24"/>
        </w:rPr>
      </w:pPr>
      <w:r>
        <w:rPr>
          <w:rFonts w:hint="eastAsia" w:ascii="宋体" w:hAnsi="宋体" w:cs="宋体"/>
          <w:b/>
          <w:bCs/>
          <w:color w:val="000000"/>
          <w:sz w:val="24"/>
          <w:szCs w:val="24"/>
        </w:rPr>
        <w:t>六、综合评分评审标准</w:t>
      </w:r>
    </w:p>
    <w:p>
      <w:pPr>
        <w:snapToGrid w:val="0"/>
        <w:spacing w:line="480" w:lineRule="exact"/>
        <w:ind w:firstLine="482" w:firstLineChars="200"/>
        <w:outlineLvl w:val="1"/>
        <w:rPr>
          <w:rFonts w:ascii="宋体"/>
          <w:b/>
          <w:bCs/>
          <w:sz w:val="24"/>
          <w:szCs w:val="24"/>
        </w:rPr>
      </w:pPr>
      <w:r>
        <w:rPr>
          <w:rFonts w:hint="eastAsia" w:cs="宋体"/>
          <w:b/>
          <w:bCs/>
          <w:color w:val="000000"/>
          <w:sz w:val="24"/>
          <w:szCs w:val="24"/>
        </w:rPr>
        <w:t>（一）技术</w:t>
      </w:r>
      <w:r>
        <w:rPr>
          <w:rFonts w:hint="eastAsia" w:cs="宋体"/>
          <w:b/>
          <w:bCs/>
          <w:sz w:val="24"/>
          <w:szCs w:val="24"/>
        </w:rPr>
        <w:t>响应文件评分</w:t>
      </w:r>
      <w:r>
        <w:rPr>
          <w:rFonts w:hint="eastAsia" w:ascii="宋体" w:hAnsi="宋体" w:cs="宋体"/>
          <w:b/>
          <w:bCs/>
          <w:sz w:val="24"/>
          <w:szCs w:val="24"/>
        </w:rPr>
        <w:t>（8</w:t>
      </w:r>
      <w:r>
        <w:rPr>
          <w:rFonts w:ascii="宋体" w:hAnsi="宋体" w:cs="宋体"/>
          <w:b/>
          <w:bCs/>
          <w:sz w:val="24"/>
          <w:szCs w:val="24"/>
        </w:rPr>
        <w:t>0</w:t>
      </w:r>
      <w:r>
        <w:rPr>
          <w:rFonts w:hint="eastAsia" w:ascii="宋体" w:hAnsi="宋体" w:cs="宋体"/>
          <w:b/>
          <w:bCs/>
          <w:sz w:val="24"/>
          <w:szCs w:val="24"/>
        </w:rPr>
        <w:t>分）</w:t>
      </w:r>
    </w:p>
    <w:tbl>
      <w:tblPr>
        <w:tblStyle w:val="52"/>
        <w:tblpPr w:leftFromText="180" w:rightFromText="180" w:vertAnchor="page" w:horzAnchor="page" w:tblpX="1849" w:tblpY="15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054"/>
        <w:gridCol w:w="903"/>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57" w:type="dxa"/>
            <w:vAlign w:val="center"/>
          </w:tcPr>
          <w:p>
            <w:pPr>
              <w:jc w:val="center"/>
              <w:rPr>
                <w:rFonts w:ascii="仿宋" w:hAnsi="仿宋" w:eastAsia="仿宋"/>
                <w:b/>
                <w:bCs/>
                <w:sz w:val="24"/>
              </w:rPr>
            </w:pPr>
            <w:r>
              <w:rPr>
                <w:rFonts w:hint="eastAsia" w:ascii="仿宋" w:hAnsi="仿宋" w:eastAsia="仿宋"/>
                <w:b/>
                <w:bCs/>
                <w:sz w:val="24"/>
              </w:rPr>
              <w:t>序号</w:t>
            </w:r>
          </w:p>
        </w:tc>
        <w:tc>
          <w:tcPr>
            <w:tcW w:w="1054" w:type="dxa"/>
            <w:vAlign w:val="center"/>
          </w:tcPr>
          <w:p>
            <w:pPr>
              <w:jc w:val="center"/>
              <w:rPr>
                <w:rFonts w:ascii="仿宋" w:hAnsi="仿宋" w:eastAsia="仿宋"/>
                <w:b/>
                <w:bCs/>
                <w:sz w:val="24"/>
              </w:rPr>
            </w:pPr>
            <w:r>
              <w:rPr>
                <w:rFonts w:hint="eastAsia" w:ascii="仿宋" w:hAnsi="仿宋" w:eastAsia="仿宋"/>
                <w:b/>
                <w:bCs/>
                <w:sz w:val="24"/>
              </w:rPr>
              <w:t>评分项</w:t>
            </w:r>
          </w:p>
        </w:tc>
        <w:tc>
          <w:tcPr>
            <w:tcW w:w="903" w:type="dxa"/>
            <w:vAlign w:val="center"/>
          </w:tcPr>
          <w:p>
            <w:pPr>
              <w:jc w:val="center"/>
              <w:rPr>
                <w:rFonts w:ascii="仿宋" w:hAnsi="仿宋" w:eastAsia="仿宋"/>
                <w:b/>
                <w:bCs/>
                <w:sz w:val="24"/>
              </w:rPr>
            </w:pPr>
            <w:r>
              <w:rPr>
                <w:rFonts w:hint="eastAsia" w:ascii="仿宋" w:hAnsi="仿宋" w:eastAsia="仿宋"/>
                <w:b/>
                <w:bCs/>
                <w:sz w:val="24"/>
              </w:rPr>
              <w:t>分值</w:t>
            </w:r>
          </w:p>
        </w:tc>
        <w:tc>
          <w:tcPr>
            <w:tcW w:w="6008" w:type="dxa"/>
            <w:vAlign w:val="center"/>
          </w:tcPr>
          <w:p>
            <w:pPr>
              <w:jc w:val="center"/>
              <w:rPr>
                <w:rFonts w:ascii="仿宋" w:hAnsi="仿宋" w:eastAsia="仿宋"/>
                <w:b/>
                <w:bCs/>
                <w:sz w:val="24"/>
              </w:rPr>
            </w:pPr>
            <w:r>
              <w:rPr>
                <w:rFonts w:hint="eastAsia" w:ascii="仿宋" w:hAnsi="仿宋" w:eastAsia="仿宋"/>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仿宋" w:hAnsi="仿宋" w:eastAsia="仿宋"/>
                <w:sz w:val="24"/>
              </w:rPr>
            </w:pPr>
            <w:r>
              <w:rPr>
                <w:rFonts w:hint="eastAsia" w:ascii="仿宋" w:hAnsi="仿宋" w:eastAsia="仿宋"/>
                <w:sz w:val="24"/>
              </w:rPr>
              <w:t>1</w:t>
            </w:r>
          </w:p>
        </w:tc>
        <w:tc>
          <w:tcPr>
            <w:tcW w:w="1054" w:type="dxa"/>
            <w:vAlign w:val="center"/>
          </w:tcPr>
          <w:p>
            <w:pPr>
              <w:jc w:val="center"/>
              <w:rPr>
                <w:rFonts w:ascii="仿宋" w:hAnsi="仿宋" w:eastAsia="仿宋"/>
                <w:sz w:val="24"/>
              </w:rPr>
            </w:pPr>
            <w:r>
              <w:rPr>
                <w:rFonts w:hint="eastAsia" w:ascii="仿宋" w:hAnsi="仿宋" w:eastAsia="仿宋"/>
                <w:sz w:val="24"/>
              </w:rPr>
              <w:t>案例业绩</w:t>
            </w:r>
          </w:p>
        </w:tc>
        <w:tc>
          <w:tcPr>
            <w:tcW w:w="903" w:type="dxa"/>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5</w:t>
            </w:r>
          </w:p>
        </w:tc>
        <w:tc>
          <w:tcPr>
            <w:tcW w:w="6008" w:type="dxa"/>
          </w:tcPr>
          <w:p>
            <w:pPr>
              <w:pStyle w:val="117"/>
              <w:ind w:firstLine="0" w:firstLineChars="0"/>
              <w:rPr>
                <w:rFonts w:ascii="仿宋" w:hAnsi="仿宋" w:eastAsia="仿宋"/>
                <w:sz w:val="24"/>
                <w:szCs w:val="24"/>
              </w:rPr>
            </w:pPr>
            <w:r>
              <w:rPr>
                <w:rFonts w:hint="eastAsia" w:ascii="仿宋" w:hAnsi="仿宋" w:eastAsia="仿宋"/>
                <w:sz w:val="24"/>
                <w:szCs w:val="24"/>
              </w:rPr>
              <w:t>供应商提供近三年（2021年1月1日以来）承担过相关运维案例，提供合同复印件，每提供一份得5分，本项最多得15分，不提供的不得分。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仿宋" w:hAnsi="仿宋" w:eastAsia="仿宋"/>
                <w:sz w:val="24"/>
              </w:rPr>
            </w:pPr>
            <w:r>
              <w:rPr>
                <w:rFonts w:hint="eastAsia" w:ascii="仿宋" w:hAnsi="仿宋" w:eastAsia="仿宋"/>
                <w:sz w:val="24"/>
              </w:rPr>
              <w:t>2</w:t>
            </w:r>
          </w:p>
        </w:tc>
        <w:tc>
          <w:tcPr>
            <w:tcW w:w="1054" w:type="dxa"/>
            <w:vAlign w:val="center"/>
          </w:tcPr>
          <w:p>
            <w:pPr>
              <w:jc w:val="center"/>
              <w:rPr>
                <w:rFonts w:ascii="仿宋" w:hAnsi="仿宋" w:eastAsia="仿宋"/>
                <w:sz w:val="24"/>
              </w:rPr>
            </w:pPr>
            <w:r>
              <w:rPr>
                <w:rFonts w:hint="eastAsia" w:ascii="仿宋" w:hAnsi="仿宋" w:eastAsia="仿宋"/>
                <w:sz w:val="24"/>
              </w:rPr>
              <w:t>服务方案</w:t>
            </w:r>
          </w:p>
        </w:tc>
        <w:tc>
          <w:tcPr>
            <w:tcW w:w="903" w:type="dxa"/>
            <w:vAlign w:val="center"/>
          </w:tcPr>
          <w:p>
            <w:pPr>
              <w:jc w:val="center"/>
              <w:rPr>
                <w:rFonts w:ascii="仿宋" w:hAnsi="仿宋" w:eastAsia="仿宋"/>
                <w:sz w:val="24"/>
              </w:rPr>
            </w:pPr>
            <w:r>
              <w:rPr>
                <w:rFonts w:hint="eastAsia" w:ascii="仿宋" w:hAnsi="仿宋" w:eastAsia="仿宋"/>
                <w:sz w:val="24"/>
              </w:rPr>
              <w:t>30</w:t>
            </w:r>
          </w:p>
        </w:tc>
        <w:tc>
          <w:tcPr>
            <w:tcW w:w="6008" w:type="dxa"/>
          </w:tcPr>
          <w:p>
            <w:pPr>
              <w:ind w:firstLine="240" w:firstLineChars="100"/>
              <w:rPr>
                <w:rFonts w:ascii="仿宋" w:hAnsi="仿宋" w:eastAsia="仿宋"/>
                <w:sz w:val="24"/>
              </w:rPr>
            </w:pPr>
            <w:r>
              <w:rPr>
                <w:rFonts w:hint="eastAsia" w:ascii="仿宋" w:hAnsi="仿宋" w:eastAsia="仿宋"/>
                <w:sz w:val="24"/>
              </w:rPr>
              <w:t>针对项目需求制定详细的服务方案，详细描述各阶段的项目进度安排、工作计划及保障</w:t>
            </w:r>
            <w:r>
              <w:rPr>
                <w:rFonts w:hint="eastAsia" w:ascii="仿宋" w:hAnsi="仿宋" w:eastAsia="仿宋"/>
                <w:color w:val="auto"/>
                <w:sz w:val="24"/>
              </w:rPr>
              <w:t>措施。因本平台涉及与省厅平台、市域治理指挥中心对接，方案中需有相关描述。方案全面具体、具有较强的科学性与</w:t>
            </w:r>
            <w:r>
              <w:rPr>
                <w:rFonts w:hint="eastAsia" w:ascii="仿宋" w:hAnsi="仿宋" w:eastAsia="仿宋"/>
                <w:sz w:val="24"/>
              </w:rPr>
              <w:t>实际可操作性的得2</w:t>
            </w:r>
            <w:r>
              <w:rPr>
                <w:rFonts w:ascii="仿宋" w:hAnsi="仿宋" w:eastAsia="仿宋"/>
                <w:sz w:val="24"/>
              </w:rPr>
              <w:t>1-</w:t>
            </w:r>
            <w:r>
              <w:rPr>
                <w:rFonts w:hint="eastAsia" w:ascii="仿宋" w:hAnsi="仿宋" w:eastAsia="仿宋"/>
                <w:sz w:val="24"/>
              </w:rPr>
              <w:t>3</w:t>
            </w:r>
            <w:r>
              <w:rPr>
                <w:rFonts w:ascii="仿宋" w:hAnsi="仿宋" w:eastAsia="仿宋"/>
                <w:sz w:val="24"/>
              </w:rPr>
              <w:t>0</w:t>
            </w:r>
            <w:r>
              <w:rPr>
                <w:rFonts w:hint="eastAsia" w:ascii="仿宋" w:hAnsi="仿宋" w:eastAsia="仿宋"/>
                <w:sz w:val="24"/>
              </w:rPr>
              <w:t>分；较为全面、具有一定科学性与实际可操作性的得1</w:t>
            </w:r>
            <w:r>
              <w:rPr>
                <w:rFonts w:ascii="仿宋" w:hAnsi="仿宋" w:eastAsia="仿宋"/>
                <w:sz w:val="24"/>
              </w:rPr>
              <w:t>1-20</w:t>
            </w:r>
            <w:r>
              <w:rPr>
                <w:rFonts w:hint="eastAsia" w:ascii="仿宋" w:hAnsi="仿宋" w:eastAsia="仿宋"/>
                <w:sz w:val="24"/>
              </w:rPr>
              <w:t>分；不够全面、科学性与操作性一般的得1</w:t>
            </w:r>
            <w:r>
              <w:rPr>
                <w:rFonts w:ascii="仿宋" w:hAnsi="仿宋" w:eastAsia="仿宋"/>
                <w:sz w:val="24"/>
              </w:rPr>
              <w:t>-10</w:t>
            </w:r>
            <w:r>
              <w:rPr>
                <w:rFonts w:hint="eastAsia" w:ascii="仿宋" w:hAnsi="仿宋" w:eastAsia="仿宋"/>
                <w:sz w:val="24"/>
              </w:rPr>
              <w:t>分；未表述的不得分。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仿宋" w:hAnsi="仿宋" w:eastAsia="仿宋"/>
                <w:sz w:val="24"/>
              </w:rPr>
            </w:pPr>
            <w:r>
              <w:rPr>
                <w:rFonts w:hint="eastAsia" w:ascii="仿宋" w:hAnsi="仿宋" w:eastAsia="仿宋"/>
                <w:sz w:val="24"/>
              </w:rPr>
              <w:t>3</w:t>
            </w:r>
          </w:p>
        </w:tc>
        <w:tc>
          <w:tcPr>
            <w:tcW w:w="1054" w:type="dxa"/>
            <w:vAlign w:val="center"/>
          </w:tcPr>
          <w:p>
            <w:pPr>
              <w:jc w:val="center"/>
              <w:rPr>
                <w:rFonts w:ascii="仿宋" w:hAnsi="仿宋" w:eastAsia="仿宋"/>
                <w:sz w:val="24"/>
              </w:rPr>
            </w:pPr>
            <w:r>
              <w:rPr>
                <w:rFonts w:hint="eastAsia" w:ascii="仿宋" w:hAnsi="仿宋" w:eastAsia="仿宋"/>
                <w:sz w:val="24"/>
              </w:rPr>
              <w:t>本地服务能力</w:t>
            </w:r>
          </w:p>
        </w:tc>
        <w:tc>
          <w:tcPr>
            <w:tcW w:w="903" w:type="dxa"/>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2</w:t>
            </w:r>
          </w:p>
        </w:tc>
        <w:tc>
          <w:tcPr>
            <w:tcW w:w="6008" w:type="dxa"/>
          </w:tcPr>
          <w:p>
            <w:pPr>
              <w:ind w:firstLine="480" w:firstLineChars="200"/>
              <w:rPr>
                <w:rFonts w:ascii="仿宋" w:hAnsi="仿宋" w:eastAsia="仿宋"/>
                <w:sz w:val="24"/>
              </w:rPr>
            </w:pPr>
            <w:r>
              <w:rPr>
                <w:rFonts w:hint="eastAsia" w:ascii="仿宋" w:hAnsi="仿宋" w:eastAsia="仿宋"/>
                <w:sz w:val="24"/>
              </w:rPr>
              <w:t>为能提供高效的服务，供应商需承诺可提供本地化运维及技术支持，中标后签订合同前在本地设立办事处。提供承诺函得1</w:t>
            </w:r>
            <w:r>
              <w:rPr>
                <w:rFonts w:ascii="仿宋" w:hAnsi="仿宋" w:eastAsia="仿宋"/>
                <w:sz w:val="24"/>
              </w:rPr>
              <w:t>2</w:t>
            </w:r>
            <w:r>
              <w:rPr>
                <w:rFonts w:hint="eastAsia" w:ascii="仿宋" w:hAnsi="仿宋" w:eastAsia="仿宋"/>
                <w:sz w:val="24"/>
              </w:rPr>
              <w:t>分，未提供不得分</w:t>
            </w:r>
            <w:r>
              <w:rPr>
                <w:rFonts w:ascii="仿宋" w:hAnsi="仿宋" w:eastAsia="仿宋"/>
                <w:sz w:val="24"/>
              </w:rPr>
              <w:t>。</w:t>
            </w:r>
            <w:r>
              <w:rPr>
                <w:rFonts w:hint="eastAsia" w:ascii="仿宋" w:hAnsi="仿宋" w:eastAsia="仿宋"/>
                <w:sz w:val="24"/>
              </w:rPr>
              <w:t>（承诺函格式自拟）</w:t>
            </w:r>
          </w:p>
          <w:p>
            <w:pPr>
              <w:ind w:firstLine="480" w:firstLineChars="200"/>
              <w:rPr>
                <w:rFonts w:ascii="仿宋" w:hAnsi="仿宋" w:eastAsia="仿宋"/>
                <w:sz w:val="24"/>
              </w:rPr>
            </w:pPr>
            <w:r>
              <w:rPr>
                <w:rFonts w:hint="eastAsia" w:ascii="仿宋" w:hAnsi="仿宋" w:eastAsia="仿宋"/>
                <w:sz w:val="24"/>
                <w:highlight w:val="none"/>
              </w:rPr>
              <w:t>中标后如未能按履行承诺，则视为放弃中标资格。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757" w:type="dxa"/>
            <w:vAlign w:val="center"/>
          </w:tcPr>
          <w:p>
            <w:pPr>
              <w:jc w:val="center"/>
              <w:rPr>
                <w:rFonts w:ascii="仿宋" w:hAnsi="仿宋" w:eastAsia="仿宋"/>
                <w:sz w:val="24"/>
              </w:rPr>
            </w:pPr>
            <w:r>
              <w:rPr>
                <w:rFonts w:hint="eastAsia" w:ascii="仿宋" w:hAnsi="仿宋" w:eastAsia="仿宋"/>
                <w:sz w:val="24"/>
              </w:rPr>
              <w:t>4</w:t>
            </w:r>
          </w:p>
        </w:tc>
        <w:tc>
          <w:tcPr>
            <w:tcW w:w="1054" w:type="dxa"/>
            <w:vAlign w:val="center"/>
          </w:tcPr>
          <w:p>
            <w:pPr>
              <w:jc w:val="center"/>
              <w:rPr>
                <w:rFonts w:ascii="仿宋" w:hAnsi="仿宋" w:eastAsia="仿宋"/>
                <w:sz w:val="24"/>
              </w:rPr>
            </w:pPr>
            <w:r>
              <w:rPr>
                <w:rFonts w:hint="eastAsia" w:ascii="仿宋" w:hAnsi="仿宋" w:eastAsia="仿宋"/>
                <w:sz w:val="24"/>
              </w:rPr>
              <w:t>供应商能力</w:t>
            </w:r>
          </w:p>
        </w:tc>
        <w:tc>
          <w:tcPr>
            <w:tcW w:w="903" w:type="dxa"/>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4</w:t>
            </w:r>
          </w:p>
        </w:tc>
        <w:tc>
          <w:tcPr>
            <w:tcW w:w="6008" w:type="dxa"/>
          </w:tcPr>
          <w:p>
            <w:pPr>
              <w:ind w:firstLine="480" w:firstLineChars="200"/>
              <w:rPr>
                <w:rFonts w:ascii="仿宋" w:hAnsi="仿宋" w:eastAsia="仿宋"/>
                <w:sz w:val="24"/>
              </w:rPr>
            </w:pPr>
            <w:r>
              <w:rPr>
                <w:rFonts w:hint="eastAsia" w:ascii="仿宋" w:hAnsi="仿宋" w:eastAsia="仿宋"/>
                <w:sz w:val="24"/>
              </w:rPr>
              <w:t>供应商具有与本项目相适应的软件著作权证书的，每提供一个证书得2</w:t>
            </w:r>
            <w:r>
              <w:rPr>
                <w:rFonts w:ascii="仿宋" w:hAnsi="仿宋" w:eastAsia="仿宋"/>
                <w:sz w:val="24"/>
              </w:rPr>
              <w:t>分，本项最高得</w:t>
            </w:r>
            <w:r>
              <w:rPr>
                <w:rFonts w:hint="eastAsia" w:ascii="仿宋" w:hAnsi="仿宋" w:eastAsia="仿宋"/>
                <w:sz w:val="24"/>
              </w:rPr>
              <w:t>1</w:t>
            </w:r>
            <w:r>
              <w:rPr>
                <w:rFonts w:ascii="仿宋" w:hAnsi="仿宋" w:eastAsia="仿宋"/>
                <w:sz w:val="24"/>
              </w:rPr>
              <w:t>4分。提供软著证书复印件。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jc w:val="center"/>
              <w:rPr>
                <w:rFonts w:ascii="仿宋" w:hAnsi="仿宋" w:eastAsia="仿宋"/>
                <w:sz w:val="24"/>
              </w:rPr>
            </w:pPr>
            <w:r>
              <w:rPr>
                <w:rFonts w:hint="eastAsia" w:ascii="仿宋" w:hAnsi="仿宋" w:eastAsia="仿宋"/>
                <w:sz w:val="24"/>
              </w:rPr>
              <w:t>5</w:t>
            </w:r>
          </w:p>
        </w:tc>
        <w:tc>
          <w:tcPr>
            <w:tcW w:w="1054" w:type="dxa"/>
            <w:vAlign w:val="center"/>
          </w:tcPr>
          <w:p>
            <w:pPr>
              <w:jc w:val="center"/>
              <w:rPr>
                <w:rFonts w:ascii="仿宋" w:hAnsi="仿宋" w:eastAsia="仿宋"/>
                <w:sz w:val="24"/>
              </w:rPr>
            </w:pPr>
            <w:r>
              <w:rPr>
                <w:rFonts w:hint="eastAsia" w:ascii="仿宋" w:hAnsi="仿宋" w:eastAsia="仿宋"/>
                <w:sz w:val="24"/>
              </w:rPr>
              <w:t>售后服务</w:t>
            </w:r>
          </w:p>
        </w:tc>
        <w:tc>
          <w:tcPr>
            <w:tcW w:w="903" w:type="dxa"/>
            <w:vAlign w:val="center"/>
          </w:tcPr>
          <w:p>
            <w:pPr>
              <w:jc w:val="center"/>
              <w:rPr>
                <w:rFonts w:ascii="仿宋" w:hAnsi="仿宋" w:eastAsia="仿宋"/>
                <w:sz w:val="24"/>
              </w:rPr>
            </w:pPr>
            <w:r>
              <w:rPr>
                <w:rFonts w:hint="eastAsia" w:ascii="仿宋" w:hAnsi="仿宋" w:eastAsia="仿宋"/>
                <w:sz w:val="24"/>
              </w:rPr>
              <w:t>9</w:t>
            </w:r>
          </w:p>
        </w:tc>
        <w:tc>
          <w:tcPr>
            <w:tcW w:w="6008" w:type="dxa"/>
          </w:tcPr>
          <w:p>
            <w:pPr>
              <w:pStyle w:val="117"/>
              <w:ind w:firstLine="0" w:firstLineChars="0"/>
              <w:rPr>
                <w:rFonts w:ascii="仿宋" w:hAnsi="仿宋" w:eastAsia="仿宋"/>
                <w:sz w:val="24"/>
                <w:szCs w:val="24"/>
              </w:rPr>
            </w:pPr>
            <w:r>
              <w:rPr>
                <w:rFonts w:hint="eastAsia" w:ascii="仿宋" w:hAnsi="仿宋" w:eastAsia="仿宋"/>
                <w:sz w:val="24"/>
                <w:szCs w:val="24"/>
              </w:rPr>
              <w:t>1.提供详细的售后服务方案，方案详细、可行性强的并承诺可根据采购人要求调整方案的得6分；较为详细、可行性较强的并承诺可根据采购人要求调整方案的得</w:t>
            </w:r>
            <w:r>
              <w:rPr>
                <w:rFonts w:ascii="仿宋" w:hAnsi="仿宋" w:eastAsia="仿宋"/>
                <w:sz w:val="24"/>
                <w:szCs w:val="24"/>
              </w:rPr>
              <w:t>4</w:t>
            </w:r>
            <w:r>
              <w:rPr>
                <w:rFonts w:hint="eastAsia" w:ascii="仿宋" w:hAnsi="仿宋" w:eastAsia="仿宋"/>
                <w:sz w:val="24"/>
                <w:szCs w:val="24"/>
              </w:rPr>
              <w:t>分；不详细、可行性较差的并承诺可根据采购人要求调整方案的得</w:t>
            </w:r>
            <w:r>
              <w:rPr>
                <w:rFonts w:ascii="仿宋" w:hAnsi="仿宋" w:eastAsia="仿宋"/>
                <w:sz w:val="24"/>
                <w:szCs w:val="24"/>
              </w:rPr>
              <w:t>2</w:t>
            </w:r>
            <w:r>
              <w:rPr>
                <w:rFonts w:hint="eastAsia" w:ascii="仿宋" w:hAnsi="仿宋" w:eastAsia="仿宋"/>
                <w:sz w:val="24"/>
                <w:szCs w:val="24"/>
              </w:rPr>
              <w:t>分；未表述本项不得分；</w:t>
            </w:r>
          </w:p>
          <w:p>
            <w:pPr>
              <w:pStyle w:val="117"/>
              <w:ind w:firstLine="0" w:firstLineChars="0"/>
              <w:rPr>
                <w:rFonts w:ascii="仿宋" w:hAnsi="仿宋" w:eastAsia="仿宋"/>
                <w:sz w:val="24"/>
                <w:szCs w:val="24"/>
              </w:rPr>
            </w:pPr>
            <w:r>
              <w:rPr>
                <w:rFonts w:hint="eastAsia" w:ascii="仿宋" w:hAnsi="仿宋" w:eastAsia="仿宋"/>
                <w:sz w:val="24"/>
                <w:szCs w:val="24"/>
              </w:rPr>
              <w:t>2.供应商承诺半小时内响应，2小时内到达现场以及4小时内处理完问题的得3分，否则做无效标处理。（提供承诺函并加盖供应商公章）</w:t>
            </w:r>
          </w:p>
        </w:tc>
      </w:tr>
    </w:tbl>
    <w:p>
      <w:pPr>
        <w:snapToGrid w:val="0"/>
        <w:spacing w:line="360" w:lineRule="auto"/>
        <w:ind w:firstLine="482" w:firstLineChars="200"/>
        <w:rPr>
          <w:rFonts w:ascii="宋体"/>
          <w:b/>
          <w:sz w:val="24"/>
          <w:szCs w:val="24"/>
        </w:rPr>
      </w:pPr>
      <w:r>
        <w:rPr>
          <w:rFonts w:hint="eastAsia" w:ascii="宋体" w:hAnsi="宋体" w:cs="宋体"/>
          <w:b/>
          <w:sz w:val="24"/>
          <w:szCs w:val="24"/>
        </w:rPr>
        <w:t>（二）商务报价响应评分：（2</w:t>
      </w:r>
      <w:r>
        <w:rPr>
          <w:rFonts w:ascii="宋体" w:hAnsi="宋体" w:cs="宋体"/>
          <w:b/>
          <w:sz w:val="24"/>
          <w:szCs w:val="24"/>
        </w:rPr>
        <w:t>0</w:t>
      </w:r>
      <w:r>
        <w:rPr>
          <w:rFonts w:hint="eastAsia" w:ascii="宋体" w:hAnsi="宋体" w:cs="宋体"/>
          <w:b/>
          <w:sz w:val="24"/>
          <w:szCs w:val="24"/>
        </w:rPr>
        <w:t>分）</w:t>
      </w:r>
    </w:p>
    <w:p>
      <w:pPr>
        <w:snapToGrid w:val="0"/>
        <w:spacing w:line="360"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、本次项目最高限价：</w:t>
      </w:r>
      <w:r>
        <w:rPr>
          <w:rFonts w:hint="eastAsia"/>
          <w:b/>
          <w:bCs/>
          <w:sz w:val="24"/>
          <w:szCs w:val="24"/>
        </w:rPr>
        <w:t>34.4万元</w:t>
      </w:r>
      <w:r>
        <w:rPr>
          <w:rFonts w:hint="eastAsia" w:ascii="宋体" w:hAnsi="宋体" w:cs="宋体"/>
          <w:b/>
          <w:bCs/>
          <w:sz w:val="24"/>
          <w:szCs w:val="24"/>
        </w:rPr>
        <w:t>，超过或等于限价作无效标处理。</w:t>
      </w:r>
    </w:p>
    <w:p>
      <w:pPr>
        <w:snapToGrid w:val="0"/>
        <w:spacing w:line="360" w:lineRule="auto"/>
        <w:ind w:firstLine="480" w:firstLineChars="200"/>
        <w:rPr>
          <w:rFonts w:ascii="宋体"/>
          <w:sz w:val="24"/>
          <w:szCs w:val="24"/>
        </w:rPr>
      </w:pPr>
      <w:r>
        <w:rPr>
          <w:rFonts w:hint="eastAsia" w:ascii="宋体" w:hAnsi="宋体" w:cs="宋体"/>
          <w:sz w:val="24"/>
          <w:szCs w:val="24"/>
        </w:rPr>
        <w:t>满足磋商文件要求且最后报价最低的供应商的价格为磋商基准价，其商务报价</w:t>
      </w:r>
      <w:r>
        <w:rPr>
          <w:rFonts w:hint="eastAsia" w:ascii="宋体" w:hAnsi="宋体" w:cs="宋体"/>
          <w:kern w:val="0"/>
          <w:sz w:val="24"/>
          <w:szCs w:val="24"/>
        </w:rPr>
        <w:t>响应</w:t>
      </w:r>
      <w:r>
        <w:rPr>
          <w:rFonts w:hint="eastAsia" w:ascii="宋体" w:hAnsi="宋体" w:cs="宋体"/>
          <w:sz w:val="24"/>
          <w:szCs w:val="24"/>
        </w:rPr>
        <w:t>分为满分2</w:t>
      </w:r>
      <w:r>
        <w:rPr>
          <w:rFonts w:ascii="宋体" w:hAnsi="宋体" w:cs="宋体"/>
          <w:sz w:val="24"/>
          <w:szCs w:val="24"/>
        </w:rPr>
        <w:t>0</w:t>
      </w:r>
      <w:r>
        <w:rPr>
          <w:rFonts w:hint="eastAsia" w:ascii="宋体" w:hAnsi="宋体" w:cs="宋体"/>
          <w:sz w:val="24"/>
          <w:szCs w:val="24"/>
        </w:rPr>
        <w:t>分。其他供应商的商务报价</w:t>
      </w:r>
      <w:r>
        <w:rPr>
          <w:rFonts w:hint="eastAsia" w:ascii="宋体" w:hAnsi="宋体" w:cs="宋体"/>
          <w:kern w:val="0"/>
          <w:sz w:val="24"/>
          <w:szCs w:val="24"/>
        </w:rPr>
        <w:t>响应</w:t>
      </w:r>
      <w:r>
        <w:rPr>
          <w:rFonts w:hint="eastAsia" w:ascii="宋体" w:hAnsi="宋体" w:cs="宋体"/>
          <w:sz w:val="24"/>
          <w:szCs w:val="24"/>
        </w:rPr>
        <w:t>分统一按照下列公式计算：</w:t>
      </w:r>
    </w:p>
    <w:p>
      <w:pPr>
        <w:snapToGrid w:val="0"/>
        <w:spacing w:line="360" w:lineRule="auto"/>
        <w:ind w:firstLine="482" w:firstLineChars="200"/>
        <w:rPr>
          <w:rFonts w:ascii="宋体" w:cs="宋体"/>
          <w:b/>
          <w:bCs/>
          <w:sz w:val="24"/>
          <w:szCs w:val="24"/>
        </w:rPr>
      </w:pPr>
      <w:r>
        <w:rPr>
          <w:rFonts w:hint="eastAsia" w:ascii="宋体" w:hAnsi="宋体" w:cs="宋体"/>
          <w:b/>
          <w:bCs/>
          <w:sz w:val="24"/>
          <w:szCs w:val="24"/>
        </w:rPr>
        <w:t>商务报价</w:t>
      </w:r>
      <w:r>
        <w:rPr>
          <w:rFonts w:hint="eastAsia" w:ascii="宋体" w:hAnsi="宋体" w:cs="宋体"/>
          <w:b/>
          <w:bCs/>
          <w:kern w:val="0"/>
          <w:sz w:val="24"/>
          <w:szCs w:val="24"/>
        </w:rPr>
        <w:t>响应</w:t>
      </w:r>
      <w:r>
        <w:rPr>
          <w:rFonts w:hint="eastAsia" w:ascii="宋体" w:hAnsi="宋体" w:cs="宋体"/>
          <w:b/>
          <w:bCs/>
          <w:sz w:val="24"/>
          <w:szCs w:val="24"/>
        </w:rPr>
        <w:t>分</w:t>
      </w:r>
      <w:r>
        <w:rPr>
          <w:rFonts w:ascii="宋体" w:hAnsi="宋体" w:cs="宋体"/>
          <w:b/>
          <w:bCs/>
          <w:sz w:val="24"/>
          <w:szCs w:val="24"/>
        </w:rPr>
        <w:t xml:space="preserve"> =</w:t>
      </w:r>
      <w:r>
        <w:rPr>
          <w:rFonts w:hint="eastAsia" w:ascii="宋体" w:hAnsi="宋体" w:cs="宋体"/>
          <w:b/>
          <w:bCs/>
          <w:sz w:val="24"/>
          <w:szCs w:val="24"/>
        </w:rPr>
        <w:t>（磋商基准价</w:t>
      </w:r>
      <w:r>
        <w:rPr>
          <w:rFonts w:ascii="宋体" w:hAnsi="宋体" w:cs="宋体"/>
          <w:b/>
          <w:bCs/>
          <w:sz w:val="24"/>
          <w:szCs w:val="24"/>
        </w:rPr>
        <w:t>/</w:t>
      </w:r>
      <w:r>
        <w:rPr>
          <w:rFonts w:hint="eastAsia" w:ascii="宋体" w:hAnsi="宋体" w:cs="宋体"/>
          <w:b/>
          <w:bCs/>
          <w:sz w:val="24"/>
          <w:szCs w:val="24"/>
        </w:rPr>
        <w:t>最后磋商报价）×2</w:t>
      </w:r>
      <w:r>
        <w:rPr>
          <w:rFonts w:ascii="宋体" w:hAnsi="宋体" w:cs="宋体"/>
          <w:b/>
          <w:bCs/>
          <w:sz w:val="24"/>
          <w:szCs w:val="24"/>
        </w:rPr>
        <w:t>0%</w:t>
      </w:r>
      <w:r>
        <w:rPr>
          <w:rFonts w:hint="eastAsia" w:ascii="宋体" w:hAnsi="宋体" w:cs="宋体"/>
          <w:b/>
          <w:bCs/>
          <w:sz w:val="24"/>
          <w:szCs w:val="24"/>
        </w:rPr>
        <w:t>×</w:t>
      </w:r>
      <w:r>
        <w:rPr>
          <w:rFonts w:ascii="宋体" w:hAnsi="宋体" w:cs="宋体"/>
          <w:b/>
          <w:bCs/>
          <w:sz w:val="24"/>
          <w:szCs w:val="24"/>
        </w:rPr>
        <w:t>100</w:t>
      </w:r>
    </w:p>
    <w:p>
      <w:pPr>
        <w:snapToGrid w:val="0"/>
        <w:spacing w:line="360" w:lineRule="auto"/>
        <w:ind w:firstLine="482" w:firstLineChars="200"/>
        <w:outlineLvl w:val="1"/>
        <w:rPr>
          <w:rFonts w:ascii="宋体"/>
          <w:b/>
          <w:bCs/>
          <w:sz w:val="24"/>
          <w:szCs w:val="24"/>
        </w:rPr>
      </w:pPr>
      <w:r>
        <w:rPr>
          <w:rFonts w:hint="eastAsia" w:ascii="宋体" w:hAnsi="宋体" w:cs="仿宋"/>
          <w:b/>
          <w:sz w:val="24"/>
          <w:szCs w:val="24"/>
        </w:rPr>
        <w:t>七、</w:t>
      </w:r>
      <w:r>
        <w:rPr>
          <w:rFonts w:hint="eastAsia" w:ascii="宋体" w:hAnsi="宋体" w:cs="宋体"/>
          <w:b/>
          <w:bCs/>
          <w:sz w:val="24"/>
          <w:szCs w:val="24"/>
        </w:rPr>
        <w:t>出现下列情形之一的，作无效标处理</w:t>
      </w:r>
    </w:p>
    <w:p>
      <w:pPr>
        <w:snapToGrid w:val="0"/>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、响应文件未按磋商文件要求装订、密封、签署、盖章及主要资料不齐全的；</w:t>
      </w:r>
    </w:p>
    <w:p>
      <w:pPr>
        <w:snapToGrid w:val="0"/>
        <w:spacing w:line="360" w:lineRule="auto"/>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、响应文件的资料有虚报或者谎报的；</w:t>
      </w:r>
    </w:p>
    <w:p>
      <w:pPr>
        <w:snapToGrid w:val="0"/>
        <w:spacing w:line="360" w:lineRule="auto"/>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、响应文件中资格审查文件及技术响应文件出现磋商报价的内容；</w:t>
      </w:r>
    </w:p>
    <w:p>
      <w:pPr>
        <w:snapToGrid w:val="0"/>
        <w:spacing w:line="360" w:lineRule="auto"/>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、不具备磋商文件规定的资格要求的；</w:t>
      </w:r>
    </w:p>
    <w:p>
      <w:pPr>
        <w:snapToGrid w:val="0"/>
        <w:spacing w:line="360" w:lineRule="auto"/>
        <w:ind w:firstLine="480" w:firstLineChars="200"/>
        <w:rPr>
          <w:rFonts w:ascii="宋体" w:cs="宋体"/>
          <w:sz w:val="24"/>
          <w:szCs w:val="24"/>
        </w:rPr>
      </w:pPr>
      <w:r>
        <w:rPr>
          <w:rFonts w:ascii="宋体" w:hAnsi="宋体" w:cs="宋体"/>
          <w:sz w:val="24"/>
          <w:szCs w:val="24"/>
        </w:rPr>
        <w:t>5</w:t>
      </w:r>
      <w:r>
        <w:rPr>
          <w:rFonts w:hint="eastAsia" w:ascii="宋体" w:hAnsi="宋体" w:cs="宋体"/>
          <w:sz w:val="24"/>
          <w:szCs w:val="24"/>
        </w:rPr>
        <w:t>、响应文件有重大漏项或重大不合理的；</w:t>
      </w:r>
    </w:p>
    <w:p>
      <w:pPr>
        <w:snapToGrid w:val="0"/>
        <w:spacing w:line="360" w:lineRule="auto"/>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、项目技术、方案不满足项目需求中的要求，有重大偏离或保留的；</w:t>
      </w:r>
    </w:p>
    <w:p>
      <w:pPr>
        <w:snapToGrid w:val="0"/>
        <w:spacing w:line="360" w:lineRule="auto"/>
        <w:ind w:firstLine="480" w:firstLineChars="200"/>
        <w:rPr>
          <w:rFonts w:ascii="宋体" w:cs="宋体"/>
          <w:sz w:val="24"/>
          <w:szCs w:val="24"/>
        </w:rPr>
      </w:pPr>
      <w:r>
        <w:rPr>
          <w:rFonts w:ascii="宋体" w:hAnsi="宋体" w:cs="宋体"/>
          <w:sz w:val="24"/>
          <w:szCs w:val="24"/>
        </w:rPr>
        <w:t>7</w:t>
      </w:r>
      <w:r>
        <w:rPr>
          <w:rFonts w:hint="eastAsia" w:ascii="宋体" w:hAnsi="宋体" w:cs="宋体"/>
          <w:sz w:val="24"/>
          <w:szCs w:val="24"/>
        </w:rPr>
        <w:t>、磋商响应报价超出项目预算的；</w:t>
      </w:r>
    </w:p>
    <w:p>
      <w:pPr>
        <w:snapToGrid w:val="0"/>
        <w:spacing w:line="360" w:lineRule="auto"/>
        <w:ind w:firstLine="480" w:firstLineChars="200"/>
        <w:rPr>
          <w:rFonts w:ascii="宋体" w:cs="宋体"/>
          <w:sz w:val="24"/>
          <w:szCs w:val="24"/>
        </w:rPr>
      </w:pPr>
      <w:r>
        <w:rPr>
          <w:rFonts w:ascii="宋体" w:hAnsi="宋体" w:cs="宋体"/>
          <w:sz w:val="24"/>
          <w:szCs w:val="24"/>
        </w:rPr>
        <w:t>8</w:t>
      </w:r>
      <w:r>
        <w:rPr>
          <w:rFonts w:hint="eastAsia" w:ascii="宋体" w:hAnsi="宋体" w:cs="宋体"/>
          <w:sz w:val="24"/>
          <w:szCs w:val="24"/>
        </w:rPr>
        <w:t>、被认定为低于成本报价磋商竞标的；</w:t>
      </w:r>
    </w:p>
    <w:p>
      <w:pPr>
        <w:snapToGrid w:val="0"/>
        <w:spacing w:line="360" w:lineRule="auto"/>
        <w:ind w:firstLine="480" w:firstLineChars="200"/>
        <w:rPr>
          <w:rFonts w:ascii="宋体" w:cs="宋体"/>
          <w:sz w:val="24"/>
          <w:szCs w:val="24"/>
        </w:rPr>
      </w:pPr>
      <w:r>
        <w:rPr>
          <w:rFonts w:ascii="宋体" w:hAnsi="宋体" w:cs="宋体"/>
          <w:sz w:val="24"/>
          <w:szCs w:val="24"/>
        </w:rPr>
        <w:t>9</w:t>
      </w:r>
      <w:r>
        <w:rPr>
          <w:rFonts w:hint="eastAsia" w:ascii="宋体" w:hAnsi="宋体" w:cs="宋体"/>
          <w:sz w:val="24"/>
          <w:szCs w:val="24"/>
        </w:rPr>
        <w:t>、供应商的磋商报价高于自己前一轮的；</w:t>
      </w:r>
    </w:p>
    <w:p>
      <w:pPr>
        <w:snapToGrid w:val="0"/>
        <w:spacing w:line="360" w:lineRule="auto"/>
        <w:ind w:firstLine="480" w:firstLineChars="200"/>
        <w:rPr>
          <w:rFonts w:ascii="宋体" w:cs="宋体"/>
          <w:sz w:val="24"/>
          <w:szCs w:val="24"/>
        </w:rPr>
      </w:pPr>
      <w:r>
        <w:rPr>
          <w:rFonts w:ascii="宋体" w:hAnsi="宋体" w:cs="宋体"/>
          <w:sz w:val="24"/>
          <w:szCs w:val="24"/>
        </w:rPr>
        <w:t>10</w:t>
      </w:r>
      <w:r>
        <w:rPr>
          <w:rFonts w:hint="eastAsia" w:ascii="宋体" w:hAnsi="宋体" w:cs="宋体"/>
          <w:sz w:val="24"/>
          <w:szCs w:val="24"/>
        </w:rPr>
        <w:t>、不符合法律、法规和磋商文件中规定的其他实质性响应要求的；</w:t>
      </w:r>
    </w:p>
    <w:p>
      <w:pPr>
        <w:snapToGrid w:val="0"/>
        <w:spacing w:line="360" w:lineRule="auto"/>
        <w:ind w:firstLine="480" w:firstLineChars="200"/>
        <w:rPr>
          <w:rFonts w:ascii="宋体" w:cs="宋体"/>
          <w:sz w:val="24"/>
          <w:szCs w:val="24"/>
        </w:rPr>
      </w:pPr>
      <w:r>
        <w:rPr>
          <w:rFonts w:ascii="宋体" w:hAnsi="宋体" w:cs="宋体"/>
          <w:sz w:val="24"/>
          <w:szCs w:val="24"/>
        </w:rPr>
        <w:t>11</w:t>
      </w:r>
      <w:r>
        <w:rPr>
          <w:rFonts w:hint="eastAsia" w:ascii="宋体" w:hAnsi="宋体" w:cs="宋体"/>
          <w:sz w:val="24"/>
          <w:szCs w:val="24"/>
        </w:rPr>
        <w:t>、磋商小组依据法律法规可以认定为无效投标的其他情况。</w:t>
      </w:r>
    </w:p>
    <w:p>
      <w:pPr>
        <w:snapToGrid w:val="0"/>
        <w:spacing w:line="360" w:lineRule="auto"/>
        <w:ind w:firstLine="482" w:firstLineChars="200"/>
        <w:outlineLvl w:val="1"/>
        <w:rPr>
          <w:rFonts w:ascii="宋体"/>
          <w:b/>
          <w:bCs/>
          <w:color w:val="FF0000"/>
          <w:sz w:val="24"/>
          <w:szCs w:val="24"/>
        </w:rPr>
      </w:pPr>
      <w:r>
        <w:rPr>
          <w:rFonts w:hint="eastAsia" w:ascii="宋体" w:hAnsi="宋体" w:cs="宋体"/>
          <w:b/>
          <w:bCs/>
          <w:color w:val="000000"/>
          <w:sz w:val="24"/>
          <w:szCs w:val="24"/>
        </w:rPr>
        <w:t>九、出现下列情形之一的，作废标处理</w:t>
      </w:r>
      <w:r>
        <w:rPr>
          <w:rFonts w:ascii="宋体" w:hAnsi="宋体" w:cs="宋体"/>
          <w:b/>
          <w:bCs/>
          <w:color w:val="000000"/>
          <w:sz w:val="24"/>
          <w:szCs w:val="24"/>
        </w:rPr>
        <w:t xml:space="preserve">  </w:t>
      </w:r>
    </w:p>
    <w:p>
      <w:pPr>
        <w:snapToGrid w:val="0"/>
        <w:spacing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、供应商的报价均超出了采购预算，采购单位不能支付的；</w:t>
      </w:r>
    </w:p>
    <w:p>
      <w:pPr>
        <w:snapToGrid w:val="0"/>
        <w:spacing w:line="360" w:lineRule="auto"/>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、因情况变化，不再符合规定的竞争性磋商采购方式所适用情形的；</w:t>
      </w:r>
    </w:p>
    <w:p>
      <w:pPr>
        <w:snapToGrid w:val="0"/>
        <w:spacing w:line="360" w:lineRule="auto"/>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、出现影响采购公正的违法、违规行为的；</w:t>
      </w:r>
    </w:p>
    <w:p>
      <w:pPr>
        <w:snapToGrid w:val="0"/>
        <w:spacing w:line="360" w:lineRule="auto"/>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、因重大变故，采购任务取消的；</w:t>
      </w:r>
    </w:p>
    <w:p>
      <w:pPr>
        <w:snapToGrid w:val="0"/>
        <w:spacing w:line="360" w:lineRule="auto"/>
        <w:ind w:firstLine="480" w:firstLineChars="200"/>
        <w:rPr>
          <w:rFonts w:ascii="宋体"/>
          <w:sz w:val="24"/>
          <w:szCs w:val="24"/>
        </w:rPr>
      </w:pPr>
      <w:r>
        <w:rPr>
          <w:rFonts w:hint="eastAsia" w:ascii="宋体" w:hAnsi="宋体" w:cs="宋体"/>
          <w:sz w:val="24"/>
          <w:szCs w:val="24"/>
        </w:rPr>
        <w:t>5、符合资格条件或者对磋商文件作实质响应的投标供应商不足</w:t>
      </w:r>
      <w:r>
        <w:rPr>
          <w:rFonts w:ascii="宋体" w:hAnsi="宋体" w:cs="宋体"/>
          <w:sz w:val="24"/>
          <w:szCs w:val="24"/>
        </w:rPr>
        <w:t>3</w:t>
      </w:r>
      <w:r>
        <w:rPr>
          <w:rFonts w:hint="eastAsia" w:ascii="宋体" w:hAnsi="宋体" w:cs="宋体"/>
          <w:sz w:val="24"/>
          <w:szCs w:val="24"/>
        </w:rPr>
        <w:t>家的；</w:t>
      </w:r>
    </w:p>
    <w:p>
      <w:pPr>
        <w:snapToGrid w:val="0"/>
        <w:spacing w:line="360" w:lineRule="auto"/>
        <w:ind w:firstLine="480" w:firstLineChars="200"/>
        <w:rPr>
          <w:rFonts w:ascii="宋体"/>
          <w:sz w:val="24"/>
          <w:szCs w:val="24"/>
        </w:rPr>
      </w:pPr>
      <w:r>
        <w:rPr>
          <w:rFonts w:hint="eastAsia" w:ascii="宋体" w:hAnsi="宋体" w:cs="宋体"/>
          <w:sz w:val="24"/>
          <w:szCs w:val="24"/>
        </w:rPr>
        <w:t>6、磋商小组依据法律法规可以认定为废标的其他情况。</w:t>
      </w:r>
    </w:p>
    <w:p>
      <w:pPr>
        <w:snapToGrid w:val="0"/>
        <w:spacing w:line="360" w:lineRule="auto"/>
        <w:ind w:firstLine="482" w:firstLineChars="200"/>
        <w:outlineLvl w:val="1"/>
        <w:rPr>
          <w:rFonts w:ascii="宋体"/>
          <w:b/>
          <w:bCs/>
          <w:color w:val="000000"/>
          <w:sz w:val="24"/>
          <w:szCs w:val="24"/>
        </w:rPr>
      </w:pPr>
      <w:r>
        <w:rPr>
          <w:rFonts w:hint="eastAsia" w:ascii="宋体" w:hAnsi="宋体" w:cs="宋体"/>
          <w:b/>
          <w:bCs/>
          <w:color w:val="000000"/>
          <w:sz w:val="24"/>
          <w:szCs w:val="24"/>
        </w:rPr>
        <w:t>十、成交通知</w:t>
      </w:r>
    </w:p>
    <w:p>
      <w:pPr>
        <w:spacing w:line="360" w:lineRule="auto"/>
        <w:ind w:firstLine="480" w:firstLineChars="200"/>
        <w:rPr>
          <w:rFonts w:ascii="宋体"/>
          <w:color w:val="000000"/>
          <w:kern w:val="0"/>
          <w:sz w:val="24"/>
          <w:szCs w:val="24"/>
        </w:rPr>
      </w:pPr>
      <w:r>
        <w:rPr>
          <w:rFonts w:hint="eastAsia" w:cs="宋体"/>
          <w:kern w:val="0"/>
          <w:sz w:val="24"/>
          <w:szCs w:val="24"/>
        </w:rPr>
        <w:t>成交结果</w:t>
      </w:r>
      <w:r>
        <w:rPr>
          <w:rFonts w:hint="eastAsia"/>
          <w:kern w:val="0"/>
          <w:sz w:val="24"/>
          <w:szCs w:val="24"/>
        </w:rPr>
        <w:t>在</w:t>
      </w:r>
      <w:r>
        <w:rPr>
          <w:rFonts w:ascii="宋体" w:hAnsi="宋体" w:cs="宋体"/>
          <w:sz w:val="24"/>
          <w:szCs w:val="24"/>
        </w:rPr>
        <w:t xml:space="preserve"> </w:t>
      </w:r>
      <w:r>
        <w:rPr>
          <w:rFonts w:hint="eastAsia" w:ascii="宋体" w:hAnsi="宋体" w:cs="宋体"/>
          <w:sz w:val="24"/>
          <w:szCs w:val="24"/>
        </w:rPr>
        <w:t>“南通市文化广电和旅游局”</w:t>
      </w:r>
      <w:r>
        <w:rPr>
          <w:kern w:val="0"/>
          <w:sz w:val="24"/>
          <w:szCs w:val="24"/>
        </w:rPr>
        <w:t xml:space="preserve"> </w:t>
      </w:r>
      <w:r>
        <w:rPr>
          <w:rFonts w:hint="eastAsia"/>
          <w:kern w:val="0"/>
          <w:sz w:val="24"/>
          <w:szCs w:val="24"/>
        </w:rPr>
        <w:t>公示</w:t>
      </w:r>
      <w:r>
        <w:rPr>
          <w:kern w:val="0"/>
          <w:sz w:val="24"/>
          <w:szCs w:val="24"/>
          <w:u w:val="single"/>
        </w:rPr>
        <w:t xml:space="preserve"> 1 </w:t>
      </w:r>
      <w:r>
        <w:rPr>
          <w:rFonts w:hint="eastAsia"/>
          <w:kern w:val="0"/>
          <w:sz w:val="24"/>
          <w:szCs w:val="24"/>
        </w:rPr>
        <w:t>个工作日</w:t>
      </w:r>
      <w:r>
        <w:rPr>
          <w:rFonts w:hint="eastAsia" w:cs="宋体"/>
          <w:kern w:val="0"/>
          <w:sz w:val="24"/>
          <w:szCs w:val="24"/>
        </w:rPr>
        <w:t>。《成交通知书》一经发出，采购单位改变成交结果，或者成交供应商放弃成交的，各自承担相应的法律责任。《成交通知书》是采购合同的组成部分。</w:t>
      </w:r>
    </w:p>
    <w:bookmarkEnd w:id="49"/>
    <w:bookmarkEnd w:id="50"/>
    <w:bookmarkEnd w:id="51"/>
    <w:bookmarkEnd w:id="52"/>
    <w:bookmarkEnd w:id="53"/>
    <w:bookmarkEnd w:id="54"/>
    <w:bookmarkEnd w:id="55"/>
    <w:bookmarkEnd w:id="56"/>
    <w:p>
      <w:pPr>
        <w:spacing w:line="460" w:lineRule="exact"/>
        <w:jc w:val="center"/>
        <w:rPr>
          <w:rFonts w:ascii="宋体" w:hAnsi="宋体" w:cs="宋体"/>
          <w:b/>
          <w:bCs/>
          <w:color w:val="000000"/>
          <w:kern w:val="44"/>
          <w:sz w:val="44"/>
          <w:szCs w:val="44"/>
        </w:rPr>
      </w:pPr>
      <w:bookmarkStart w:id="58" w:name="_Toc363573858"/>
      <w:bookmarkStart w:id="59" w:name="_Toc94585343"/>
      <w:r>
        <w:rPr>
          <w:rFonts w:ascii="宋体"/>
          <w:color w:val="000000"/>
          <w:w w:val="80"/>
        </w:rPr>
        <w:br w:type="page"/>
      </w:r>
      <w:r>
        <w:rPr>
          <w:rFonts w:hint="eastAsia" w:ascii="宋体" w:hAnsi="宋体" w:cs="宋体"/>
          <w:b/>
          <w:bCs/>
          <w:color w:val="000000"/>
          <w:kern w:val="44"/>
          <w:sz w:val="44"/>
          <w:szCs w:val="44"/>
        </w:rPr>
        <w:t>第五章  合同授予</w:t>
      </w:r>
    </w:p>
    <w:p>
      <w:pPr>
        <w:spacing w:line="520" w:lineRule="exact"/>
        <w:ind w:firstLine="484" w:firstLineChars="202"/>
        <w:rPr>
          <w:rFonts w:ascii="宋体" w:cs="宋体"/>
          <w:kern w:val="0"/>
          <w:sz w:val="28"/>
          <w:szCs w:val="28"/>
        </w:rPr>
      </w:pPr>
      <w:r>
        <w:rPr>
          <w:rFonts w:hint="eastAsia" w:ascii="宋体" w:hAnsi="宋体" w:cs="宋体"/>
          <w:sz w:val="24"/>
          <w:szCs w:val="24"/>
        </w:rPr>
        <w:t>一、</w:t>
      </w:r>
      <w:r>
        <w:rPr>
          <w:rFonts w:hint="eastAsia" w:ascii="宋体" w:hAnsi="宋体" w:cs="宋体"/>
          <w:kern w:val="0"/>
          <w:sz w:val="24"/>
          <w:szCs w:val="24"/>
        </w:rPr>
        <w:t>由于项目供货时间紧迫，成交供应商在《成交通知书》发出30日内必须按照磋商文件确定的事项签订采购合同。合同一式陆份，采购单位、供应商各叁份。所签合同不得对磋商文件作实质性修改。采购单位不得向成交供应商提出不合理的要求作为签订合同的条件，不得与成交供应商私下订立背离磋商文件实质性内容的协议。</w:t>
      </w:r>
      <w:r>
        <w:rPr>
          <w:rFonts w:ascii="宋体" w:hAnsi="宋体" w:cs="宋体"/>
          <w:kern w:val="0"/>
          <w:sz w:val="24"/>
          <w:szCs w:val="24"/>
        </w:rPr>
        <w:t xml:space="preserve"> </w:t>
      </w:r>
    </w:p>
    <w:p>
      <w:pPr>
        <w:snapToGrid w:val="0"/>
        <w:spacing w:line="480" w:lineRule="exact"/>
        <w:ind w:firstLine="573"/>
        <w:rPr>
          <w:rFonts w:ascii="宋体" w:cs="宋体"/>
          <w:sz w:val="24"/>
          <w:szCs w:val="24"/>
        </w:rPr>
      </w:pPr>
      <w:r>
        <w:rPr>
          <w:rFonts w:hint="eastAsia" w:ascii="宋体" w:hAnsi="宋体" w:cs="宋体"/>
          <w:sz w:val="24"/>
          <w:szCs w:val="24"/>
        </w:rPr>
        <w:t>二、采购单位按合同约定积极配合成交人履约，成交人履约到位后，请以书面形式向采购单位提出验收申请，采购单位接到申请后原则上在</w:t>
      </w:r>
      <w:r>
        <w:rPr>
          <w:rFonts w:ascii="宋体" w:hAnsi="宋体" w:cs="宋体"/>
          <w:sz w:val="24"/>
          <w:szCs w:val="24"/>
        </w:rPr>
        <w:t>5</w:t>
      </w:r>
      <w:r>
        <w:rPr>
          <w:rFonts w:hint="eastAsia" w:ascii="宋体" w:hAnsi="宋体" w:cs="宋体"/>
          <w:sz w:val="24"/>
          <w:szCs w:val="24"/>
        </w:rPr>
        <w:t>个工作日内及时组织相关专业技术人员，必要时邀请质检等部门共同参与验收，并出具验收报告，验收合格的原则上</w:t>
      </w:r>
      <w:r>
        <w:rPr>
          <w:rFonts w:ascii="宋体" w:hAnsi="宋体" w:cs="宋体"/>
          <w:sz w:val="24"/>
          <w:szCs w:val="24"/>
        </w:rPr>
        <w:t>5</w:t>
      </w:r>
      <w:r>
        <w:rPr>
          <w:rFonts w:hint="eastAsia" w:ascii="宋体" w:hAnsi="宋体" w:cs="宋体"/>
          <w:sz w:val="24"/>
          <w:szCs w:val="24"/>
        </w:rPr>
        <w:t>个工作日内支付相应款项。</w:t>
      </w:r>
    </w:p>
    <w:p>
      <w:pPr>
        <w:snapToGrid w:val="0"/>
        <w:spacing w:line="480" w:lineRule="exact"/>
        <w:ind w:firstLine="573"/>
        <w:rPr>
          <w:rFonts w:ascii="宋体" w:cs="宋体"/>
          <w:sz w:val="24"/>
          <w:szCs w:val="24"/>
        </w:rPr>
      </w:pPr>
      <w:r>
        <w:rPr>
          <w:rFonts w:hint="eastAsia" w:ascii="宋体" w:hAnsi="宋体" w:cs="宋体"/>
          <w:sz w:val="24"/>
          <w:szCs w:val="24"/>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pPr>
        <w:snapToGrid w:val="0"/>
        <w:spacing w:line="480" w:lineRule="exact"/>
        <w:ind w:firstLine="573"/>
        <w:rPr>
          <w:rFonts w:ascii="宋体" w:cs="宋体"/>
          <w:sz w:val="24"/>
          <w:szCs w:val="24"/>
        </w:rPr>
      </w:pPr>
      <w:r>
        <w:rPr>
          <w:rFonts w:hint="eastAsia" w:ascii="宋体" w:hAnsi="宋体" w:cs="宋体"/>
          <w:sz w:val="24"/>
          <w:szCs w:val="24"/>
        </w:rPr>
        <w:t>四、成交人出现违约情形，应当及时纠正或补偿；造成损失的，按合同约定追究违约责任；发现有假冒、伪劣、走私产品、商业贿赂等违法情形的，应由采购单位移交工商、质监、公安等行政执法部门依法查处。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ascii="宋体" w:cs="宋体"/>
          <w:sz w:val="24"/>
          <w:szCs w:val="24"/>
        </w:rPr>
      </w:pPr>
      <w:r>
        <w:rPr>
          <w:rFonts w:hint="eastAsia" w:ascii="宋体" w:hAnsi="宋体" w:cs="宋体"/>
          <w:sz w:val="24"/>
          <w:szCs w:val="24"/>
        </w:rPr>
        <w:t>五、按采购合同约定支付货款。</w:t>
      </w:r>
    </w:p>
    <w:p>
      <w:pPr>
        <w:snapToGrid w:val="0"/>
        <w:spacing w:line="480" w:lineRule="exact"/>
        <w:ind w:firstLine="573"/>
        <w:rPr>
          <w:rFonts w:ascii="宋体" w:cs="宋体"/>
          <w:sz w:val="24"/>
          <w:szCs w:val="24"/>
        </w:rPr>
      </w:pPr>
      <w:r>
        <w:rPr>
          <w:rFonts w:hint="eastAsia" w:ascii="宋体" w:hAnsi="宋体" w:cs="宋体"/>
          <w:sz w:val="24"/>
          <w:szCs w:val="24"/>
        </w:rPr>
        <w:t>六、不响应付款方式的，视同响应文件无效，按无效响应文件处理。</w:t>
      </w:r>
    </w:p>
    <w:p>
      <w:pPr>
        <w:snapToGrid w:val="0"/>
        <w:spacing w:line="480" w:lineRule="exact"/>
        <w:ind w:firstLine="573"/>
        <w:rPr>
          <w:rFonts w:ascii="宋体" w:cs="宋体"/>
          <w:sz w:val="24"/>
          <w:szCs w:val="24"/>
        </w:rPr>
      </w:pPr>
      <w:r>
        <w:rPr>
          <w:rFonts w:hint="eastAsia" w:ascii="宋体" w:hAnsi="宋体" w:cs="宋体"/>
          <w:sz w:val="24"/>
          <w:szCs w:val="24"/>
        </w:rPr>
        <w:t>七、付款方式详见磋商文件第二章。</w:t>
      </w:r>
    </w:p>
    <w:p>
      <w:pPr>
        <w:snapToGrid w:val="0"/>
        <w:spacing w:line="480" w:lineRule="exact"/>
        <w:ind w:firstLine="573"/>
        <w:rPr>
          <w:rFonts w:ascii="宋体" w:cs="宋体"/>
          <w:sz w:val="24"/>
          <w:szCs w:val="24"/>
        </w:rPr>
      </w:pPr>
      <w:r>
        <w:rPr>
          <w:rFonts w:hint="eastAsia" w:ascii="宋体" w:hAnsi="宋体" w:cs="宋体"/>
          <w:sz w:val="24"/>
          <w:szCs w:val="24"/>
        </w:rPr>
        <w:t>八、以上项目款的支付不计息。</w:t>
      </w:r>
    </w:p>
    <w:p>
      <w:pPr>
        <w:snapToGrid w:val="0"/>
        <w:spacing w:line="480" w:lineRule="exact"/>
        <w:ind w:firstLine="573"/>
        <w:rPr>
          <w:rFonts w:ascii="宋体"/>
          <w:sz w:val="24"/>
          <w:szCs w:val="24"/>
        </w:rPr>
      </w:pPr>
    </w:p>
    <w:p>
      <w:pPr>
        <w:pStyle w:val="3"/>
        <w:keepNext w:val="0"/>
        <w:keepLines w:val="0"/>
        <w:numPr>
          <w:ilvl w:val="0"/>
          <w:numId w:val="0"/>
        </w:numPr>
        <w:snapToGrid w:val="0"/>
        <w:spacing w:before="0" w:after="120" w:afterLines="50" w:line="520" w:lineRule="exact"/>
        <w:ind w:left="420"/>
        <w:jc w:val="center"/>
        <w:rPr>
          <w:rFonts w:ascii="宋体" w:cs="Times New Roman"/>
        </w:rPr>
      </w:pPr>
      <w:r>
        <w:rPr>
          <w:rFonts w:ascii="宋体"/>
          <w:i/>
          <w:iCs/>
          <w:color w:val="000000"/>
        </w:rPr>
        <w:br w:type="page"/>
      </w:r>
      <w:r>
        <w:rPr>
          <w:rFonts w:hint="eastAsia" w:ascii="宋体" w:hAnsi="宋体" w:cs="宋体"/>
          <w:color w:val="000000"/>
        </w:rPr>
        <w:t>第六章</w:t>
      </w:r>
      <w:r>
        <w:rPr>
          <w:rFonts w:ascii="宋体" w:hAnsi="宋体" w:cs="宋体"/>
          <w:color w:val="000000"/>
        </w:rPr>
        <w:t xml:space="preserve"> </w:t>
      </w:r>
      <w:bookmarkEnd w:id="58"/>
      <w:bookmarkEnd w:id="59"/>
      <w:bookmarkStart w:id="60" w:name="_Toc363573860"/>
      <w:r>
        <w:rPr>
          <w:rFonts w:hint="eastAsia" w:ascii="宋体" w:hAnsi="宋体" w:cs="宋体"/>
          <w:w w:val="80"/>
        </w:rPr>
        <w:t>响应文件组成及格式</w:t>
      </w:r>
      <w:bookmarkEnd w:id="60"/>
    </w:p>
    <w:p>
      <w:pPr>
        <w:adjustRightInd w:val="0"/>
        <w:snapToGrid w:val="0"/>
        <w:spacing w:line="480" w:lineRule="exact"/>
        <w:jc w:val="left"/>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adjustRightInd w:val="0"/>
        <w:snapToGrid w:val="0"/>
        <w:spacing w:line="520" w:lineRule="exact"/>
        <w:ind w:firstLine="480" w:firstLineChars="200"/>
        <w:jc w:val="left"/>
        <w:rPr>
          <w:rFonts w:ascii="宋体"/>
          <w:sz w:val="24"/>
          <w:szCs w:val="24"/>
        </w:rPr>
      </w:pPr>
      <w:r>
        <w:rPr>
          <w:rFonts w:hint="eastAsia" w:ascii="宋体" w:hAnsi="宋体" w:cs="宋体"/>
          <w:sz w:val="24"/>
          <w:szCs w:val="24"/>
        </w:rPr>
        <w:t>一、资格审查文件（单独装订密封）</w:t>
      </w:r>
      <w:r>
        <w:rPr>
          <w:rFonts w:ascii="宋体" w:hAnsi="宋体" w:cs="宋体"/>
          <w:sz w:val="24"/>
          <w:szCs w:val="24"/>
        </w:rPr>
        <w:t xml:space="preserve"> </w:t>
      </w:r>
    </w:p>
    <w:p>
      <w:pPr>
        <w:widowControl/>
        <w:snapToGrid w:val="0"/>
        <w:spacing w:line="480" w:lineRule="exact"/>
        <w:ind w:firstLine="470" w:firstLineChars="196"/>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w:t>
      </w:r>
      <w:r>
        <w:rPr>
          <w:rFonts w:hint="eastAsia" w:ascii="宋体" w:hAnsi="宋体" w:cs="宋体"/>
          <w:sz w:val="24"/>
          <w:szCs w:val="24"/>
        </w:rPr>
        <w:t>投标供应商的企业法人营业执照副本复印件、税务登记证副本复印件；或三证合一的营业执照副本复印件。</w:t>
      </w:r>
    </w:p>
    <w:p>
      <w:pPr>
        <w:widowControl/>
        <w:snapToGrid w:val="0"/>
        <w:spacing w:line="480" w:lineRule="exact"/>
        <w:ind w:firstLine="470" w:firstLineChars="196"/>
        <w:jc w:val="left"/>
        <w:rPr>
          <w:rFonts w:ascii="宋体" w:cs="宋体"/>
          <w:sz w:val="24"/>
          <w:szCs w:val="24"/>
        </w:rPr>
      </w:pPr>
      <w:r>
        <w:rPr>
          <w:rFonts w:ascii="宋体" w:hAnsi="宋体" w:cs="宋体"/>
          <w:sz w:val="24"/>
          <w:szCs w:val="24"/>
        </w:rPr>
        <w:t>2</w:t>
      </w:r>
      <w:r>
        <w:rPr>
          <w:rFonts w:hint="eastAsia" w:ascii="宋体" w:hAnsi="宋体" w:cs="宋体"/>
          <w:sz w:val="24"/>
          <w:szCs w:val="24"/>
        </w:rPr>
        <w:t>、投标人法定代表人参加投标的，必须提供法定代表人身份证明及本人身份证复印件；非法定代表人参加投标的，必须提供法定代表人签字或盖章的授权委托书及被授权人本人的身份证复印件（格式参见第六章）。</w:t>
      </w:r>
    </w:p>
    <w:p>
      <w:pPr>
        <w:snapToGrid w:val="0"/>
        <w:spacing w:line="480" w:lineRule="exact"/>
        <w:ind w:firstLine="560"/>
        <w:rPr>
          <w:rFonts w:ascii="宋体" w:cs="宋体"/>
          <w:sz w:val="24"/>
          <w:szCs w:val="24"/>
        </w:rPr>
      </w:pPr>
      <w:r>
        <w:rPr>
          <w:rFonts w:ascii="宋体" w:hAnsi="宋体" w:cs="宋体"/>
          <w:bCs/>
          <w:sz w:val="24"/>
          <w:szCs w:val="24"/>
        </w:rPr>
        <w:t>3</w:t>
      </w:r>
      <w:r>
        <w:rPr>
          <w:rFonts w:hint="eastAsia" w:ascii="宋体" w:hAnsi="宋体" w:cs="宋体"/>
          <w:bCs/>
          <w:sz w:val="24"/>
          <w:szCs w:val="24"/>
        </w:rPr>
        <w:t>、</w:t>
      </w:r>
      <w:r>
        <w:rPr>
          <w:rFonts w:hint="eastAsia" w:ascii="宋体" w:hAnsi="宋体"/>
          <w:sz w:val="24"/>
          <w:szCs w:val="24"/>
        </w:rPr>
        <w:t>提供投标供应商参加本次采购活动前一年内（至少一个月，不含投标当月</w:t>
      </w:r>
      <w:r>
        <w:rPr>
          <w:rFonts w:ascii="宋体" w:hAnsi="宋体"/>
          <w:sz w:val="24"/>
          <w:szCs w:val="24"/>
        </w:rPr>
        <w:t>)</w:t>
      </w:r>
      <w:r>
        <w:rPr>
          <w:rFonts w:hint="eastAsia" w:ascii="宋体" w:hAnsi="宋体"/>
          <w:sz w:val="24"/>
          <w:szCs w:val="24"/>
        </w:rPr>
        <w:t>的依法缴纳税收、缴纳社会保障资金的相关材料（提供相关主管部门证明或银行代扣证明）复印件。</w:t>
      </w:r>
    </w:p>
    <w:p>
      <w:pPr>
        <w:widowControl/>
        <w:snapToGrid w:val="0"/>
        <w:spacing w:line="480" w:lineRule="exact"/>
        <w:ind w:firstLine="470" w:firstLineChars="196"/>
        <w:jc w:val="left"/>
        <w:rPr>
          <w:rFonts w:ascii="宋体"/>
          <w:color w:val="FF0000"/>
          <w:sz w:val="24"/>
          <w:szCs w:val="24"/>
        </w:rPr>
      </w:pPr>
      <w:r>
        <w:rPr>
          <w:rFonts w:hint="eastAsia" w:ascii="宋体" w:hAnsi="宋体" w:cs="宋体"/>
          <w:sz w:val="24"/>
          <w:szCs w:val="24"/>
        </w:rPr>
        <w:t>4、投标供应商须提供参与本次项目采购活动前三年内，在经营活动中没有重大违法记录的书面《无重大违法记录声明函》（格式参见第六章）。</w:t>
      </w:r>
    </w:p>
    <w:p>
      <w:pPr>
        <w:spacing w:line="520" w:lineRule="exact"/>
        <w:ind w:firstLine="480" w:firstLineChars="200"/>
        <w:rPr>
          <w:rFonts w:ascii="宋体" w:hAnsi="宋体" w:cs="宋体"/>
          <w:sz w:val="24"/>
          <w:szCs w:val="24"/>
        </w:rPr>
      </w:pPr>
      <w:r>
        <w:rPr>
          <w:rFonts w:hint="eastAsia" w:ascii="宋体" w:hAnsi="宋体" w:cs="宋体"/>
          <w:sz w:val="24"/>
          <w:szCs w:val="24"/>
        </w:rPr>
        <w:t>5、供应商须提供资格文件声明函（格式参见第六章）。</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sz w:val="24"/>
          <w:szCs w:val="24"/>
        </w:rPr>
        <w:t>6、</w:t>
      </w:r>
      <w:r>
        <w:rPr>
          <w:rFonts w:hint="eastAsia" w:ascii="宋体" w:hAnsi="宋体" w:cs="宋体"/>
          <w:kern w:val="0"/>
          <w:sz w:val="24"/>
          <w:szCs w:val="24"/>
        </w:rPr>
        <w:t>未被“信用中国”网站（www.creditchina.gov.cn）、中国政府采购网列入失信被执行人、重大税收违法案件当事人名单、政府采购严重失信行为记录名单。（提供查询截图）</w:t>
      </w:r>
    </w:p>
    <w:p>
      <w:pPr>
        <w:pStyle w:val="120"/>
        <w:ind w:firstLine="569" w:firstLineChars="271"/>
      </w:pPr>
      <w:r>
        <w:rPr>
          <w:rFonts w:hint="eastAsia"/>
        </w:rPr>
        <w:t>7、</w:t>
      </w:r>
      <w:r>
        <w:rPr>
          <w:rFonts w:hint="eastAsia" w:cs="宋体"/>
          <w:kern w:val="0"/>
          <w:sz w:val="24"/>
        </w:rPr>
        <w:t>符合相关法律、法规规定的其他要求。</w:t>
      </w:r>
    </w:p>
    <w:p>
      <w:pPr>
        <w:adjustRightInd w:val="0"/>
        <w:snapToGrid w:val="0"/>
        <w:spacing w:line="520" w:lineRule="exact"/>
        <w:ind w:firstLine="482" w:firstLineChars="200"/>
        <w:jc w:val="left"/>
        <w:rPr>
          <w:rFonts w:ascii="宋体"/>
          <w:b/>
          <w:bCs/>
          <w:sz w:val="24"/>
          <w:szCs w:val="24"/>
        </w:rPr>
      </w:pPr>
      <w:r>
        <w:rPr>
          <w:rFonts w:hint="eastAsia" w:ascii="宋体" w:hAnsi="宋体" w:cs="宋体"/>
          <w:b/>
          <w:bCs/>
          <w:sz w:val="24"/>
          <w:szCs w:val="24"/>
        </w:rPr>
        <w:t>以</w:t>
      </w:r>
      <w:r>
        <w:rPr>
          <w:rFonts w:hint="eastAsia" w:ascii="宋体" w:hAnsi="宋体" w:cs="宋体"/>
          <w:b/>
          <w:bCs/>
          <w:color w:val="000000"/>
          <w:sz w:val="24"/>
          <w:szCs w:val="24"/>
        </w:rPr>
        <w:t>上材料中的复印件均须加盖投标单位公章。</w:t>
      </w:r>
    </w:p>
    <w:p>
      <w:pPr>
        <w:adjustRightInd w:val="0"/>
        <w:snapToGrid w:val="0"/>
        <w:spacing w:line="520" w:lineRule="exact"/>
        <w:ind w:firstLine="480" w:firstLineChars="200"/>
        <w:jc w:val="left"/>
        <w:rPr>
          <w:rFonts w:ascii="宋体"/>
          <w:sz w:val="24"/>
          <w:szCs w:val="24"/>
        </w:rPr>
      </w:pPr>
      <w:r>
        <w:rPr>
          <w:rFonts w:hint="eastAsia" w:ascii="宋体" w:hAnsi="宋体" w:cs="宋体"/>
          <w:sz w:val="24"/>
          <w:szCs w:val="24"/>
        </w:rPr>
        <w:t>二、技术响应文件（单独装订密封）</w:t>
      </w:r>
    </w:p>
    <w:p>
      <w:pPr>
        <w:adjustRightInd w:val="0"/>
        <w:snapToGrid w:val="0"/>
        <w:spacing w:line="520" w:lineRule="exact"/>
        <w:ind w:firstLine="360" w:firstLineChars="15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）竞争性磋商响应函</w:t>
      </w:r>
      <w:r>
        <w:rPr>
          <w:rFonts w:hint="eastAsia" w:ascii="宋体" w:hAnsi="宋体" w:cs="宋体"/>
          <w:sz w:val="24"/>
          <w:szCs w:val="24"/>
          <w:lang w:val="zh-CN"/>
        </w:rPr>
        <w:t>（</w:t>
      </w:r>
      <w:r>
        <w:rPr>
          <w:rFonts w:hint="eastAsia" w:ascii="宋体" w:hAnsi="宋体" w:cs="宋体"/>
          <w:sz w:val="24"/>
          <w:szCs w:val="24"/>
        </w:rPr>
        <w:t>格式参见第六章）</w:t>
      </w:r>
    </w:p>
    <w:p>
      <w:pPr>
        <w:adjustRightInd w:val="0"/>
        <w:snapToGrid w:val="0"/>
        <w:spacing w:line="520" w:lineRule="exact"/>
        <w:ind w:firstLine="360" w:firstLineChars="15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）供应商一般情况表</w:t>
      </w:r>
      <w:r>
        <w:rPr>
          <w:rFonts w:hint="eastAsia" w:ascii="宋体" w:hAnsi="宋体" w:cs="宋体"/>
          <w:sz w:val="24"/>
          <w:szCs w:val="24"/>
          <w:lang w:val="zh-CN"/>
        </w:rPr>
        <w:t>（</w:t>
      </w:r>
      <w:r>
        <w:rPr>
          <w:rFonts w:hint="eastAsia" w:ascii="宋体" w:hAnsi="宋体" w:cs="宋体"/>
          <w:sz w:val="24"/>
          <w:szCs w:val="24"/>
        </w:rPr>
        <w:t>格式参见第六章）</w:t>
      </w:r>
    </w:p>
    <w:p>
      <w:pPr>
        <w:adjustRightInd w:val="0"/>
        <w:snapToGrid w:val="0"/>
        <w:spacing w:line="520" w:lineRule="exact"/>
        <w:ind w:firstLine="360" w:firstLineChars="150"/>
        <w:jc w:val="left"/>
        <w:rPr>
          <w:rFonts w:ascii="宋体"/>
          <w:sz w:val="24"/>
          <w:szCs w:val="24"/>
        </w:rPr>
      </w:pPr>
      <w:r>
        <w:rPr>
          <w:rFonts w:hint="eastAsia" w:ascii="宋体" w:hAnsi="宋体" w:cs="宋体"/>
          <w:sz w:val="24"/>
          <w:szCs w:val="24"/>
        </w:rPr>
        <w:t>（3）评标办法中所涉及的事项需提供的所有资料（具体详见第四章评分评审标准）。</w:t>
      </w:r>
    </w:p>
    <w:p>
      <w:pPr>
        <w:snapToGrid w:val="0"/>
        <w:spacing w:line="520" w:lineRule="exact"/>
        <w:ind w:firstLine="360" w:firstLineChars="150"/>
        <w:rPr>
          <w:rFonts w:ascii="宋体"/>
          <w:sz w:val="24"/>
          <w:szCs w:val="24"/>
        </w:rPr>
      </w:pPr>
      <w:r>
        <w:rPr>
          <w:rFonts w:hint="eastAsia" w:ascii="宋体" w:hAnsi="宋体" w:cs="宋体"/>
          <w:sz w:val="24"/>
          <w:szCs w:val="24"/>
        </w:rPr>
        <w:t>（4）评分办法中未涉及的事项，投标人认为需要提交的其他资料。</w:t>
      </w:r>
    </w:p>
    <w:p>
      <w:pPr>
        <w:snapToGrid w:val="0"/>
        <w:spacing w:line="520" w:lineRule="exact"/>
        <w:ind w:firstLine="480" w:firstLineChars="200"/>
        <w:rPr>
          <w:rFonts w:ascii="宋体"/>
          <w:sz w:val="24"/>
          <w:szCs w:val="24"/>
        </w:rPr>
      </w:pPr>
      <w:r>
        <w:rPr>
          <w:rFonts w:hint="eastAsia" w:ascii="宋体" w:hAnsi="宋体" w:cs="宋体"/>
          <w:sz w:val="24"/>
          <w:szCs w:val="24"/>
        </w:rPr>
        <w:t>注：为方便评委评审，请投标人按评标办法中所涉及的事项顺序进行编制，可以补充相关材料；</w:t>
      </w:r>
    </w:p>
    <w:p>
      <w:pPr>
        <w:adjustRightInd w:val="0"/>
        <w:snapToGrid w:val="0"/>
        <w:spacing w:line="520" w:lineRule="exact"/>
        <w:ind w:firstLine="480" w:firstLineChars="200"/>
        <w:jc w:val="left"/>
        <w:rPr>
          <w:rFonts w:ascii="宋体"/>
          <w:b/>
          <w:bCs/>
          <w:sz w:val="24"/>
          <w:szCs w:val="24"/>
        </w:rPr>
      </w:pPr>
      <w:r>
        <w:rPr>
          <w:rFonts w:hint="eastAsia" w:ascii="宋体" w:hAnsi="宋体" w:cs="宋体"/>
          <w:sz w:val="24"/>
          <w:szCs w:val="24"/>
        </w:rPr>
        <w:t>三、商务报价响应文件（单独装订密封）</w:t>
      </w:r>
    </w:p>
    <w:p>
      <w:pPr>
        <w:pStyle w:val="110"/>
        <w:spacing w:line="52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）磋商响应报价总表</w:t>
      </w:r>
      <w:r>
        <w:rPr>
          <w:rFonts w:ascii="宋体" w:hAnsi="宋体" w:cs="宋体"/>
          <w:sz w:val="24"/>
          <w:szCs w:val="24"/>
        </w:rPr>
        <w:t xml:space="preserve"> </w:t>
      </w:r>
      <w:r>
        <w:rPr>
          <w:rFonts w:hint="eastAsia" w:ascii="宋体" w:hAnsi="宋体" w:cs="宋体"/>
          <w:sz w:val="24"/>
          <w:szCs w:val="24"/>
          <w:lang w:val="zh-CN"/>
        </w:rPr>
        <w:t>（</w:t>
      </w:r>
      <w:r>
        <w:rPr>
          <w:rFonts w:hint="eastAsia" w:ascii="宋体" w:hAnsi="宋体" w:cs="宋体"/>
          <w:sz w:val="24"/>
          <w:szCs w:val="24"/>
        </w:rPr>
        <w:t>格式参见第六章）；</w:t>
      </w:r>
    </w:p>
    <w:p>
      <w:pPr>
        <w:pStyle w:val="110"/>
        <w:spacing w:line="520" w:lineRule="exact"/>
        <w:ind w:firstLine="360" w:firstLineChars="150"/>
        <w:rPr>
          <w:rFonts w:ascii="宋体" w:hAnsi="宋体" w:cs="宋体"/>
          <w:sz w:val="24"/>
          <w:szCs w:val="24"/>
        </w:rPr>
      </w:pPr>
      <w:r>
        <w:rPr>
          <w:rFonts w:hint="eastAsia" w:ascii="宋体" w:hAnsi="宋体" w:cs="宋体"/>
          <w:sz w:val="24"/>
          <w:szCs w:val="24"/>
        </w:rPr>
        <w:t>（2）分项报价名细表（格式自拟）</w:t>
      </w:r>
    </w:p>
    <w:p>
      <w:pPr>
        <w:adjustRightInd w:val="0"/>
        <w:snapToGrid w:val="0"/>
        <w:spacing w:line="480" w:lineRule="exact"/>
        <w:ind w:firstLine="360" w:firstLineChars="150"/>
        <w:jc w:val="left"/>
        <w:rPr>
          <w:rFonts w:ascii="宋体" w:cs="宋体"/>
          <w:bCs/>
          <w:color w:val="000000"/>
          <w:sz w:val="24"/>
          <w:szCs w:val="24"/>
          <w:highlight w:val="yellow"/>
          <w:lang w:val="zh-CN"/>
        </w:rPr>
      </w:pPr>
    </w:p>
    <w:p>
      <w:pPr>
        <w:snapToGrid w:val="0"/>
        <w:spacing w:line="520" w:lineRule="exact"/>
        <w:ind w:firstLine="482" w:firstLineChars="200"/>
        <w:rPr>
          <w:rFonts w:ascii="宋体"/>
          <w:b/>
          <w:bCs/>
          <w:color w:val="000000"/>
          <w:sz w:val="24"/>
          <w:szCs w:val="24"/>
        </w:rPr>
      </w:pPr>
    </w:p>
    <w:p>
      <w:pPr>
        <w:snapToGrid w:val="0"/>
        <w:spacing w:line="520" w:lineRule="exact"/>
        <w:ind w:firstLine="482" w:firstLineChars="200"/>
        <w:rPr>
          <w:rFonts w:ascii="宋体"/>
          <w:b/>
          <w:bCs/>
          <w:color w:val="000000"/>
          <w:sz w:val="24"/>
          <w:szCs w:val="24"/>
        </w:rPr>
      </w:pPr>
    </w:p>
    <w:p>
      <w:pPr>
        <w:snapToGrid w:val="0"/>
        <w:spacing w:line="520" w:lineRule="exact"/>
        <w:ind w:firstLine="482" w:firstLineChars="200"/>
        <w:rPr>
          <w:rFonts w:ascii="宋体"/>
          <w:b/>
          <w:bCs/>
          <w:color w:val="000000"/>
          <w:sz w:val="24"/>
          <w:szCs w:val="24"/>
        </w:rPr>
      </w:pPr>
    </w:p>
    <w:p>
      <w:pPr>
        <w:snapToGrid w:val="0"/>
        <w:spacing w:line="520" w:lineRule="exact"/>
        <w:ind w:firstLine="482" w:firstLineChars="200"/>
        <w:rPr>
          <w:rFonts w:ascii="宋体"/>
          <w:b/>
          <w:bCs/>
          <w:color w:val="000000"/>
          <w:sz w:val="24"/>
          <w:szCs w:val="24"/>
        </w:rPr>
      </w:pPr>
    </w:p>
    <w:p>
      <w:pPr>
        <w:snapToGrid w:val="0"/>
        <w:spacing w:line="520" w:lineRule="exact"/>
        <w:ind w:firstLine="482" w:firstLineChars="200"/>
        <w:rPr>
          <w:rFonts w:ascii="宋体"/>
          <w:b/>
          <w:bCs/>
          <w:color w:val="000000"/>
          <w:sz w:val="24"/>
          <w:szCs w:val="24"/>
        </w:rPr>
      </w:pPr>
    </w:p>
    <w:p>
      <w:pPr>
        <w:snapToGrid w:val="0"/>
        <w:spacing w:line="520" w:lineRule="exact"/>
        <w:ind w:firstLine="562" w:firstLineChars="200"/>
        <w:rPr>
          <w:rFonts w:ascii="宋体"/>
          <w:b/>
          <w:bCs/>
          <w:color w:val="000000"/>
          <w:sz w:val="28"/>
          <w:szCs w:val="28"/>
        </w:rPr>
      </w:pPr>
      <w:r>
        <w:rPr>
          <w:rFonts w:ascii="宋体"/>
          <w:b/>
          <w:bCs/>
          <w:color w:val="000000"/>
          <w:sz w:val="28"/>
          <w:szCs w:val="28"/>
        </w:rPr>
        <w:br w:type="page"/>
      </w:r>
      <w:r>
        <w:rPr>
          <w:rFonts w:hint="eastAsia" w:ascii="宋体" w:hAnsi="宋体" w:cs="宋体"/>
          <w:b/>
          <w:bCs/>
          <w:color w:val="000000"/>
          <w:sz w:val="28"/>
          <w:szCs w:val="28"/>
        </w:rPr>
        <w:t>附件：</w:t>
      </w:r>
    </w:p>
    <w:p>
      <w:pPr>
        <w:snapToGrid w:val="0"/>
        <w:spacing w:line="520" w:lineRule="exact"/>
        <w:jc w:val="center"/>
        <w:outlineLvl w:val="3"/>
        <w:rPr>
          <w:rFonts w:ascii="宋体"/>
          <w:b/>
          <w:bCs/>
          <w:color w:val="000000"/>
          <w:sz w:val="28"/>
          <w:szCs w:val="28"/>
        </w:rPr>
      </w:pPr>
      <w:r>
        <w:rPr>
          <w:rFonts w:ascii="宋体" w:hAnsi="宋体" w:cs="宋体"/>
          <w:b/>
          <w:bCs/>
          <w:color w:val="000000"/>
          <w:sz w:val="28"/>
          <w:szCs w:val="28"/>
        </w:rPr>
        <w:t>1</w:t>
      </w:r>
      <w:r>
        <w:rPr>
          <w:rFonts w:hint="eastAsia" w:ascii="宋体" w:hAnsi="宋体" w:cs="宋体"/>
          <w:b/>
          <w:bCs/>
          <w:color w:val="000000"/>
          <w:sz w:val="28"/>
          <w:szCs w:val="28"/>
        </w:rPr>
        <w:t>、法定代表人身份证明</w:t>
      </w:r>
    </w:p>
    <w:p>
      <w:pPr>
        <w:snapToGrid w:val="0"/>
        <w:spacing w:line="520" w:lineRule="exact"/>
        <w:jc w:val="center"/>
        <w:rPr>
          <w:rFonts w:ascii="宋体"/>
          <w:color w:val="000000"/>
          <w:sz w:val="24"/>
          <w:szCs w:val="24"/>
        </w:rPr>
      </w:pPr>
      <w:r>
        <w:rPr>
          <w:rFonts w:hint="eastAsia" w:ascii="宋体" w:hAnsi="宋体" w:cs="宋体"/>
          <w:color w:val="000000"/>
          <w:sz w:val="24"/>
          <w:szCs w:val="24"/>
        </w:rPr>
        <w:t>（如法定代表人参加磋商，须出示此证明）</w:t>
      </w:r>
    </w:p>
    <w:p>
      <w:pPr>
        <w:snapToGrid w:val="0"/>
        <w:spacing w:line="520" w:lineRule="exact"/>
        <w:jc w:val="center"/>
        <w:rPr>
          <w:rFonts w:ascii="宋体"/>
          <w:color w:val="000000"/>
          <w:sz w:val="24"/>
          <w:szCs w:val="24"/>
        </w:rPr>
      </w:pPr>
    </w:p>
    <w:p>
      <w:pPr>
        <w:snapToGrid w:val="0"/>
        <w:spacing w:line="520" w:lineRule="exact"/>
        <w:jc w:val="left"/>
        <w:rPr>
          <w:rFonts w:ascii="宋体"/>
          <w:color w:val="000000"/>
          <w:sz w:val="24"/>
          <w:szCs w:val="24"/>
          <w:u w:val="single"/>
        </w:rPr>
      </w:pPr>
      <w:r>
        <w:rPr>
          <w:rFonts w:hint="eastAsia" w:ascii="宋体" w:hAnsi="宋体" w:cs="宋体"/>
          <w:sz w:val="24"/>
          <w:szCs w:val="24"/>
          <w:u w:val="single"/>
        </w:rPr>
        <w:t>南通市文化广电和旅游局</w:t>
      </w:r>
      <w:r>
        <w:rPr>
          <w:rFonts w:ascii="宋体" w:hAnsi="宋体" w:cs="宋体"/>
          <w:color w:val="000000"/>
          <w:sz w:val="24"/>
          <w:szCs w:val="24"/>
          <w:u w:val="single"/>
        </w:rPr>
        <w:t>:</w:t>
      </w:r>
    </w:p>
    <w:p>
      <w:pPr>
        <w:snapToGrid w:val="0"/>
        <w:spacing w:line="520" w:lineRule="exact"/>
        <w:ind w:firstLine="480" w:firstLineChars="200"/>
        <w:rPr>
          <w:rFonts w:ascii="宋体"/>
          <w:color w:val="000000"/>
          <w:sz w:val="24"/>
          <w:szCs w:val="24"/>
        </w:rPr>
      </w:pPr>
      <w:r>
        <w:rPr>
          <w:rFonts w:hint="eastAsia" w:ascii="宋体" w:hAnsi="宋体" w:cs="宋体"/>
          <w:color w:val="000000"/>
          <w:sz w:val="24"/>
          <w:szCs w:val="24"/>
        </w:rPr>
        <w:t>我公司法定代表人</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hint="eastAsia" w:ascii="宋体" w:hAnsi="宋体" w:cs="宋体"/>
          <w:color w:val="000000"/>
          <w:sz w:val="24"/>
          <w:szCs w:val="24"/>
        </w:rPr>
        <w:t>参加贵单位组织的</w:t>
      </w:r>
      <w:r>
        <w:rPr>
          <w:rFonts w:hint="eastAsia" w:ascii="宋体" w:hAnsi="宋体" w:cs="宋体"/>
          <w:color w:val="000000"/>
          <w:sz w:val="24"/>
          <w:szCs w:val="24"/>
          <w:u w:val="single"/>
        </w:rPr>
        <w:t>（竞争性磋商项目名称</w:t>
      </w:r>
      <w:r>
        <w:rPr>
          <w:rFonts w:ascii="宋体" w:hAnsi="宋体" w:cs="宋体"/>
          <w:color w:val="000000"/>
          <w:sz w:val="24"/>
          <w:szCs w:val="24"/>
          <w:u w:val="single"/>
        </w:rPr>
        <w:t xml:space="preserve"> )</w:t>
      </w:r>
      <w:r>
        <w:rPr>
          <w:rFonts w:hint="eastAsia" w:ascii="宋体" w:hAnsi="宋体" w:cs="宋体"/>
          <w:color w:val="000000"/>
          <w:sz w:val="24"/>
          <w:szCs w:val="24"/>
        </w:rPr>
        <w:t>项目的磋商活动，全权代表我公司处理竞争性磋商的有关事宜。</w:t>
      </w:r>
    </w:p>
    <w:p>
      <w:pPr>
        <w:snapToGrid w:val="0"/>
        <w:spacing w:line="520" w:lineRule="exact"/>
        <w:rPr>
          <w:rFonts w:ascii="宋体"/>
          <w:color w:val="000000"/>
          <w:sz w:val="24"/>
          <w:szCs w:val="24"/>
        </w:rPr>
      </w:pPr>
    </w:p>
    <w:p>
      <w:pPr>
        <w:snapToGrid w:val="0"/>
        <w:spacing w:line="520" w:lineRule="exact"/>
        <w:rPr>
          <w:rFonts w:ascii="宋体"/>
          <w:color w:val="000000"/>
          <w:sz w:val="24"/>
          <w:szCs w:val="24"/>
        </w:rPr>
      </w:pPr>
      <w:r>
        <w:rPr>
          <w:rFonts w:hint="eastAsia" w:ascii="宋体" w:hAnsi="宋体" w:cs="宋体"/>
          <w:color w:val="000000"/>
          <w:sz w:val="24"/>
          <w:szCs w:val="24"/>
        </w:rPr>
        <w:t>附：法定代表人情况：</w:t>
      </w:r>
    </w:p>
    <w:p>
      <w:pPr>
        <w:snapToGrid w:val="0"/>
        <w:spacing w:line="520" w:lineRule="exact"/>
        <w:rPr>
          <w:rFonts w:ascii="宋体"/>
          <w:color w:val="000000"/>
          <w:sz w:val="24"/>
          <w:szCs w:val="24"/>
          <w:u w:val="single"/>
        </w:rPr>
      </w:pPr>
      <w:r>
        <w:rPr>
          <w:rFonts w:hint="eastAsia" w:ascii="宋体" w:hAnsi="宋体" w:cs="宋体"/>
          <w:color w:val="000000"/>
          <w:sz w:val="24"/>
          <w:szCs w:val="24"/>
        </w:rPr>
        <w:t>姓名：</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hint="eastAsia" w:ascii="宋体" w:hAnsi="宋体" w:cs="宋体"/>
          <w:color w:val="000000"/>
          <w:sz w:val="24"/>
          <w:szCs w:val="24"/>
        </w:rPr>
        <w:t>性别：</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hint="eastAsia" w:ascii="宋体" w:hAnsi="宋体" w:cs="宋体"/>
          <w:color w:val="000000"/>
          <w:sz w:val="24"/>
          <w:szCs w:val="24"/>
        </w:rPr>
        <w:t>年龄：</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hint="eastAsia" w:ascii="宋体" w:hAnsi="宋体" w:cs="宋体"/>
          <w:color w:val="000000"/>
          <w:sz w:val="24"/>
          <w:szCs w:val="24"/>
        </w:rPr>
        <w:t>职务：</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p>
    <w:p>
      <w:pPr>
        <w:snapToGrid w:val="0"/>
        <w:spacing w:line="520" w:lineRule="exact"/>
        <w:rPr>
          <w:rFonts w:ascii="宋体"/>
          <w:color w:val="000000"/>
          <w:sz w:val="24"/>
          <w:szCs w:val="24"/>
        </w:rPr>
      </w:pPr>
      <w:r>
        <w:rPr>
          <w:rFonts w:hint="eastAsia" w:ascii="宋体" w:hAnsi="宋体" w:cs="宋体"/>
          <w:color w:val="000000"/>
          <w:sz w:val="24"/>
          <w:szCs w:val="24"/>
        </w:rPr>
        <w:t>身份证号码：</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ascii="宋体" w:hAnsi="宋体" w:cs="宋体"/>
          <w:color w:val="000000"/>
          <w:sz w:val="24"/>
          <w:szCs w:val="24"/>
          <w:u w:val="single"/>
        </w:rPr>
        <w:t xml:space="preserve">       </w:t>
      </w:r>
    </w:p>
    <w:p>
      <w:pPr>
        <w:snapToGrid w:val="0"/>
        <w:spacing w:line="520" w:lineRule="exact"/>
        <w:rPr>
          <w:rFonts w:ascii="宋体"/>
          <w:color w:val="000000"/>
          <w:sz w:val="24"/>
          <w:szCs w:val="24"/>
        </w:rPr>
      </w:pPr>
      <w:r>
        <w:rPr>
          <w:rFonts w:hint="eastAsia" w:ascii="宋体" w:hAnsi="宋体" w:cs="宋体"/>
          <w:color w:val="000000"/>
          <w:sz w:val="24"/>
          <w:szCs w:val="24"/>
        </w:rPr>
        <w:t>手机：</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ascii="宋体" w:hAnsi="宋体" w:cs="宋体"/>
          <w:color w:val="000000"/>
          <w:sz w:val="24"/>
          <w:szCs w:val="24"/>
          <w:u w:val="single"/>
        </w:rPr>
        <w:t xml:space="preserve">   </w:t>
      </w:r>
      <w:r>
        <w:rPr>
          <w:rFonts w:hint="eastAsia" w:ascii="宋体" w:hAnsi="宋体" w:cs="宋体"/>
          <w:color w:val="000000"/>
          <w:sz w:val="24"/>
          <w:szCs w:val="24"/>
        </w:rPr>
        <w:t>传真：</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ascii="宋体" w:hAnsi="宋体" w:cs="宋体"/>
          <w:color w:val="000000"/>
          <w:sz w:val="24"/>
          <w:szCs w:val="24"/>
        </w:rPr>
        <w:t xml:space="preserve">                      </w:t>
      </w:r>
    </w:p>
    <w:p>
      <w:pPr>
        <w:snapToGrid w:val="0"/>
        <w:spacing w:line="520" w:lineRule="exact"/>
        <w:rPr>
          <w:rFonts w:ascii="宋体"/>
          <w:color w:val="000000"/>
          <w:sz w:val="24"/>
          <w:szCs w:val="24"/>
        </w:rPr>
      </w:pPr>
      <w:r>
        <w:rPr>
          <w:rFonts w:ascii="宋体"/>
          <w:color w:val="000000"/>
          <w:sz w:val="24"/>
          <w:szCs w:val="24"/>
        </w:rPr>
        <w:t xml:space="preserve">  </w:t>
      </w:r>
    </w:p>
    <w:p>
      <w:pPr>
        <w:snapToGrid w:val="0"/>
        <w:spacing w:line="520" w:lineRule="exact"/>
        <w:rPr>
          <w:rFonts w:ascii="宋体"/>
          <w:color w:val="000000"/>
          <w:sz w:val="24"/>
          <w:szCs w:val="24"/>
        </w:rPr>
      </w:pPr>
    </w:p>
    <w:p>
      <w:pPr>
        <w:snapToGrid w:val="0"/>
        <w:spacing w:line="520" w:lineRule="exact"/>
        <w:rPr>
          <w:rFonts w:ascii="宋体"/>
          <w:color w:val="000000"/>
          <w:sz w:val="24"/>
          <w:szCs w:val="24"/>
        </w:rPr>
      </w:pPr>
      <w:r>
        <w:rPr>
          <w:rFonts w:hint="eastAsia" w:ascii="宋体" w:hAnsi="宋体" w:cs="宋体"/>
          <w:color w:val="000000"/>
          <w:sz w:val="24"/>
          <w:szCs w:val="24"/>
        </w:rPr>
        <w:t>单位名称（公章）</w:t>
      </w:r>
      <w:r>
        <w:rPr>
          <w:rFonts w:ascii="宋体" w:hAnsi="宋体" w:cs="宋体"/>
          <w:color w:val="000000"/>
          <w:sz w:val="24"/>
          <w:szCs w:val="24"/>
        </w:rPr>
        <w:t xml:space="preserve">             </w:t>
      </w:r>
      <w:r>
        <w:rPr>
          <w:rFonts w:hint="eastAsia" w:ascii="宋体" w:hAnsi="宋体" w:cs="宋体"/>
          <w:color w:val="000000"/>
          <w:sz w:val="24"/>
          <w:szCs w:val="24"/>
        </w:rPr>
        <w:t>法定代表人（签字或盖章）</w:t>
      </w:r>
    </w:p>
    <w:p>
      <w:pPr>
        <w:snapToGrid w:val="0"/>
        <w:spacing w:line="520" w:lineRule="exact"/>
        <w:ind w:firstLine="1200" w:firstLineChars="500"/>
        <w:rPr>
          <w:rFonts w:ascii="宋体"/>
          <w:color w:val="000000"/>
          <w:sz w:val="24"/>
          <w:szCs w:val="24"/>
        </w:rPr>
      </w:pP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r>
        <w:rPr>
          <w:rFonts w:ascii="宋体" w:hAnsi="宋体" w:cs="宋体"/>
          <w:color w:val="000000"/>
          <w:sz w:val="24"/>
          <w:szCs w:val="24"/>
        </w:rPr>
        <w:t xml:space="preserve">  </w:t>
      </w:r>
    </w:p>
    <w:p>
      <w:pPr>
        <w:snapToGrid w:val="0"/>
        <w:spacing w:line="520" w:lineRule="exact"/>
        <w:rPr>
          <w:rFonts w:ascii="宋体"/>
          <w:color w:val="000000"/>
          <w:sz w:val="24"/>
          <w:szCs w:val="24"/>
        </w:rPr>
      </w:pPr>
    </w:p>
    <w:p>
      <w:pPr>
        <w:snapToGrid w:val="0"/>
        <w:spacing w:line="520" w:lineRule="exact"/>
        <w:rPr>
          <w:rFonts w:ascii="宋体"/>
          <w:color w:val="000000"/>
          <w:sz w:val="24"/>
          <w:szCs w:val="24"/>
        </w:rPr>
      </w:pPr>
      <w:r>
        <w:rPr>
          <w:rFonts w:hint="eastAsia" w:ascii="宋体" w:hAnsi="宋体" w:cs="宋体"/>
          <w:color w:val="000000"/>
          <w:sz w:val="24"/>
          <w:szCs w:val="24"/>
        </w:rPr>
        <w:t>法定代表人身份证复印件</w:t>
      </w:r>
    </w:p>
    <w:p>
      <w:pPr>
        <w:snapToGrid w:val="0"/>
        <w:spacing w:line="520" w:lineRule="exact"/>
        <w:rPr>
          <w:rFonts w:ascii="宋体"/>
          <w:color w:val="000000"/>
          <w:sz w:val="24"/>
          <w:szCs w:val="24"/>
        </w:rPr>
      </w:pPr>
    </w:p>
    <w:p>
      <w:pPr>
        <w:snapToGrid w:val="0"/>
        <w:spacing w:line="520" w:lineRule="exact"/>
        <w:ind w:firstLine="2280" w:firstLineChars="950"/>
        <w:rPr>
          <w:rFonts w:ascii="宋体"/>
          <w:color w:val="000000"/>
          <w:sz w:val="24"/>
          <w:szCs w:val="24"/>
        </w:rPr>
      </w:pPr>
      <w:r>
        <w:rPr>
          <w:rFonts w:hint="eastAsia" w:ascii="宋体" w:hAnsi="宋体" w:cs="宋体"/>
          <w:color w:val="000000"/>
          <w:sz w:val="24"/>
          <w:szCs w:val="24"/>
        </w:rPr>
        <w:t>（粘贴此处）</w:t>
      </w:r>
    </w:p>
    <w:p>
      <w:pPr>
        <w:snapToGrid w:val="0"/>
        <w:spacing w:line="520" w:lineRule="exact"/>
        <w:ind w:firstLine="2280" w:firstLineChars="950"/>
        <w:rPr>
          <w:rFonts w:ascii="宋体"/>
          <w:color w:val="000000"/>
          <w:sz w:val="24"/>
          <w:szCs w:val="24"/>
        </w:rPr>
      </w:pPr>
    </w:p>
    <w:p>
      <w:pPr>
        <w:snapToGrid w:val="0"/>
        <w:spacing w:line="520" w:lineRule="exact"/>
        <w:ind w:firstLine="2280" w:firstLineChars="950"/>
        <w:rPr>
          <w:rFonts w:ascii="宋体"/>
          <w:color w:val="000000"/>
          <w:sz w:val="24"/>
          <w:szCs w:val="24"/>
        </w:rPr>
      </w:pPr>
    </w:p>
    <w:p>
      <w:pPr>
        <w:snapToGrid w:val="0"/>
        <w:spacing w:line="520" w:lineRule="exact"/>
        <w:ind w:firstLine="482" w:firstLineChars="200"/>
        <w:rPr>
          <w:rFonts w:ascii="宋体"/>
          <w:b/>
          <w:bCs/>
          <w:color w:val="000000"/>
          <w:sz w:val="24"/>
          <w:szCs w:val="24"/>
        </w:rPr>
      </w:pPr>
      <w:r>
        <w:rPr>
          <w:rFonts w:hint="eastAsia" w:ascii="宋体" w:hAnsi="宋体" w:cs="宋体"/>
          <w:b/>
          <w:bCs/>
          <w:color w:val="000000"/>
          <w:sz w:val="24"/>
          <w:szCs w:val="24"/>
        </w:rPr>
        <w:t>注</w:t>
      </w:r>
      <w:r>
        <w:rPr>
          <w:rFonts w:ascii="宋体" w:hAnsi="宋体" w:cs="宋体"/>
          <w:b/>
          <w:bCs/>
          <w:color w:val="000000"/>
          <w:sz w:val="24"/>
          <w:szCs w:val="24"/>
        </w:rPr>
        <w:t>:</w:t>
      </w:r>
      <w:r>
        <w:rPr>
          <w:rFonts w:hint="eastAsia" w:ascii="宋体" w:hAnsi="宋体" w:cs="宋体"/>
          <w:b/>
          <w:bCs/>
          <w:color w:val="000000"/>
          <w:sz w:val="24"/>
          <w:szCs w:val="24"/>
        </w:rPr>
        <w:t>参加磋商时法定代表人将身份证原件带至磋商现场备查</w:t>
      </w:r>
      <w:r>
        <w:rPr>
          <w:rFonts w:hint="eastAsia" w:ascii="宋体" w:hAnsi="宋体" w:cs="宋体"/>
          <w:b/>
          <w:bCs/>
          <w:sz w:val="24"/>
          <w:szCs w:val="24"/>
        </w:rPr>
        <w:t>。</w:t>
      </w:r>
    </w:p>
    <w:p>
      <w:pPr>
        <w:snapToGrid w:val="0"/>
        <w:spacing w:line="520" w:lineRule="exact"/>
        <w:jc w:val="center"/>
        <w:outlineLvl w:val="3"/>
        <w:rPr>
          <w:rFonts w:ascii="宋体"/>
          <w:b/>
          <w:bCs/>
          <w:color w:val="000000"/>
          <w:sz w:val="28"/>
          <w:szCs w:val="28"/>
        </w:rPr>
      </w:pPr>
      <w:r>
        <w:rPr>
          <w:rFonts w:ascii="宋体"/>
          <w:b/>
          <w:bCs/>
          <w:color w:val="000000"/>
          <w:sz w:val="24"/>
          <w:szCs w:val="24"/>
        </w:rPr>
        <w:br w:type="page"/>
      </w:r>
      <w:r>
        <w:rPr>
          <w:rFonts w:ascii="宋体" w:hAnsi="宋体" w:cs="宋体"/>
          <w:b/>
          <w:bCs/>
          <w:color w:val="000000"/>
          <w:sz w:val="28"/>
          <w:szCs w:val="28"/>
        </w:rPr>
        <w:t>2</w:t>
      </w:r>
      <w:r>
        <w:rPr>
          <w:rFonts w:hint="eastAsia" w:ascii="宋体" w:hAnsi="宋体" w:cs="宋体"/>
          <w:b/>
          <w:bCs/>
          <w:color w:val="000000"/>
          <w:sz w:val="28"/>
          <w:szCs w:val="28"/>
        </w:rPr>
        <w:t>、授权委托书</w:t>
      </w:r>
    </w:p>
    <w:p>
      <w:pPr>
        <w:snapToGrid w:val="0"/>
        <w:spacing w:line="520" w:lineRule="exact"/>
        <w:jc w:val="center"/>
        <w:rPr>
          <w:rFonts w:ascii="宋体"/>
          <w:color w:val="000000"/>
          <w:sz w:val="24"/>
          <w:szCs w:val="24"/>
        </w:rPr>
      </w:pPr>
      <w:r>
        <w:rPr>
          <w:rFonts w:hint="eastAsia" w:ascii="宋体" w:hAnsi="宋体" w:cs="宋体"/>
          <w:color w:val="000000"/>
          <w:sz w:val="24"/>
          <w:szCs w:val="24"/>
        </w:rPr>
        <w:t>（如被授权人参加磋商，须出示此证明）</w:t>
      </w:r>
    </w:p>
    <w:p>
      <w:pPr>
        <w:snapToGrid w:val="0"/>
        <w:spacing w:line="520" w:lineRule="exact"/>
        <w:jc w:val="center"/>
        <w:rPr>
          <w:rFonts w:ascii="宋体"/>
          <w:color w:val="000000"/>
          <w:sz w:val="24"/>
          <w:szCs w:val="24"/>
        </w:rPr>
      </w:pPr>
    </w:p>
    <w:p>
      <w:pPr>
        <w:snapToGrid w:val="0"/>
        <w:spacing w:line="520" w:lineRule="exact"/>
        <w:jc w:val="left"/>
        <w:rPr>
          <w:rFonts w:ascii="宋体"/>
          <w:color w:val="000000"/>
          <w:sz w:val="24"/>
          <w:szCs w:val="24"/>
          <w:u w:val="single"/>
        </w:rPr>
      </w:pPr>
      <w:r>
        <w:rPr>
          <w:rFonts w:hint="eastAsia" w:ascii="宋体" w:hAnsi="宋体" w:cs="宋体"/>
          <w:sz w:val="24"/>
          <w:szCs w:val="24"/>
          <w:u w:val="single"/>
        </w:rPr>
        <w:t>南通市文化广电和旅游局</w:t>
      </w:r>
      <w:r>
        <w:rPr>
          <w:rFonts w:ascii="宋体" w:hAnsi="宋体" w:cs="宋体"/>
          <w:sz w:val="24"/>
          <w:szCs w:val="24"/>
          <w:u w:val="single"/>
        </w:rPr>
        <w:t xml:space="preserve"> </w:t>
      </w:r>
      <w:r>
        <w:rPr>
          <w:rFonts w:ascii="宋体" w:hAnsi="宋体" w:cs="宋体"/>
          <w:color w:val="000000"/>
          <w:sz w:val="24"/>
          <w:szCs w:val="24"/>
          <w:u w:val="single"/>
        </w:rPr>
        <w:t>:</w:t>
      </w:r>
    </w:p>
    <w:p>
      <w:pPr>
        <w:snapToGrid w:val="0"/>
        <w:spacing w:line="480" w:lineRule="exact"/>
        <w:ind w:firstLine="480" w:firstLineChars="200"/>
        <w:rPr>
          <w:rFonts w:hAnsi="宋体"/>
          <w:sz w:val="24"/>
          <w:szCs w:val="24"/>
        </w:rPr>
      </w:pPr>
      <w:r>
        <w:rPr>
          <w:rFonts w:hint="eastAsia" w:hAnsi="宋体" w:cs="宋体"/>
          <w:sz w:val="24"/>
          <w:szCs w:val="24"/>
        </w:rPr>
        <w:t>兹授权</w:t>
      </w:r>
      <w:r>
        <w:rPr>
          <w:rFonts w:hAnsi="宋体"/>
          <w:sz w:val="24"/>
          <w:szCs w:val="24"/>
          <w:u w:val="single"/>
        </w:rPr>
        <w:t xml:space="preserve">           </w:t>
      </w:r>
      <w:r>
        <w:rPr>
          <w:rFonts w:hint="eastAsia" w:hAnsi="宋体" w:cs="宋体"/>
          <w:sz w:val="24"/>
          <w:szCs w:val="24"/>
        </w:rPr>
        <w:t>（被授权人的姓名）代表我公司参加</w:t>
      </w:r>
      <w:r>
        <w:rPr>
          <w:rFonts w:hint="eastAsia" w:hAnsi="宋体" w:cs="宋体"/>
          <w:sz w:val="24"/>
          <w:szCs w:val="24"/>
          <w:u w:val="single"/>
        </w:rPr>
        <w:t>（</w:t>
      </w:r>
      <w:r>
        <w:rPr>
          <w:rFonts w:hint="eastAsia" w:ascii="宋体" w:hAnsi="宋体" w:cs="宋体"/>
          <w:color w:val="000000"/>
          <w:sz w:val="24"/>
          <w:szCs w:val="24"/>
          <w:u w:val="single"/>
        </w:rPr>
        <w:t>竞争性磋商项目名称</w:t>
      </w:r>
      <w:r>
        <w:rPr>
          <w:rFonts w:ascii="宋体" w:hAnsi="宋体" w:cs="宋体"/>
          <w:color w:val="000000"/>
          <w:sz w:val="24"/>
          <w:szCs w:val="24"/>
          <w:u w:val="single"/>
        </w:rPr>
        <w:t xml:space="preserve"> </w:t>
      </w:r>
      <w:r>
        <w:rPr>
          <w:rFonts w:hAnsi="宋体"/>
          <w:sz w:val="24"/>
          <w:szCs w:val="24"/>
          <w:u w:val="single"/>
        </w:rPr>
        <w:t>)</w:t>
      </w:r>
      <w:r>
        <w:rPr>
          <w:rFonts w:hint="eastAsia" w:hAnsi="宋体" w:cs="宋体"/>
          <w:sz w:val="24"/>
          <w:szCs w:val="24"/>
        </w:rPr>
        <w:t>项目的政府采购活动，全权处理一切与该项目招标有关的事务。其在办理上述事宜过程中所签署的所有文件我公司均予以承认。</w:t>
      </w:r>
    </w:p>
    <w:p>
      <w:pPr>
        <w:pStyle w:val="25"/>
        <w:adjustRightInd w:val="0"/>
        <w:snapToGrid w:val="0"/>
        <w:spacing w:line="500" w:lineRule="exact"/>
        <w:ind w:firstLine="480" w:firstLineChars="200"/>
        <w:jc w:val="left"/>
        <w:rPr>
          <w:rFonts w:hAnsi="宋体" w:cs="Times New Roman"/>
          <w:kern w:val="0"/>
          <w:sz w:val="24"/>
          <w:szCs w:val="24"/>
        </w:rPr>
      </w:pPr>
    </w:p>
    <w:p>
      <w:pPr>
        <w:pStyle w:val="25"/>
        <w:adjustRightInd w:val="0"/>
        <w:snapToGrid w:val="0"/>
        <w:spacing w:line="500" w:lineRule="exact"/>
        <w:ind w:firstLine="480" w:firstLineChars="200"/>
        <w:jc w:val="left"/>
        <w:rPr>
          <w:rFonts w:hAnsi="宋体" w:cs="Times New Roman"/>
          <w:kern w:val="0"/>
          <w:sz w:val="24"/>
          <w:szCs w:val="24"/>
        </w:rPr>
      </w:pPr>
      <w:r>
        <w:rPr>
          <w:rFonts w:hint="eastAsia" w:hAnsi="宋体"/>
          <w:kern w:val="0"/>
          <w:sz w:val="24"/>
          <w:szCs w:val="24"/>
        </w:rPr>
        <w:t>被授权人无转委托权，特此委托。</w:t>
      </w:r>
    </w:p>
    <w:p>
      <w:pPr>
        <w:pStyle w:val="25"/>
        <w:adjustRightInd w:val="0"/>
        <w:snapToGrid w:val="0"/>
        <w:spacing w:line="500" w:lineRule="exact"/>
        <w:ind w:firstLine="480" w:firstLineChars="200"/>
        <w:jc w:val="left"/>
        <w:rPr>
          <w:rFonts w:hAnsi="宋体" w:cs="Times New Roman"/>
          <w:kern w:val="0"/>
          <w:sz w:val="24"/>
          <w:szCs w:val="24"/>
        </w:rPr>
      </w:pPr>
    </w:p>
    <w:p>
      <w:pPr>
        <w:snapToGrid w:val="0"/>
        <w:spacing w:line="520" w:lineRule="exact"/>
        <w:rPr>
          <w:rFonts w:ascii="宋体"/>
          <w:sz w:val="24"/>
          <w:szCs w:val="24"/>
        </w:rPr>
      </w:pPr>
      <w:r>
        <w:rPr>
          <w:rFonts w:hint="eastAsia" w:ascii="宋体" w:hAnsi="宋体" w:cs="宋体"/>
          <w:sz w:val="24"/>
          <w:szCs w:val="24"/>
        </w:rPr>
        <w:t>附：被授权人情况：</w:t>
      </w:r>
    </w:p>
    <w:p>
      <w:pPr>
        <w:snapToGrid w:val="0"/>
        <w:spacing w:line="520" w:lineRule="exact"/>
        <w:rPr>
          <w:rFonts w:ascii="宋体"/>
          <w:sz w:val="24"/>
          <w:szCs w:val="24"/>
          <w:u w:val="single"/>
        </w:rPr>
      </w:pPr>
      <w:r>
        <w:rPr>
          <w:rFonts w:hint="eastAsia" w:ascii="宋体" w:hAnsi="宋体" w:cs="宋体"/>
          <w:sz w:val="24"/>
          <w:szCs w:val="24"/>
        </w:rPr>
        <w:t>姓名：</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hint="eastAsia" w:ascii="宋体" w:hAnsi="宋体" w:cs="宋体"/>
          <w:sz w:val="24"/>
          <w:szCs w:val="24"/>
        </w:rPr>
        <w:t>性别：</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hint="eastAsia" w:ascii="宋体" w:hAnsi="宋体" w:cs="宋体"/>
          <w:sz w:val="24"/>
          <w:szCs w:val="24"/>
        </w:rPr>
        <w:t>年龄：</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hint="eastAsia" w:ascii="宋体" w:hAnsi="宋体" w:cs="宋体"/>
          <w:sz w:val="24"/>
          <w:szCs w:val="24"/>
        </w:rPr>
        <w:t>职务：</w:t>
      </w:r>
      <w:r>
        <w:rPr>
          <w:rFonts w:ascii="宋体" w:hAnsi="宋体" w:cs="宋体"/>
          <w:sz w:val="24"/>
          <w:szCs w:val="24"/>
          <w:u w:val="single"/>
        </w:rPr>
        <w:t xml:space="preserve">                </w:t>
      </w:r>
    </w:p>
    <w:p>
      <w:pPr>
        <w:snapToGrid w:val="0"/>
        <w:spacing w:line="520" w:lineRule="exact"/>
        <w:rPr>
          <w:rFonts w:ascii="宋体"/>
          <w:sz w:val="24"/>
          <w:szCs w:val="24"/>
        </w:rPr>
      </w:pPr>
      <w:r>
        <w:rPr>
          <w:rFonts w:hint="eastAsia" w:ascii="宋体" w:hAnsi="宋体" w:cs="宋体"/>
          <w:sz w:val="24"/>
          <w:szCs w:val="24"/>
        </w:rPr>
        <w:t>身份证号码：</w:t>
      </w:r>
      <w:r>
        <w:rPr>
          <w:rFonts w:ascii="宋体" w:hAnsi="宋体" w:cs="宋体"/>
          <w:sz w:val="24"/>
          <w:szCs w:val="24"/>
          <w:u w:val="single"/>
        </w:rPr>
        <w:t xml:space="preserve">                                         </w:t>
      </w:r>
    </w:p>
    <w:p>
      <w:pPr>
        <w:snapToGrid w:val="0"/>
        <w:spacing w:line="520" w:lineRule="exact"/>
        <w:rPr>
          <w:rFonts w:ascii="宋体"/>
          <w:sz w:val="24"/>
          <w:szCs w:val="24"/>
        </w:rPr>
      </w:pPr>
      <w:r>
        <w:rPr>
          <w:rFonts w:hint="eastAsia" w:ascii="宋体" w:hAnsi="宋体" w:cs="宋体"/>
          <w:sz w:val="24"/>
          <w:szCs w:val="24"/>
        </w:rPr>
        <w:t>手机：</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r>
        <w:rPr>
          <w:rFonts w:ascii="宋体" w:hAnsi="宋体" w:cs="宋体"/>
          <w:sz w:val="24"/>
          <w:szCs w:val="24"/>
        </w:rPr>
        <w:t xml:space="preserve"> </w:t>
      </w:r>
      <w:r>
        <w:rPr>
          <w:rFonts w:hint="eastAsia" w:ascii="宋体" w:hAnsi="宋体" w:cs="宋体"/>
          <w:sz w:val="24"/>
          <w:szCs w:val="24"/>
        </w:rPr>
        <w:t>传真：</w:t>
      </w:r>
      <w:r>
        <w:rPr>
          <w:rFonts w:ascii="宋体" w:hAnsi="宋体" w:cs="宋体"/>
          <w:sz w:val="24"/>
          <w:szCs w:val="24"/>
          <w:u w:val="single"/>
        </w:rPr>
        <w:t xml:space="preserve">                        </w:t>
      </w:r>
    </w:p>
    <w:p>
      <w:pPr>
        <w:snapToGrid w:val="0"/>
        <w:spacing w:line="520" w:lineRule="exact"/>
        <w:rPr>
          <w:rFonts w:ascii="宋体"/>
          <w:sz w:val="24"/>
          <w:szCs w:val="24"/>
        </w:rPr>
      </w:pPr>
      <w:r>
        <w:rPr>
          <w:rFonts w:ascii="宋体"/>
          <w:sz w:val="24"/>
          <w:szCs w:val="24"/>
        </w:rPr>
        <w:t> </w:t>
      </w:r>
    </w:p>
    <w:p>
      <w:pPr>
        <w:snapToGrid w:val="0"/>
        <w:spacing w:line="520" w:lineRule="exact"/>
        <w:rPr>
          <w:rFonts w:ascii="宋体"/>
          <w:sz w:val="24"/>
          <w:szCs w:val="24"/>
        </w:rPr>
      </w:pPr>
      <w:r>
        <w:rPr>
          <w:rFonts w:hint="eastAsia" w:ascii="宋体" w:hAnsi="宋体" w:cs="宋体"/>
          <w:sz w:val="24"/>
          <w:szCs w:val="24"/>
        </w:rPr>
        <w:t>单位名称（公章）</w:t>
      </w:r>
      <w:r>
        <w:rPr>
          <w:rFonts w:ascii="宋体" w:hAnsi="宋体" w:cs="宋体"/>
          <w:sz w:val="24"/>
          <w:szCs w:val="24"/>
        </w:rPr>
        <w:t xml:space="preserve">                      </w:t>
      </w:r>
      <w:r>
        <w:rPr>
          <w:rFonts w:hint="eastAsia" w:ascii="宋体" w:hAnsi="宋体" w:cs="宋体"/>
          <w:sz w:val="24"/>
          <w:szCs w:val="24"/>
        </w:rPr>
        <w:t>法定代表人（签字或盖章）</w:t>
      </w:r>
    </w:p>
    <w:p>
      <w:pPr>
        <w:snapToGrid w:val="0"/>
        <w:spacing w:line="520" w:lineRule="exact"/>
        <w:ind w:firstLine="1200" w:firstLineChars="500"/>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520" w:lineRule="exact"/>
        <w:rPr>
          <w:rFonts w:ascii="宋体"/>
          <w:sz w:val="24"/>
          <w:szCs w:val="24"/>
        </w:rPr>
      </w:pPr>
    </w:p>
    <w:p>
      <w:pPr>
        <w:adjustRightInd w:val="0"/>
        <w:snapToGrid w:val="0"/>
        <w:spacing w:line="240" w:lineRule="atLeast"/>
        <w:jc w:val="center"/>
        <w:rPr>
          <w:rFonts w:ascii="宋体"/>
          <w:sz w:val="24"/>
          <w:szCs w:val="24"/>
        </w:rPr>
      </w:pPr>
      <w:r>
        <w:rPr>
          <w:rFonts w:hint="eastAsia" w:ascii="宋体" w:hAnsi="宋体" w:cs="宋体"/>
          <w:sz w:val="24"/>
          <w:szCs w:val="24"/>
        </w:rPr>
        <w:t>法定代表人身份证复印件</w:t>
      </w:r>
    </w:p>
    <w:p>
      <w:pPr>
        <w:adjustRightInd w:val="0"/>
        <w:snapToGrid w:val="0"/>
        <w:spacing w:line="240" w:lineRule="atLeast"/>
        <w:jc w:val="center"/>
        <w:rPr>
          <w:rFonts w:ascii="宋体"/>
          <w:sz w:val="24"/>
          <w:szCs w:val="24"/>
        </w:rPr>
      </w:pPr>
    </w:p>
    <w:p>
      <w:pPr>
        <w:adjustRightInd w:val="0"/>
        <w:snapToGrid w:val="0"/>
        <w:spacing w:line="240" w:lineRule="atLeast"/>
        <w:jc w:val="center"/>
        <w:rPr>
          <w:rFonts w:ascii="宋体"/>
          <w:sz w:val="24"/>
          <w:szCs w:val="24"/>
        </w:rPr>
      </w:pPr>
      <w:r>
        <w:rPr>
          <w:rFonts w:hint="eastAsia" w:ascii="宋体" w:hAnsi="宋体" w:cs="宋体"/>
          <w:sz w:val="24"/>
          <w:szCs w:val="24"/>
        </w:rPr>
        <w:t>（粘贴此处）</w:t>
      </w:r>
    </w:p>
    <w:p>
      <w:pPr>
        <w:adjustRightInd w:val="0"/>
        <w:snapToGrid w:val="0"/>
        <w:spacing w:line="240" w:lineRule="atLeast"/>
        <w:jc w:val="center"/>
        <w:rPr>
          <w:rFonts w:ascii="宋体"/>
          <w:sz w:val="24"/>
          <w:szCs w:val="24"/>
        </w:rPr>
      </w:pPr>
    </w:p>
    <w:p>
      <w:pPr>
        <w:adjustRightInd w:val="0"/>
        <w:snapToGrid w:val="0"/>
        <w:spacing w:line="240" w:lineRule="atLeast"/>
        <w:jc w:val="center"/>
        <w:rPr>
          <w:rFonts w:ascii="宋体"/>
          <w:sz w:val="24"/>
          <w:szCs w:val="24"/>
        </w:rPr>
      </w:pPr>
    </w:p>
    <w:p>
      <w:pPr>
        <w:adjustRightInd w:val="0"/>
        <w:snapToGrid w:val="0"/>
        <w:spacing w:line="240" w:lineRule="atLeast"/>
        <w:jc w:val="center"/>
        <w:rPr>
          <w:rFonts w:ascii="宋体"/>
          <w:sz w:val="24"/>
          <w:szCs w:val="24"/>
        </w:rPr>
      </w:pPr>
      <w:r>
        <w:rPr>
          <w:rFonts w:hint="eastAsia" w:ascii="宋体" w:hAnsi="宋体" w:cs="宋体"/>
          <w:sz w:val="24"/>
          <w:szCs w:val="24"/>
        </w:rPr>
        <w:t>被授权人身份证复印件</w:t>
      </w:r>
    </w:p>
    <w:p>
      <w:pPr>
        <w:adjustRightInd w:val="0"/>
        <w:snapToGrid w:val="0"/>
        <w:spacing w:line="240" w:lineRule="atLeast"/>
        <w:jc w:val="center"/>
        <w:rPr>
          <w:rFonts w:ascii="宋体"/>
          <w:sz w:val="24"/>
          <w:szCs w:val="24"/>
        </w:rPr>
      </w:pPr>
    </w:p>
    <w:p>
      <w:pPr>
        <w:adjustRightInd w:val="0"/>
        <w:snapToGrid w:val="0"/>
        <w:spacing w:line="240" w:lineRule="atLeast"/>
        <w:jc w:val="center"/>
        <w:rPr>
          <w:rFonts w:ascii="宋体"/>
          <w:sz w:val="24"/>
          <w:szCs w:val="24"/>
        </w:rPr>
      </w:pPr>
      <w:r>
        <w:rPr>
          <w:rFonts w:hint="eastAsia" w:ascii="宋体" w:hAnsi="宋体" w:cs="宋体"/>
          <w:sz w:val="24"/>
          <w:szCs w:val="24"/>
        </w:rPr>
        <w:t>（粘贴此处）</w:t>
      </w:r>
    </w:p>
    <w:p>
      <w:pPr>
        <w:snapToGrid w:val="0"/>
        <w:spacing w:line="520" w:lineRule="exact"/>
        <w:ind w:firstLine="482" w:firstLineChars="200"/>
        <w:rPr>
          <w:rFonts w:ascii="宋体"/>
          <w:b/>
          <w:bCs/>
          <w:sz w:val="24"/>
          <w:szCs w:val="24"/>
        </w:rPr>
      </w:pPr>
    </w:p>
    <w:p>
      <w:pPr>
        <w:snapToGrid w:val="0"/>
        <w:spacing w:line="520" w:lineRule="exact"/>
        <w:ind w:firstLine="482" w:firstLineChars="200"/>
        <w:rPr>
          <w:rFonts w:ascii="宋体"/>
          <w:sz w:val="24"/>
          <w:szCs w:val="24"/>
        </w:rPr>
      </w:pPr>
      <w:r>
        <w:rPr>
          <w:rFonts w:hint="eastAsia" w:ascii="宋体" w:hAnsi="宋体" w:cs="宋体"/>
          <w:b/>
          <w:bCs/>
          <w:sz w:val="24"/>
          <w:szCs w:val="24"/>
        </w:rPr>
        <w:t>注</w:t>
      </w:r>
      <w:r>
        <w:rPr>
          <w:rFonts w:ascii="宋体" w:hAnsi="宋体" w:cs="宋体"/>
          <w:b/>
          <w:bCs/>
          <w:sz w:val="24"/>
          <w:szCs w:val="24"/>
        </w:rPr>
        <w:t>:</w:t>
      </w:r>
      <w:r>
        <w:rPr>
          <w:rFonts w:hint="eastAsia" w:ascii="宋体" w:hAnsi="宋体" w:cs="宋体"/>
          <w:sz w:val="24"/>
          <w:szCs w:val="24"/>
        </w:rPr>
        <w:t>如为被授权人参加投标时，须将身份证原件带至开标现场备查。</w:t>
      </w:r>
    </w:p>
    <w:p>
      <w:pPr>
        <w:snapToGrid w:val="0"/>
        <w:spacing w:before="360" w:beforeLines="150" w:after="120" w:afterLines="50" w:line="420" w:lineRule="exact"/>
        <w:jc w:val="center"/>
        <w:outlineLvl w:val="4"/>
        <w:rPr>
          <w:rFonts w:ascii="宋体"/>
          <w:b/>
          <w:bCs/>
          <w:sz w:val="28"/>
          <w:szCs w:val="28"/>
        </w:rPr>
      </w:pPr>
      <w:r>
        <w:rPr>
          <w:rFonts w:ascii="宋体"/>
          <w:b/>
          <w:bCs/>
          <w:sz w:val="28"/>
          <w:szCs w:val="28"/>
        </w:rPr>
        <w:br w:type="page"/>
      </w:r>
      <w:r>
        <w:rPr>
          <w:rFonts w:ascii="宋体" w:hAnsi="宋体" w:cs="宋体"/>
          <w:b/>
          <w:bCs/>
          <w:sz w:val="28"/>
          <w:szCs w:val="28"/>
        </w:rPr>
        <w:t>3</w:t>
      </w:r>
      <w:r>
        <w:rPr>
          <w:rFonts w:hint="eastAsia" w:ascii="宋体" w:hAnsi="宋体" w:cs="宋体"/>
          <w:b/>
          <w:bCs/>
          <w:sz w:val="28"/>
          <w:szCs w:val="28"/>
        </w:rPr>
        <w:t>、无重大违法记录声明</w:t>
      </w:r>
    </w:p>
    <w:p>
      <w:pPr>
        <w:snapToGrid w:val="0"/>
        <w:spacing w:line="520" w:lineRule="exact"/>
        <w:jc w:val="left"/>
        <w:rPr>
          <w:rFonts w:ascii="宋体"/>
          <w:color w:val="000000"/>
          <w:sz w:val="24"/>
          <w:szCs w:val="24"/>
          <w:u w:val="single"/>
        </w:rPr>
      </w:pPr>
      <w:r>
        <w:rPr>
          <w:rFonts w:hint="eastAsia" w:ascii="宋体" w:hAnsi="宋体" w:cs="宋体"/>
          <w:sz w:val="24"/>
          <w:szCs w:val="24"/>
          <w:u w:val="single"/>
        </w:rPr>
        <w:t>南通市文化广电和旅游局</w:t>
      </w:r>
      <w:r>
        <w:rPr>
          <w:rFonts w:ascii="宋体" w:hAnsi="宋体" w:cs="宋体"/>
          <w:sz w:val="24"/>
          <w:szCs w:val="24"/>
          <w:u w:val="single"/>
        </w:rPr>
        <w:t xml:space="preserve"> </w:t>
      </w:r>
      <w:r>
        <w:rPr>
          <w:rFonts w:ascii="宋体" w:hAnsi="宋体" w:cs="宋体"/>
          <w:color w:val="000000"/>
          <w:sz w:val="24"/>
          <w:szCs w:val="24"/>
          <w:u w:val="single"/>
        </w:rPr>
        <w:t>:</w:t>
      </w:r>
    </w:p>
    <w:p>
      <w:pPr>
        <w:snapToGrid w:val="0"/>
        <w:spacing w:line="360" w:lineRule="auto"/>
        <w:rPr>
          <w:rFonts w:ascii="宋体"/>
          <w:sz w:val="24"/>
          <w:szCs w:val="24"/>
        </w:rPr>
      </w:pPr>
    </w:p>
    <w:p>
      <w:pPr>
        <w:spacing w:line="360" w:lineRule="auto"/>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我单位</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rPr>
        <w:t>（供应商名称）郑重声明：</w:t>
      </w:r>
    </w:p>
    <w:p>
      <w:pPr>
        <w:spacing w:line="360" w:lineRule="auto"/>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参加本次采购活动前</w:t>
      </w:r>
      <w:r>
        <w:rPr>
          <w:rFonts w:ascii="宋体" w:hAnsi="宋体" w:cs="宋体"/>
          <w:color w:val="000000"/>
          <w:sz w:val="24"/>
          <w:szCs w:val="24"/>
        </w:rPr>
        <w:t>3</w:t>
      </w:r>
      <w:r>
        <w:rPr>
          <w:rFonts w:hint="eastAsia" w:ascii="宋体" w:hAnsi="宋体" w:cs="宋体"/>
          <w:color w:val="000000"/>
          <w:sz w:val="24"/>
          <w:szCs w:val="24"/>
        </w:rPr>
        <w:t>年内在经营活动中</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rPr>
        <w:t>（在下划线上如实填写：有或没有）重大违法记录。</w:t>
      </w:r>
    </w:p>
    <w:p>
      <w:pPr>
        <w:spacing w:line="360" w:lineRule="auto"/>
        <w:ind w:firstLine="480"/>
        <w:rPr>
          <w:rFonts w:ascii="宋体"/>
          <w:color w:val="000000"/>
          <w:sz w:val="24"/>
          <w:szCs w:val="24"/>
        </w:rPr>
      </w:pPr>
      <w:r>
        <w:rPr>
          <w:rFonts w:hint="eastAsia" w:ascii="宋体" w:hAnsi="宋体" w:cs="宋体"/>
          <w:color w:val="000000"/>
          <w:sz w:val="24"/>
          <w:szCs w:val="24"/>
        </w:rPr>
        <w:t>（说明：重大违法记录，是指供应商因违法经营受到刑事处罚或者责令停产停业、吊销许可证或者执照、较大数额罚款等行政处罚。）</w:t>
      </w:r>
    </w:p>
    <w:p>
      <w:pPr>
        <w:spacing w:line="360" w:lineRule="auto"/>
        <w:ind w:firstLine="480"/>
        <w:rPr>
          <w:rFonts w:ascii="宋体"/>
          <w:color w:val="000000"/>
          <w:sz w:val="24"/>
          <w:szCs w:val="24"/>
        </w:rPr>
      </w:pPr>
    </w:p>
    <w:p>
      <w:pPr>
        <w:spacing w:line="360" w:lineRule="auto"/>
        <w:ind w:firstLine="480"/>
        <w:rPr>
          <w:rFonts w:ascii="宋体"/>
          <w:color w:val="000000"/>
          <w:sz w:val="24"/>
          <w:szCs w:val="24"/>
        </w:rPr>
      </w:pPr>
    </w:p>
    <w:p>
      <w:pPr>
        <w:spacing w:line="360" w:lineRule="auto"/>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声明人：（公章）</w:t>
      </w:r>
    </w:p>
    <w:p>
      <w:pPr>
        <w:spacing w:line="360" w:lineRule="auto"/>
        <w:jc w:val="center"/>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p>
      <w:pPr>
        <w:snapToGrid w:val="0"/>
        <w:spacing w:line="360" w:lineRule="auto"/>
        <w:jc w:val="center"/>
        <w:outlineLvl w:val="4"/>
        <w:rPr>
          <w:rFonts w:ascii="宋体"/>
          <w:b/>
          <w:bCs/>
          <w:sz w:val="28"/>
          <w:szCs w:val="28"/>
        </w:rPr>
      </w:pPr>
    </w:p>
    <w:p>
      <w:pPr>
        <w:snapToGrid w:val="0"/>
        <w:spacing w:line="520" w:lineRule="exact"/>
        <w:jc w:val="center"/>
        <w:outlineLvl w:val="4"/>
        <w:rPr>
          <w:rFonts w:ascii="宋体"/>
          <w:b/>
          <w:bCs/>
          <w:sz w:val="28"/>
          <w:szCs w:val="28"/>
        </w:rPr>
      </w:pPr>
      <w:r>
        <w:rPr>
          <w:rFonts w:ascii="宋体"/>
          <w:b/>
          <w:bCs/>
          <w:sz w:val="28"/>
          <w:szCs w:val="28"/>
        </w:rPr>
        <w:br w:type="page"/>
      </w:r>
      <w:r>
        <w:rPr>
          <w:rFonts w:ascii="宋体" w:hAnsi="宋体" w:cs="宋体"/>
          <w:b/>
          <w:bCs/>
          <w:sz w:val="28"/>
          <w:szCs w:val="28"/>
        </w:rPr>
        <w:t>4</w:t>
      </w:r>
      <w:r>
        <w:rPr>
          <w:rFonts w:hint="eastAsia" w:ascii="宋体" w:hAnsi="宋体" w:cs="宋体"/>
          <w:b/>
          <w:bCs/>
          <w:sz w:val="28"/>
          <w:szCs w:val="28"/>
        </w:rPr>
        <w:t>、关于资格文件的声明函</w:t>
      </w:r>
    </w:p>
    <w:p>
      <w:pPr>
        <w:pStyle w:val="14"/>
        <w:overflowPunct w:val="0"/>
        <w:spacing w:line="520" w:lineRule="exact"/>
        <w:jc w:val="center"/>
        <w:rPr>
          <w:rFonts w:ascii="宋体"/>
          <w:sz w:val="28"/>
          <w:szCs w:val="28"/>
        </w:rPr>
      </w:pPr>
    </w:p>
    <w:p>
      <w:pPr>
        <w:snapToGrid w:val="0"/>
        <w:spacing w:line="520" w:lineRule="exact"/>
        <w:jc w:val="left"/>
        <w:rPr>
          <w:rFonts w:ascii="宋体"/>
          <w:color w:val="000000"/>
          <w:sz w:val="24"/>
          <w:szCs w:val="24"/>
          <w:u w:val="single"/>
        </w:rPr>
      </w:pPr>
      <w:r>
        <w:rPr>
          <w:rFonts w:hint="eastAsia" w:ascii="宋体" w:hAnsi="宋体" w:cs="宋体"/>
          <w:sz w:val="24"/>
          <w:szCs w:val="24"/>
          <w:u w:val="single"/>
        </w:rPr>
        <w:t>南通市文化广电和旅游局</w:t>
      </w:r>
      <w:r>
        <w:rPr>
          <w:rFonts w:ascii="宋体" w:hAnsi="宋体" w:cs="宋体"/>
          <w:sz w:val="24"/>
          <w:szCs w:val="24"/>
          <w:u w:val="single"/>
        </w:rPr>
        <w:t xml:space="preserve"> </w:t>
      </w:r>
      <w:r>
        <w:rPr>
          <w:rFonts w:ascii="宋体" w:hAnsi="宋体" w:cs="宋体"/>
          <w:color w:val="000000"/>
          <w:sz w:val="24"/>
          <w:szCs w:val="24"/>
          <w:u w:val="single"/>
        </w:rPr>
        <w:t>:</w:t>
      </w:r>
    </w:p>
    <w:p>
      <w:pPr>
        <w:pStyle w:val="14"/>
        <w:overflowPunct w:val="0"/>
        <w:spacing w:line="520" w:lineRule="exact"/>
        <w:ind w:firstLine="0"/>
        <w:rPr>
          <w:rFonts w:ascii="宋体"/>
          <w:sz w:val="24"/>
          <w:szCs w:val="24"/>
        </w:rPr>
      </w:pPr>
    </w:p>
    <w:p>
      <w:pPr>
        <w:pStyle w:val="14"/>
        <w:overflowPunct w:val="0"/>
        <w:spacing w:line="520" w:lineRule="exact"/>
        <w:ind w:firstLine="660"/>
        <w:rPr>
          <w:rFonts w:ascii="宋体"/>
          <w:sz w:val="24"/>
          <w:szCs w:val="24"/>
        </w:rPr>
      </w:pPr>
      <w:r>
        <w:rPr>
          <w:rFonts w:hint="eastAsia" w:ascii="宋体" w:hAnsi="宋体" w:cs="宋体"/>
          <w:sz w:val="24"/>
          <w:szCs w:val="24"/>
        </w:rPr>
        <w:t>本公司愿就由贵单位组织实施的</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rPr>
        <w:t>（招标项目名称</w:t>
      </w:r>
      <w:r>
        <w:rPr>
          <w:rFonts w:ascii="宋体" w:hAnsi="宋体" w:cs="宋体"/>
          <w:sz w:val="24"/>
          <w:szCs w:val="24"/>
        </w:rPr>
        <w:t xml:space="preserve"> )</w:t>
      </w:r>
      <w:r>
        <w:rPr>
          <w:rFonts w:hint="eastAsia" w:ascii="宋体" w:hAnsi="宋体" w:cs="宋体"/>
          <w:sz w:val="24"/>
          <w:szCs w:val="24"/>
        </w:rPr>
        <w:t>招标活动进行投标。本公司所提交的投标文件中所有关于投标资格的文件、证明和陈述均是真实的、准确的。若与真实情况不符，本公司愿意承担由此而产生的一切后果。</w:t>
      </w:r>
    </w:p>
    <w:p>
      <w:pPr>
        <w:pStyle w:val="14"/>
        <w:overflowPunct w:val="0"/>
        <w:spacing w:line="520" w:lineRule="exact"/>
        <w:rPr>
          <w:rFonts w:ascii="宋体"/>
          <w:sz w:val="24"/>
          <w:szCs w:val="24"/>
        </w:rPr>
      </w:pPr>
    </w:p>
    <w:p>
      <w:pPr>
        <w:pStyle w:val="14"/>
        <w:overflowPunct w:val="0"/>
        <w:spacing w:line="520" w:lineRule="exact"/>
        <w:rPr>
          <w:rFonts w:ascii="宋体"/>
          <w:sz w:val="24"/>
          <w:szCs w:val="24"/>
        </w:rPr>
      </w:pPr>
    </w:p>
    <w:p>
      <w:pPr>
        <w:pStyle w:val="14"/>
        <w:overflowPunct w:val="0"/>
        <w:spacing w:line="520" w:lineRule="exact"/>
        <w:rPr>
          <w:rFonts w:ascii="宋体"/>
          <w:sz w:val="24"/>
          <w:szCs w:val="24"/>
        </w:rPr>
      </w:pPr>
    </w:p>
    <w:p>
      <w:pPr>
        <w:pStyle w:val="14"/>
        <w:overflowPunct w:val="0"/>
        <w:spacing w:line="520" w:lineRule="exact"/>
        <w:rPr>
          <w:rFonts w:ascii="宋体"/>
          <w:sz w:val="24"/>
          <w:szCs w:val="24"/>
        </w:rPr>
      </w:pP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hAnsi="宋体" w:cs="宋体"/>
          <w:sz w:val="24"/>
          <w:szCs w:val="24"/>
        </w:rPr>
        <w:t xml:space="preserve">        </w:t>
      </w:r>
      <w:r>
        <w:rPr>
          <w:rFonts w:hint="eastAsia" w:ascii="宋体" w:hAnsi="宋体" w:cs="宋体"/>
          <w:sz w:val="24"/>
          <w:szCs w:val="24"/>
        </w:rPr>
        <w:t>（投标供应商）法定代表人（签字或盖章）：</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p>
    <w:p>
      <w:pPr>
        <w:pStyle w:val="14"/>
        <w:overflowPunct w:val="0"/>
        <w:spacing w:line="520" w:lineRule="exact"/>
        <w:ind w:left="1700" w:firstLine="425"/>
        <w:rPr>
          <w:rFonts w:ascii="宋体"/>
          <w:sz w:val="24"/>
          <w:szCs w:val="24"/>
        </w:rPr>
      </w:pPr>
    </w:p>
    <w:p>
      <w:pPr>
        <w:pStyle w:val="14"/>
        <w:overflowPunct w:val="0"/>
        <w:spacing w:line="520" w:lineRule="exact"/>
        <w:ind w:left="1700" w:firstLine="425"/>
        <w:rPr>
          <w:rFonts w:ascii="宋体"/>
          <w:sz w:val="24"/>
          <w:szCs w:val="24"/>
        </w:rPr>
      </w:pPr>
      <w:r>
        <w:rPr>
          <w:rFonts w:ascii="宋体" w:hAnsi="宋体" w:cs="宋体"/>
          <w:sz w:val="24"/>
          <w:szCs w:val="24"/>
        </w:rPr>
        <w:t xml:space="preserve">        </w:t>
      </w:r>
      <w:r>
        <w:rPr>
          <w:rFonts w:hint="eastAsia" w:ascii="宋体" w:hAnsi="宋体" w:cs="宋体"/>
          <w:sz w:val="24"/>
          <w:szCs w:val="24"/>
        </w:rPr>
        <w:t>（投标供应商）公章：</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p>
    <w:p>
      <w:pPr>
        <w:pStyle w:val="14"/>
        <w:overflowPunct w:val="0"/>
        <w:spacing w:line="520" w:lineRule="exact"/>
        <w:rPr>
          <w:rFonts w:ascii="宋体"/>
          <w:sz w:val="24"/>
          <w:szCs w:val="24"/>
        </w:rPr>
      </w:pPr>
    </w:p>
    <w:p>
      <w:pPr>
        <w:pStyle w:val="14"/>
        <w:overflowPunct w:val="0"/>
        <w:spacing w:line="520" w:lineRule="exact"/>
        <w:ind w:right="560"/>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sz w:val="24"/>
          <w:szCs w:val="24"/>
        </w:rPr>
        <w:tab/>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ascii="宋体" w:hAnsi="宋体" w:cs="宋体"/>
          <w:sz w:val="24"/>
          <w:szCs w:val="24"/>
        </w:rPr>
        <w:tab/>
      </w:r>
      <w:r>
        <w:rPr>
          <w:rFonts w:hint="eastAsia" w:ascii="宋体" w:hAnsi="宋体" w:cs="宋体"/>
          <w:sz w:val="24"/>
          <w:szCs w:val="24"/>
        </w:rPr>
        <w:t>日</w:t>
      </w:r>
    </w:p>
    <w:p>
      <w:pPr>
        <w:snapToGrid w:val="0"/>
        <w:spacing w:line="520" w:lineRule="exact"/>
        <w:jc w:val="center"/>
        <w:outlineLvl w:val="3"/>
        <w:rPr>
          <w:rFonts w:ascii="宋体"/>
          <w:b/>
          <w:bCs/>
          <w:sz w:val="24"/>
          <w:szCs w:val="24"/>
        </w:rPr>
      </w:pPr>
    </w:p>
    <w:p>
      <w:pPr>
        <w:snapToGrid w:val="0"/>
        <w:spacing w:line="520" w:lineRule="exact"/>
        <w:outlineLvl w:val="3"/>
        <w:rPr>
          <w:rFonts w:ascii="宋体"/>
          <w:b/>
          <w:bCs/>
          <w:sz w:val="24"/>
          <w:szCs w:val="24"/>
        </w:rPr>
      </w:pPr>
    </w:p>
    <w:p>
      <w:pPr>
        <w:snapToGrid w:val="0"/>
        <w:spacing w:line="520" w:lineRule="exact"/>
        <w:jc w:val="center"/>
        <w:outlineLvl w:val="3"/>
        <w:rPr>
          <w:rFonts w:ascii="宋体"/>
          <w:b/>
          <w:bCs/>
          <w:color w:val="000000"/>
          <w:sz w:val="28"/>
          <w:szCs w:val="28"/>
        </w:rPr>
      </w:pPr>
      <w:r>
        <w:rPr>
          <w:rFonts w:ascii="宋体"/>
          <w:b/>
          <w:bCs/>
          <w:sz w:val="24"/>
          <w:szCs w:val="24"/>
        </w:rPr>
        <w:br w:type="page"/>
      </w:r>
      <w:r>
        <w:rPr>
          <w:rFonts w:ascii="宋体" w:hAnsi="宋体" w:cs="宋体"/>
          <w:b/>
          <w:bCs/>
          <w:sz w:val="28"/>
          <w:szCs w:val="28"/>
        </w:rPr>
        <w:t>5</w:t>
      </w:r>
      <w:r>
        <w:rPr>
          <w:rFonts w:hint="eastAsia" w:ascii="宋体" w:hAnsi="宋体" w:cs="宋体"/>
          <w:b/>
          <w:bCs/>
          <w:color w:val="000000"/>
          <w:sz w:val="28"/>
          <w:szCs w:val="28"/>
        </w:rPr>
        <w:t>、竞争性磋商响应函</w:t>
      </w:r>
      <w:r>
        <w:rPr>
          <w:rFonts w:hint="eastAsia" w:ascii="宋体" w:hAnsi="宋体" w:cs="宋体"/>
          <w:color w:val="000000"/>
          <w:sz w:val="28"/>
          <w:szCs w:val="28"/>
        </w:rPr>
        <w:t>（</w:t>
      </w:r>
      <w:r>
        <w:rPr>
          <w:rFonts w:hint="eastAsia" w:ascii="宋体" w:hAnsi="宋体" w:cs="宋体"/>
          <w:color w:val="000000"/>
          <w:sz w:val="28"/>
          <w:szCs w:val="28"/>
          <w:u w:val="single"/>
        </w:rPr>
        <w:t>格式不得变动</w:t>
      </w:r>
      <w:r>
        <w:rPr>
          <w:rFonts w:hint="eastAsia" w:ascii="宋体" w:hAnsi="宋体" w:cs="宋体"/>
          <w:color w:val="000000"/>
          <w:sz w:val="28"/>
          <w:szCs w:val="28"/>
        </w:rPr>
        <w:t>）</w:t>
      </w:r>
    </w:p>
    <w:p>
      <w:pPr>
        <w:snapToGrid w:val="0"/>
        <w:spacing w:line="520" w:lineRule="exact"/>
        <w:jc w:val="left"/>
        <w:rPr>
          <w:rFonts w:ascii="宋体"/>
          <w:color w:val="000000"/>
          <w:sz w:val="24"/>
          <w:szCs w:val="24"/>
          <w:u w:val="single"/>
        </w:rPr>
      </w:pPr>
      <w:r>
        <w:rPr>
          <w:rFonts w:hint="eastAsia" w:ascii="宋体" w:hAnsi="宋体" w:cs="宋体"/>
          <w:sz w:val="24"/>
          <w:szCs w:val="24"/>
          <w:u w:val="single"/>
        </w:rPr>
        <w:t>南通市文化广电和旅游局</w:t>
      </w:r>
      <w:r>
        <w:rPr>
          <w:rFonts w:ascii="宋体" w:hAnsi="宋体" w:cs="宋体"/>
          <w:sz w:val="24"/>
          <w:szCs w:val="24"/>
          <w:u w:val="single"/>
        </w:rPr>
        <w:t xml:space="preserve"> </w:t>
      </w:r>
      <w:r>
        <w:rPr>
          <w:rFonts w:ascii="宋体" w:hAnsi="宋体" w:cs="宋体"/>
          <w:color w:val="000000"/>
          <w:sz w:val="24"/>
          <w:szCs w:val="24"/>
          <w:u w:val="single"/>
        </w:rPr>
        <w:t>:</w:t>
      </w:r>
    </w:p>
    <w:p>
      <w:pPr>
        <w:snapToGrid w:val="0"/>
        <w:spacing w:line="520" w:lineRule="exact"/>
        <w:ind w:firstLine="480" w:firstLineChars="200"/>
        <w:rPr>
          <w:rFonts w:ascii="宋体"/>
          <w:color w:val="000000"/>
          <w:sz w:val="24"/>
          <w:szCs w:val="24"/>
        </w:rPr>
      </w:pPr>
      <w:r>
        <w:rPr>
          <w:rFonts w:hint="eastAsia" w:ascii="宋体" w:hAnsi="宋体" w:cs="宋体"/>
          <w:color w:val="000000"/>
          <w:sz w:val="24"/>
          <w:szCs w:val="24"/>
        </w:rPr>
        <w:t>依据贵单位</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hint="eastAsia" w:ascii="宋体" w:hAnsi="宋体" w:cs="宋体"/>
          <w:color w:val="000000"/>
          <w:sz w:val="24"/>
          <w:szCs w:val="24"/>
        </w:rPr>
        <w:t>委托代理机构组织的</w:t>
      </w:r>
      <w:r>
        <w:rPr>
          <w:rFonts w:hint="eastAsia" w:ascii="宋体" w:hAnsi="宋体" w:cs="宋体"/>
          <w:color w:val="000000"/>
          <w:sz w:val="24"/>
          <w:szCs w:val="24"/>
          <w:u w:val="single"/>
        </w:rPr>
        <w:t>（磋商项目名称</w:t>
      </w:r>
      <w:r>
        <w:rPr>
          <w:rFonts w:ascii="宋体" w:hAnsi="宋体" w:cs="宋体"/>
          <w:color w:val="000000"/>
          <w:sz w:val="24"/>
          <w:szCs w:val="24"/>
          <w:u w:val="single"/>
        </w:rPr>
        <w:t xml:space="preserve"> )</w:t>
      </w:r>
      <w:r>
        <w:rPr>
          <w:rFonts w:hint="eastAsia" w:ascii="宋体" w:hAnsi="宋体" w:cs="宋体"/>
          <w:color w:val="000000"/>
          <w:sz w:val="24"/>
          <w:szCs w:val="24"/>
        </w:rPr>
        <w:t>项目竞争性磋商的邀请，我方授权</w:t>
      </w:r>
      <w:r>
        <w:rPr>
          <w:rFonts w:ascii="宋体" w:hAnsi="宋体" w:cs="宋体"/>
          <w:color w:val="000000"/>
          <w:sz w:val="24"/>
          <w:szCs w:val="24"/>
          <w:u w:val="single"/>
        </w:rPr>
        <w:t xml:space="preserve">        </w:t>
      </w:r>
      <w:r>
        <w:rPr>
          <w:rFonts w:hint="eastAsia" w:ascii="宋体" w:hAnsi="宋体" w:cs="宋体"/>
          <w:color w:val="000000"/>
          <w:sz w:val="24"/>
          <w:szCs w:val="24"/>
        </w:rPr>
        <w:t>（姓名）</w:t>
      </w:r>
      <w:r>
        <w:rPr>
          <w:rFonts w:ascii="宋体" w:hAnsi="宋体" w:cs="宋体"/>
          <w:color w:val="000000"/>
          <w:sz w:val="24"/>
          <w:szCs w:val="24"/>
          <w:u w:val="single"/>
        </w:rPr>
        <w:t xml:space="preserve">          </w:t>
      </w:r>
      <w:r>
        <w:rPr>
          <w:rFonts w:hint="eastAsia" w:ascii="宋体" w:hAnsi="宋体" w:cs="宋体"/>
          <w:color w:val="000000"/>
          <w:sz w:val="24"/>
          <w:szCs w:val="24"/>
        </w:rPr>
        <w:t>（职务）为全权代表参加该项目的磋商工作，全权处理本次竞争性磋商的有关事宜。同时，我公司声明如下：</w:t>
      </w:r>
    </w:p>
    <w:p>
      <w:pPr>
        <w:snapToGrid w:val="0"/>
        <w:spacing w:line="52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、同意并接受竞争性磋商文件的各项要求，遵守竞争性磋商文件中的各项规定，按竞争性磋商文件的要求提供报价。</w:t>
      </w:r>
    </w:p>
    <w:p>
      <w:pPr>
        <w:snapToGrid w:val="0"/>
        <w:spacing w:line="52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、我公司已毫无保留地向贵方提供一切所需的证明材料。</w:t>
      </w:r>
    </w:p>
    <w:p>
      <w:pPr>
        <w:snapToGrid w:val="0"/>
        <w:spacing w:line="520" w:lineRule="exac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、一旦成交，我方承诺无正当理由拒绝签订合同，将被贵方取消成交资格，同意贵方将磋商保证金作为违约金全额不予退还的处理。</w:t>
      </w:r>
    </w:p>
    <w:p>
      <w:pPr>
        <w:snapToGrid w:val="0"/>
        <w:spacing w:line="520" w:lineRule="exact"/>
        <w:ind w:firstLine="480" w:firstLineChars="200"/>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w:t>
      </w:r>
      <w:r>
        <w:rPr>
          <w:rFonts w:hint="eastAsia" w:ascii="宋体" w:hAnsi="宋体" w:cs="宋体"/>
          <w:b/>
          <w:bCs/>
          <w:color w:val="000000"/>
          <w:sz w:val="24"/>
          <w:szCs w:val="24"/>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color w:val="000000"/>
          <w:sz w:val="24"/>
          <w:szCs w:val="24"/>
        </w:rPr>
      </w:pPr>
    </w:p>
    <w:p>
      <w:pPr>
        <w:wordWrap w:val="0"/>
        <w:snapToGrid w:val="0"/>
        <w:spacing w:line="520" w:lineRule="exact"/>
        <w:jc w:val="right"/>
        <w:rPr>
          <w:rFonts w:ascii="宋体"/>
          <w:color w:val="000000"/>
          <w:sz w:val="24"/>
          <w:szCs w:val="24"/>
        </w:rPr>
      </w:pPr>
      <w:r>
        <w:rPr>
          <w:rFonts w:hint="eastAsia" w:ascii="宋体" w:hAnsi="宋体" w:cs="宋体"/>
          <w:color w:val="000000"/>
          <w:sz w:val="24"/>
          <w:szCs w:val="24"/>
        </w:rPr>
        <w:t>竞争性磋商响应单位：</w:t>
      </w:r>
      <w:r>
        <w:rPr>
          <w:rFonts w:ascii="宋体" w:hAnsi="宋体" w:cs="宋体"/>
          <w:color w:val="000000"/>
          <w:sz w:val="24"/>
          <w:szCs w:val="24"/>
          <w:u w:val="single"/>
        </w:rPr>
        <w:t xml:space="preserve">           </w:t>
      </w:r>
      <w:r>
        <w:rPr>
          <w:rFonts w:hint="eastAsia" w:ascii="宋体" w:hAnsi="宋体" w:cs="宋体"/>
          <w:color w:val="000000"/>
          <w:sz w:val="24"/>
          <w:szCs w:val="24"/>
          <w:u w:val="single"/>
        </w:rPr>
        <w:t>（加盖公章）</w:t>
      </w:r>
    </w:p>
    <w:p>
      <w:pPr>
        <w:wordWrap w:val="0"/>
        <w:snapToGrid w:val="0"/>
        <w:spacing w:line="520" w:lineRule="exact"/>
        <w:ind w:firstLine="2400" w:firstLineChars="1000"/>
        <w:jc w:val="right"/>
        <w:rPr>
          <w:rFonts w:ascii="宋体"/>
          <w:color w:val="000000"/>
          <w:sz w:val="24"/>
          <w:szCs w:val="24"/>
        </w:rPr>
      </w:pPr>
      <w:r>
        <w:rPr>
          <w:rFonts w:hint="eastAsia" w:ascii="宋体" w:hAnsi="宋体" w:cs="宋体"/>
          <w:color w:val="000000"/>
          <w:sz w:val="24"/>
          <w:szCs w:val="24"/>
        </w:rPr>
        <w:t>法定代表人或被授权人：</w:t>
      </w:r>
      <w:r>
        <w:rPr>
          <w:rFonts w:ascii="宋体" w:hAnsi="宋体" w:cs="宋体"/>
          <w:color w:val="000000"/>
          <w:sz w:val="24"/>
          <w:szCs w:val="24"/>
          <w:u w:val="single"/>
        </w:rPr>
        <w:t xml:space="preserve">         </w:t>
      </w:r>
      <w:r>
        <w:rPr>
          <w:rFonts w:hint="eastAsia" w:ascii="宋体" w:hAnsi="宋体" w:cs="宋体"/>
          <w:color w:val="000000"/>
          <w:sz w:val="24"/>
          <w:szCs w:val="24"/>
          <w:u w:val="single"/>
        </w:rPr>
        <w:t>（签字或盖章）</w:t>
      </w:r>
    </w:p>
    <w:p>
      <w:pPr>
        <w:snapToGrid w:val="0"/>
        <w:spacing w:line="520" w:lineRule="exact"/>
        <w:jc w:val="right"/>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p>
      <w:pPr>
        <w:snapToGrid w:val="0"/>
        <w:spacing w:line="520" w:lineRule="exact"/>
        <w:jc w:val="center"/>
        <w:outlineLvl w:val="3"/>
        <w:rPr>
          <w:rFonts w:ascii="宋体"/>
          <w:b/>
          <w:bCs/>
          <w:color w:val="000000"/>
          <w:sz w:val="28"/>
          <w:szCs w:val="28"/>
        </w:rPr>
      </w:pPr>
    </w:p>
    <w:p>
      <w:pPr>
        <w:snapToGrid w:val="0"/>
        <w:spacing w:line="520" w:lineRule="exact"/>
        <w:jc w:val="center"/>
        <w:outlineLvl w:val="3"/>
        <w:rPr>
          <w:rFonts w:ascii="宋体"/>
          <w:b/>
          <w:bCs/>
          <w:color w:val="000000"/>
          <w:sz w:val="28"/>
          <w:szCs w:val="28"/>
        </w:rPr>
      </w:pPr>
    </w:p>
    <w:p>
      <w:pPr>
        <w:snapToGrid w:val="0"/>
        <w:spacing w:line="520" w:lineRule="exact"/>
        <w:jc w:val="center"/>
        <w:outlineLvl w:val="3"/>
        <w:rPr>
          <w:rFonts w:ascii="宋体"/>
          <w:b/>
          <w:bCs/>
          <w:color w:val="000000"/>
          <w:sz w:val="28"/>
          <w:szCs w:val="28"/>
        </w:rPr>
      </w:pPr>
      <w:r>
        <w:rPr>
          <w:rFonts w:ascii="宋体"/>
          <w:b/>
          <w:bCs/>
          <w:color w:val="000000"/>
          <w:sz w:val="28"/>
          <w:szCs w:val="28"/>
        </w:rPr>
        <w:br w:type="page"/>
      </w:r>
      <w:r>
        <w:rPr>
          <w:rFonts w:ascii="宋体" w:hAnsi="宋体" w:cs="宋体"/>
          <w:b/>
          <w:bCs/>
          <w:color w:val="000000"/>
          <w:sz w:val="28"/>
          <w:szCs w:val="28"/>
        </w:rPr>
        <w:t>6</w:t>
      </w:r>
      <w:r>
        <w:rPr>
          <w:rFonts w:hint="eastAsia" w:ascii="宋体" w:hAnsi="宋体" w:cs="宋体"/>
          <w:b/>
          <w:bCs/>
          <w:color w:val="000000"/>
          <w:sz w:val="28"/>
          <w:szCs w:val="28"/>
        </w:rPr>
        <w:t>、供应商一般情况表</w:t>
      </w:r>
    </w:p>
    <w:tbl>
      <w:tblPr>
        <w:tblStyle w:val="52"/>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企业名称</w:t>
            </w:r>
          </w:p>
        </w:tc>
        <w:tc>
          <w:tcPr>
            <w:tcW w:w="7229" w:type="dxa"/>
            <w:gridSpan w:val="8"/>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总部地址</w:t>
            </w:r>
          </w:p>
        </w:tc>
        <w:tc>
          <w:tcPr>
            <w:tcW w:w="7229" w:type="dxa"/>
            <w:gridSpan w:val="8"/>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分支机构</w:t>
            </w:r>
          </w:p>
        </w:tc>
        <w:tc>
          <w:tcPr>
            <w:tcW w:w="7229" w:type="dxa"/>
            <w:gridSpan w:val="8"/>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当地代表处地址</w:t>
            </w:r>
          </w:p>
        </w:tc>
        <w:tc>
          <w:tcPr>
            <w:tcW w:w="7229" w:type="dxa"/>
            <w:gridSpan w:val="8"/>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电话</w:t>
            </w:r>
          </w:p>
        </w:tc>
        <w:tc>
          <w:tcPr>
            <w:tcW w:w="2408" w:type="dxa"/>
            <w:gridSpan w:val="3"/>
          </w:tcPr>
          <w:p>
            <w:pPr>
              <w:tabs>
                <w:tab w:val="left" w:pos="993"/>
              </w:tabs>
              <w:spacing w:line="520" w:lineRule="exact"/>
              <w:rPr>
                <w:rFonts w:ascii="宋体"/>
                <w:color w:val="000000"/>
                <w:sz w:val="24"/>
                <w:szCs w:val="24"/>
              </w:rPr>
            </w:pPr>
          </w:p>
        </w:tc>
        <w:tc>
          <w:tcPr>
            <w:tcW w:w="1875" w:type="dxa"/>
            <w:gridSpan w:val="2"/>
          </w:tcPr>
          <w:p>
            <w:pPr>
              <w:tabs>
                <w:tab w:val="left" w:pos="993"/>
              </w:tabs>
              <w:spacing w:line="520" w:lineRule="exact"/>
              <w:rPr>
                <w:rFonts w:ascii="宋体"/>
                <w:color w:val="000000"/>
                <w:sz w:val="24"/>
                <w:szCs w:val="24"/>
              </w:rPr>
            </w:pPr>
            <w:r>
              <w:rPr>
                <w:rFonts w:hint="eastAsia" w:ascii="宋体" w:hAnsi="宋体" w:cs="宋体"/>
                <w:color w:val="000000"/>
                <w:sz w:val="24"/>
                <w:szCs w:val="24"/>
              </w:rPr>
              <w:t>联系人</w:t>
            </w:r>
          </w:p>
        </w:tc>
        <w:tc>
          <w:tcPr>
            <w:tcW w:w="2946" w:type="dxa"/>
            <w:gridSpan w:val="3"/>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传真</w:t>
            </w:r>
          </w:p>
        </w:tc>
        <w:tc>
          <w:tcPr>
            <w:tcW w:w="2408" w:type="dxa"/>
            <w:gridSpan w:val="3"/>
          </w:tcPr>
          <w:p>
            <w:pPr>
              <w:tabs>
                <w:tab w:val="left" w:pos="993"/>
              </w:tabs>
              <w:spacing w:line="520" w:lineRule="exact"/>
              <w:rPr>
                <w:rFonts w:ascii="宋体"/>
                <w:color w:val="000000"/>
                <w:sz w:val="24"/>
                <w:szCs w:val="24"/>
              </w:rPr>
            </w:pPr>
          </w:p>
        </w:tc>
        <w:tc>
          <w:tcPr>
            <w:tcW w:w="1875" w:type="dxa"/>
            <w:gridSpan w:val="2"/>
          </w:tcPr>
          <w:p>
            <w:pPr>
              <w:tabs>
                <w:tab w:val="left" w:pos="993"/>
              </w:tabs>
              <w:spacing w:line="520" w:lineRule="exact"/>
              <w:rPr>
                <w:rFonts w:ascii="宋体"/>
                <w:color w:val="000000"/>
                <w:sz w:val="24"/>
                <w:szCs w:val="24"/>
              </w:rPr>
            </w:pPr>
            <w:r>
              <w:rPr>
                <w:rFonts w:hint="eastAsia" w:ascii="宋体" w:hAnsi="宋体" w:cs="宋体"/>
                <w:color w:val="000000"/>
                <w:sz w:val="24"/>
                <w:szCs w:val="24"/>
              </w:rPr>
              <w:t>电子邮件</w:t>
            </w:r>
          </w:p>
        </w:tc>
        <w:tc>
          <w:tcPr>
            <w:tcW w:w="2946" w:type="dxa"/>
            <w:gridSpan w:val="3"/>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注册地</w:t>
            </w:r>
          </w:p>
        </w:tc>
        <w:tc>
          <w:tcPr>
            <w:tcW w:w="2408" w:type="dxa"/>
            <w:gridSpan w:val="3"/>
          </w:tcPr>
          <w:p>
            <w:pPr>
              <w:tabs>
                <w:tab w:val="left" w:pos="993"/>
              </w:tabs>
              <w:spacing w:line="520" w:lineRule="exact"/>
              <w:rPr>
                <w:rFonts w:ascii="宋体"/>
                <w:color w:val="000000"/>
                <w:sz w:val="24"/>
                <w:szCs w:val="24"/>
              </w:rPr>
            </w:pPr>
          </w:p>
        </w:tc>
        <w:tc>
          <w:tcPr>
            <w:tcW w:w="1875" w:type="dxa"/>
            <w:gridSpan w:val="2"/>
          </w:tcPr>
          <w:p>
            <w:pPr>
              <w:tabs>
                <w:tab w:val="left" w:pos="993"/>
              </w:tabs>
              <w:spacing w:line="520" w:lineRule="exact"/>
              <w:rPr>
                <w:rFonts w:ascii="宋体"/>
                <w:color w:val="000000"/>
                <w:sz w:val="24"/>
                <w:szCs w:val="24"/>
              </w:rPr>
            </w:pPr>
            <w:r>
              <w:rPr>
                <w:rFonts w:hint="eastAsia" w:ascii="宋体" w:hAnsi="宋体" w:cs="宋体"/>
                <w:color w:val="000000"/>
                <w:sz w:val="24"/>
                <w:szCs w:val="24"/>
              </w:rPr>
              <w:t>注册年份</w:t>
            </w:r>
          </w:p>
        </w:tc>
        <w:tc>
          <w:tcPr>
            <w:tcW w:w="2946" w:type="dxa"/>
            <w:gridSpan w:val="3"/>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资质等级</w:t>
            </w:r>
          </w:p>
        </w:tc>
        <w:tc>
          <w:tcPr>
            <w:tcW w:w="7229" w:type="dxa"/>
            <w:gridSpan w:val="8"/>
          </w:tcPr>
          <w:p>
            <w:pPr>
              <w:tabs>
                <w:tab w:val="left" w:pos="993"/>
              </w:tabs>
              <w:spacing w:line="520" w:lineRule="exact"/>
              <w:rPr>
                <w:rFonts w:ascii="宋体"/>
                <w:color w:val="000000"/>
                <w:sz w:val="24"/>
                <w:szCs w:val="24"/>
              </w:rPr>
            </w:pPr>
            <w:r>
              <w:rPr>
                <w:rFonts w:hint="eastAsia" w:ascii="宋体" w:hAnsi="宋体" w:cs="宋体"/>
                <w:color w:val="000000"/>
                <w:sz w:val="24"/>
                <w:szCs w:val="24"/>
              </w:rPr>
              <w:t>公司具备的相关资质等级及相应的证书号</w:t>
            </w:r>
          </w:p>
          <w:p>
            <w:pPr>
              <w:tabs>
                <w:tab w:val="left" w:pos="993"/>
              </w:tabs>
              <w:spacing w:line="520" w:lineRule="exact"/>
              <w:rPr>
                <w:rFonts w:ascii="宋体"/>
                <w:color w:val="000000"/>
                <w:sz w:val="24"/>
                <w:szCs w:val="24"/>
              </w:rPr>
            </w:pPr>
            <w:r>
              <w:rPr>
                <w:rFonts w:hint="eastAsia" w:ascii="宋体" w:hAnsi="宋体" w:cs="宋体"/>
                <w:color w:val="000000"/>
                <w:sz w:val="24"/>
                <w:szCs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质量管理体系</w:t>
            </w:r>
          </w:p>
        </w:tc>
        <w:tc>
          <w:tcPr>
            <w:tcW w:w="7229" w:type="dxa"/>
            <w:gridSpan w:val="8"/>
          </w:tcPr>
          <w:p>
            <w:pPr>
              <w:tabs>
                <w:tab w:val="left" w:pos="993"/>
              </w:tabs>
              <w:spacing w:line="520" w:lineRule="exact"/>
              <w:rPr>
                <w:rFonts w:ascii="宋体"/>
                <w:color w:val="000000"/>
                <w:sz w:val="24"/>
                <w:szCs w:val="24"/>
              </w:rPr>
            </w:pPr>
            <w:r>
              <w:rPr>
                <w:rFonts w:hint="eastAsia" w:ascii="宋体" w:hAnsi="宋体" w:cs="宋体"/>
                <w:color w:val="000000"/>
                <w:sz w:val="24"/>
                <w:szCs w:val="24"/>
              </w:rPr>
              <w:t>公司</w:t>
            </w:r>
            <w:r>
              <w:rPr>
                <w:rFonts w:ascii="宋体" w:hAnsi="宋体" w:cs="宋体"/>
                <w:color w:val="000000"/>
                <w:sz w:val="24"/>
                <w:szCs w:val="24"/>
                <w:u w:val="single"/>
              </w:rPr>
              <w:t xml:space="preserve">   </w:t>
            </w:r>
            <w:r>
              <w:rPr>
                <w:rFonts w:hint="eastAsia" w:ascii="宋体" w:hAnsi="宋体" w:cs="宋体"/>
                <w:color w:val="000000"/>
                <w:sz w:val="24"/>
                <w:szCs w:val="24"/>
                <w:u w:val="single"/>
              </w:rPr>
              <w:t>（是否通过，何种）</w:t>
            </w:r>
            <w:r>
              <w:rPr>
                <w:rFonts w:ascii="宋体" w:hAnsi="宋体" w:cs="宋体"/>
                <w:color w:val="000000"/>
                <w:sz w:val="24"/>
                <w:szCs w:val="24"/>
                <w:u w:val="single"/>
              </w:rPr>
              <w:t xml:space="preserve">   </w:t>
            </w:r>
            <w:r>
              <w:rPr>
                <w:rFonts w:hint="eastAsia" w:ascii="宋体" w:hAnsi="宋体" w:cs="宋体"/>
                <w:color w:val="000000"/>
                <w:sz w:val="24"/>
                <w:szCs w:val="24"/>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项目负责人</w:t>
            </w:r>
          </w:p>
        </w:tc>
        <w:tc>
          <w:tcPr>
            <w:tcW w:w="1559" w:type="dxa"/>
            <w:gridSpan w:val="2"/>
          </w:tcPr>
          <w:p>
            <w:pPr>
              <w:tabs>
                <w:tab w:val="left" w:pos="993"/>
              </w:tabs>
              <w:spacing w:line="520" w:lineRule="exact"/>
              <w:jc w:val="center"/>
              <w:rPr>
                <w:rFonts w:ascii="宋体"/>
                <w:color w:val="000000"/>
                <w:sz w:val="24"/>
                <w:szCs w:val="24"/>
              </w:rPr>
            </w:pPr>
          </w:p>
        </w:tc>
        <w:tc>
          <w:tcPr>
            <w:tcW w:w="1417" w:type="dxa"/>
            <w:gridSpan w:val="2"/>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年龄</w:t>
            </w:r>
          </w:p>
        </w:tc>
        <w:tc>
          <w:tcPr>
            <w:tcW w:w="1466" w:type="dxa"/>
            <w:gridSpan w:val="2"/>
          </w:tcPr>
          <w:p>
            <w:pPr>
              <w:tabs>
                <w:tab w:val="left" w:pos="993"/>
              </w:tabs>
              <w:spacing w:line="520" w:lineRule="exact"/>
              <w:jc w:val="center"/>
              <w:rPr>
                <w:rFonts w:ascii="宋体"/>
                <w:color w:val="000000"/>
                <w:sz w:val="24"/>
                <w:szCs w:val="24"/>
              </w:rPr>
            </w:pPr>
          </w:p>
        </w:tc>
        <w:tc>
          <w:tcPr>
            <w:tcW w:w="1320" w:type="dxa"/>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性别</w:t>
            </w:r>
          </w:p>
        </w:tc>
        <w:tc>
          <w:tcPr>
            <w:tcW w:w="1467" w:type="dxa"/>
          </w:tcPr>
          <w:p>
            <w:pPr>
              <w:tabs>
                <w:tab w:val="left" w:pos="993"/>
              </w:tabs>
              <w:spacing w:line="52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职务职称</w:t>
            </w:r>
          </w:p>
        </w:tc>
        <w:tc>
          <w:tcPr>
            <w:tcW w:w="2976" w:type="dxa"/>
            <w:gridSpan w:val="4"/>
          </w:tcPr>
          <w:p>
            <w:pPr>
              <w:tabs>
                <w:tab w:val="left" w:pos="993"/>
              </w:tabs>
              <w:spacing w:line="520" w:lineRule="exact"/>
              <w:rPr>
                <w:rFonts w:ascii="宋体"/>
                <w:color w:val="000000"/>
                <w:sz w:val="24"/>
                <w:szCs w:val="24"/>
              </w:rPr>
            </w:pPr>
          </w:p>
        </w:tc>
        <w:tc>
          <w:tcPr>
            <w:tcW w:w="1466" w:type="dxa"/>
            <w:gridSpan w:val="2"/>
          </w:tcPr>
          <w:p>
            <w:pPr>
              <w:tabs>
                <w:tab w:val="left" w:pos="993"/>
              </w:tabs>
              <w:spacing w:line="520" w:lineRule="exact"/>
              <w:rPr>
                <w:rFonts w:ascii="宋体"/>
                <w:color w:val="000000"/>
                <w:sz w:val="24"/>
                <w:szCs w:val="24"/>
              </w:rPr>
            </w:pPr>
            <w:r>
              <w:rPr>
                <w:rFonts w:hint="eastAsia" w:ascii="宋体" w:hAnsi="宋体" w:cs="宋体"/>
                <w:color w:val="000000"/>
                <w:sz w:val="24"/>
                <w:szCs w:val="24"/>
              </w:rPr>
              <w:t>执业资格</w:t>
            </w:r>
          </w:p>
        </w:tc>
        <w:tc>
          <w:tcPr>
            <w:tcW w:w="2787" w:type="dxa"/>
            <w:gridSpan w:val="2"/>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2235" w:type="dxa"/>
            <w:vAlign w:val="center"/>
          </w:tcPr>
          <w:p>
            <w:pPr>
              <w:tabs>
                <w:tab w:val="left" w:pos="993"/>
              </w:tabs>
              <w:spacing w:line="520" w:lineRule="exact"/>
              <w:jc w:val="center"/>
              <w:rPr>
                <w:rFonts w:ascii="宋体"/>
                <w:color w:val="000000"/>
                <w:sz w:val="24"/>
                <w:szCs w:val="24"/>
              </w:rPr>
            </w:pPr>
            <w:r>
              <w:rPr>
                <w:rFonts w:hint="eastAsia" w:ascii="宋体" w:hAnsi="宋体" w:cs="宋体"/>
                <w:color w:val="000000"/>
                <w:sz w:val="24"/>
                <w:szCs w:val="24"/>
              </w:rPr>
              <w:t>经营范围</w:t>
            </w:r>
          </w:p>
        </w:tc>
        <w:tc>
          <w:tcPr>
            <w:tcW w:w="7229" w:type="dxa"/>
            <w:gridSpan w:val="8"/>
          </w:tcPr>
          <w:p>
            <w:pPr>
              <w:tabs>
                <w:tab w:val="left" w:pos="993"/>
              </w:tabs>
              <w:spacing w:line="520" w:lineRule="exact"/>
              <w:rPr>
                <w:rFonts w:ascii="宋体"/>
                <w:color w:val="000000"/>
                <w:sz w:val="24"/>
                <w:szCs w:val="24"/>
              </w:rPr>
            </w:pPr>
            <w:r>
              <w:rPr>
                <w:rFonts w:hint="eastAsia" w:ascii="宋体" w:hAnsi="宋体" w:cs="宋体"/>
                <w:color w:val="000000"/>
                <w:sz w:val="24"/>
                <w:szCs w:val="24"/>
              </w:rPr>
              <w:t>营业执照载明：</w:t>
            </w:r>
          </w:p>
          <w:p>
            <w:pPr>
              <w:tabs>
                <w:tab w:val="left" w:pos="993"/>
              </w:tabs>
              <w:spacing w:line="520" w:lineRule="exact"/>
              <w:rPr>
                <w:rFonts w:ascii="宋体"/>
                <w:color w:val="000000"/>
                <w:sz w:val="24"/>
                <w:szCs w:val="24"/>
                <w:u w:val="single"/>
              </w:rPr>
            </w:pPr>
            <w:r>
              <w:rPr>
                <w:rFonts w:ascii="宋体" w:hAnsi="宋体" w:cs="宋体"/>
                <w:color w:val="000000"/>
                <w:sz w:val="24"/>
                <w:szCs w:val="24"/>
              </w:rPr>
              <w:t>1.</w:t>
            </w:r>
          </w:p>
          <w:p>
            <w:pPr>
              <w:tabs>
                <w:tab w:val="left" w:pos="993"/>
              </w:tabs>
              <w:spacing w:line="520" w:lineRule="exact"/>
              <w:rPr>
                <w:rFonts w:ascii="宋体"/>
                <w:color w:val="000000"/>
                <w:sz w:val="24"/>
                <w:szCs w:val="24"/>
                <w:u w:val="single"/>
              </w:rPr>
            </w:pPr>
            <w:r>
              <w:rPr>
                <w:rFonts w:ascii="宋体" w:hAnsi="宋体" w:cs="宋体"/>
                <w:color w:val="000000"/>
                <w:sz w:val="24"/>
                <w:szCs w:val="24"/>
              </w:rPr>
              <w:t>2.</w:t>
            </w:r>
          </w:p>
          <w:p>
            <w:pPr>
              <w:tabs>
                <w:tab w:val="left" w:pos="993"/>
              </w:tabs>
              <w:spacing w:line="520" w:lineRule="exact"/>
              <w:rPr>
                <w:rFonts w:ascii="宋体"/>
                <w:color w:val="000000"/>
                <w:sz w:val="24"/>
                <w:szCs w:val="24"/>
                <w:u w:val="single"/>
              </w:rPr>
            </w:pPr>
            <w:r>
              <w:rPr>
                <w:rFonts w:ascii="宋体" w:hAnsi="宋体" w:cs="宋体"/>
                <w:color w:val="000000"/>
                <w:sz w:val="24"/>
                <w:szCs w:val="24"/>
              </w:rPr>
              <w:t>3.</w:t>
            </w:r>
          </w:p>
          <w:p>
            <w:pPr>
              <w:tabs>
                <w:tab w:val="left" w:pos="993"/>
              </w:tabs>
              <w:spacing w:line="520" w:lineRule="exact"/>
              <w:rPr>
                <w:rFonts w:ascii="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pacing w:line="520" w:lineRule="exact"/>
              <w:rPr>
                <w:rFonts w:ascii="宋体"/>
                <w:color w:val="000000"/>
                <w:sz w:val="24"/>
                <w:szCs w:val="24"/>
              </w:rPr>
            </w:pPr>
            <w:r>
              <w:rPr>
                <w:rFonts w:hint="eastAsia" w:ascii="宋体" w:hAnsi="宋体" w:cs="宋体"/>
                <w:color w:val="000000"/>
                <w:sz w:val="24"/>
                <w:szCs w:val="24"/>
              </w:rPr>
              <w:t>从事类似相关项目的经历及年数</w:t>
            </w:r>
          </w:p>
        </w:tc>
        <w:tc>
          <w:tcPr>
            <w:tcW w:w="6521" w:type="dxa"/>
            <w:gridSpan w:val="7"/>
          </w:tcPr>
          <w:p>
            <w:pPr>
              <w:tabs>
                <w:tab w:val="left" w:pos="993"/>
              </w:tabs>
              <w:spacing w:line="52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pacing w:line="520" w:lineRule="exact"/>
              <w:rPr>
                <w:rFonts w:ascii="宋体"/>
                <w:color w:val="000000"/>
                <w:sz w:val="24"/>
                <w:szCs w:val="24"/>
              </w:rPr>
            </w:pPr>
            <w:r>
              <w:rPr>
                <w:rFonts w:hint="eastAsia" w:ascii="宋体" w:hAnsi="宋体" w:cs="宋体"/>
                <w:color w:val="000000"/>
                <w:sz w:val="24"/>
                <w:szCs w:val="24"/>
              </w:rPr>
              <w:t>其他认为有必要提供的内容，可自行添加</w:t>
            </w:r>
          </w:p>
        </w:tc>
        <w:tc>
          <w:tcPr>
            <w:tcW w:w="6521" w:type="dxa"/>
            <w:gridSpan w:val="7"/>
          </w:tcPr>
          <w:p>
            <w:pPr>
              <w:tabs>
                <w:tab w:val="left" w:pos="993"/>
              </w:tabs>
              <w:spacing w:line="520" w:lineRule="exact"/>
              <w:rPr>
                <w:rFonts w:ascii="宋体"/>
                <w:color w:val="000000"/>
                <w:sz w:val="24"/>
                <w:szCs w:val="24"/>
              </w:rPr>
            </w:pPr>
          </w:p>
        </w:tc>
      </w:tr>
    </w:tbl>
    <w:p>
      <w:pPr>
        <w:snapToGrid w:val="0"/>
        <w:spacing w:line="520" w:lineRule="exact"/>
        <w:rPr>
          <w:rFonts w:ascii="宋体"/>
          <w:color w:val="000000"/>
          <w:sz w:val="24"/>
          <w:szCs w:val="24"/>
        </w:rPr>
      </w:pPr>
      <w:r>
        <w:rPr>
          <w:rFonts w:hint="eastAsia" w:ascii="宋体" w:hAnsi="宋体" w:cs="宋体"/>
          <w:color w:val="000000"/>
          <w:sz w:val="24"/>
          <w:szCs w:val="24"/>
        </w:rPr>
        <w:t>竞争性磋商响应单位：（盖章）</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p>
    <w:p>
      <w:pPr>
        <w:snapToGrid w:val="0"/>
        <w:spacing w:line="520" w:lineRule="exact"/>
        <w:rPr>
          <w:rFonts w:ascii="宋体"/>
          <w:color w:val="000000"/>
          <w:sz w:val="24"/>
          <w:szCs w:val="24"/>
        </w:rPr>
      </w:pPr>
      <w:r>
        <w:rPr>
          <w:rFonts w:hint="eastAsia" w:ascii="宋体" w:hAnsi="宋体" w:cs="宋体"/>
          <w:color w:val="000000"/>
          <w:sz w:val="24"/>
          <w:szCs w:val="24"/>
        </w:rPr>
        <w:t>法定代表人或被授权人（签字或盖章）：</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p>
    <w:p>
      <w:pPr>
        <w:snapToGrid w:val="0"/>
        <w:spacing w:line="520" w:lineRule="exact"/>
        <w:rPr>
          <w:rFonts w:ascii="宋体"/>
          <w:color w:val="000000"/>
          <w:sz w:val="24"/>
          <w:szCs w:val="24"/>
        </w:rPr>
      </w:pPr>
      <w:r>
        <w:rPr>
          <w:rFonts w:hint="eastAsia" w:ascii="宋体" w:hAnsi="宋体" w:cs="宋体"/>
          <w:color w:val="000000"/>
          <w:sz w:val="24"/>
          <w:szCs w:val="24"/>
        </w:rPr>
        <w:t>日期：</w:t>
      </w:r>
      <w:r>
        <w:rPr>
          <w:rFonts w:ascii="宋体" w:hAnsi="宋体" w:cs="宋体"/>
          <w:color w:val="000000"/>
          <w:sz w:val="24"/>
          <w:szCs w:val="24"/>
          <w:u w:val="single"/>
        </w:rPr>
        <w:t xml:space="preserve">     </w:t>
      </w:r>
      <w:r>
        <w:rPr>
          <w:rFonts w:hint="eastAsia" w:ascii="宋体" w:hAnsi="宋体" w:cs="宋体"/>
          <w:color w:val="000000"/>
          <w:sz w:val="24"/>
          <w:szCs w:val="24"/>
          <w:u w:val="single"/>
        </w:rPr>
        <w:t>　　</w:t>
      </w:r>
    </w:p>
    <w:p>
      <w:pPr>
        <w:pStyle w:val="99"/>
        <w:numPr>
          <w:ilvl w:val="0"/>
          <w:numId w:val="4"/>
        </w:numPr>
        <w:spacing w:line="360" w:lineRule="auto"/>
        <w:jc w:val="center"/>
        <w:rPr>
          <w:rFonts w:hAnsi="宋体"/>
          <w:b/>
          <w:bCs/>
        </w:rPr>
      </w:pPr>
      <w:r>
        <w:rPr>
          <w:b/>
          <w:bCs/>
        </w:rPr>
        <w:br w:type="page"/>
      </w:r>
      <w:r>
        <w:rPr>
          <w:rFonts w:hint="eastAsia" w:hAnsi="宋体"/>
          <w:b/>
          <w:bCs/>
        </w:rPr>
        <w:t>磋商响应报价总表</w:t>
      </w:r>
    </w:p>
    <w:p>
      <w:pPr>
        <w:pStyle w:val="99"/>
        <w:spacing w:line="360" w:lineRule="auto"/>
        <w:rPr>
          <w:rFonts w:hAnsi="宋体"/>
          <w:sz w:val="24"/>
        </w:rPr>
      </w:pPr>
      <w:r>
        <w:rPr>
          <w:rFonts w:hint="eastAsia" w:hAnsi="宋体"/>
          <w:sz w:val="24"/>
          <w:u w:val="single"/>
        </w:rPr>
        <w:t xml:space="preserve">               ：</w:t>
      </w:r>
      <w:r>
        <w:rPr>
          <w:rFonts w:hAnsi="宋体"/>
          <w:sz w:val="24"/>
        </w:rPr>
        <w:t xml:space="preserve"> </w:t>
      </w:r>
    </w:p>
    <w:p>
      <w:pPr>
        <w:spacing w:line="360" w:lineRule="auto"/>
        <w:ind w:firstLine="480" w:firstLineChars="200"/>
        <w:jc w:val="left"/>
        <w:rPr>
          <w:rFonts w:ascii="宋体"/>
          <w:sz w:val="24"/>
          <w:szCs w:val="24"/>
        </w:rPr>
      </w:pPr>
      <w:r>
        <w:rPr>
          <w:rFonts w:ascii="宋体" w:hAnsi="宋体"/>
          <w:sz w:val="24"/>
          <w:szCs w:val="24"/>
        </w:rPr>
        <w:t>1</w:t>
      </w:r>
      <w:r>
        <w:rPr>
          <w:rFonts w:hint="eastAsia" w:ascii="宋体" w:hAnsi="宋体"/>
          <w:sz w:val="24"/>
          <w:szCs w:val="24"/>
        </w:rPr>
        <w:t>、我方已仔细研究了</w:t>
      </w:r>
      <w:r>
        <w:rPr>
          <w:rFonts w:hint="eastAsia" w:ascii="宋体" w:hAnsi="宋体"/>
          <w:sz w:val="24"/>
          <w:szCs w:val="24"/>
          <w:u w:val="single"/>
        </w:rPr>
        <w:t xml:space="preserve">                   项目</w:t>
      </w:r>
      <w:r>
        <w:rPr>
          <w:rFonts w:hint="eastAsia" w:ascii="宋体" w:hAnsi="宋体"/>
          <w:sz w:val="24"/>
          <w:szCs w:val="24"/>
        </w:rPr>
        <w:t>的</w:t>
      </w:r>
      <w:r>
        <w:rPr>
          <w:rFonts w:hint="eastAsia" w:ascii="宋体" w:hAnsi="宋体" w:cs="宋体"/>
          <w:kern w:val="0"/>
          <w:sz w:val="24"/>
          <w:szCs w:val="24"/>
        </w:rPr>
        <w:t>竞争性磋商文件</w:t>
      </w:r>
      <w:r>
        <w:rPr>
          <w:rFonts w:hint="eastAsia" w:ascii="宋体" w:hAnsi="宋体"/>
          <w:sz w:val="24"/>
          <w:szCs w:val="24"/>
        </w:rPr>
        <w:t>的全部内容，愿意就该项目给出如下报价：</w:t>
      </w:r>
    </w:p>
    <w:p>
      <w:pPr>
        <w:spacing w:line="360" w:lineRule="auto"/>
        <w:jc w:val="left"/>
        <w:rPr>
          <w:rFonts w:ascii="宋体"/>
          <w:sz w:val="24"/>
          <w:szCs w:val="24"/>
        </w:rPr>
      </w:pPr>
      <w:r>
        <w:rPr>
          <w:rFonts w:hint="eastAsia" w:ascii="宋体" w:hAnsi="宋体"/>
          <w:sz w:val="24"/>
          <w:szCs w:val="24"/>
        </w:rPr>
        <w:t>磋商报价总计（首次）：</w:t>
      </w:r>
      <w:r>
        <w:rPr>
          <w:rFonts w:hint="eastAsia" w:ascii="宋体"/>
          <w:sz w:val="24"/>
          <w:szCs w:val="24"/>
        </w:rPr>
        <w:t>￥</w:t>
      </w:r>
      <w:r>
        <w:rPr>
          <w:rFonts w:ascii="宋体" w:hAnsi="宋体"/>
          <w:sz w:val="24"/>
          <w:szCs w:val="24"/>
          <w:u w:val="single"/>
        </w:rPr>
        <w:t xml:space="preserve">           </w:t>
      </w:r>
      <w:r>
        <w:rPr>
          <w:rFonts w:hint="eastAsia" w:ascii="宋体" w:hAnsi="宋体"/>
          <w:sz w:val="24"/>
          <w:szCs w:val="24"/>
        </w:rPr>
        <w:t>元，大写：人民币</w:t>
      </w:r>
      <w:r>
        <w:rPr>
          <w:rFonts w:ascii="宋体" w:hAnsi="宋体"/>
          <w:sz w:val="24"/>
          <w:szCs w:val="24"/>
          <w:u w:val="single"/>
        </w:rPr>
        <w:t xml:space="preserve">                     </w:t>
      </w:r>
      <w:r>
        <w:rPr>
          <w:rFonts w:hint="eastAsia" w:ascii="宋体" w:hAnsi="宋体"/>
          <w:sz w:val="24"/>
          <w:szCs w:val="24"/>
        </w:rPr>
        <w:t>元；</w:t>
      </w:r>
    </w:p>
    <w:p>
      <w:pPr>
        <w:spacing w:line="360" w:lineRule="auto"/>
        <w:jc w:val="left"/>
        <w:rPr>
          <w:sz w:val="24"/>
          <w:szCs w:val="24"/>
        </w:rPr>
      </w:pPr>
      <w:r>
        <w:rPr>
          <w:sz w:val="24"/>
          <w:szCs w:val="24"/>
        </w:rPr>
        <w:t>现场第二次报价（最终）：¥</w:t>
      </w:r>
      <w:r>
        <w:rPr>
          <w:sz w:val="24"/>
          <w:szCs w:val="24"/>
          <w:u w:val="single"/>
        </w:rPr>
        <w:t xml:space="preserve">           </w:t>
      </w:r>
      <w:r>
        <w:rPr>
          <w:sz w:val="24"/>
          <w:szCs w:val="24"/>
        </w:rPr>
        <w:t>元，大写：人民币</w:t>
      </w:r>
      <w:r>
        <w:rPr>
          <w:sz w:val="24"/>
          <w:szCs w:val="24"/>
          <w:u w:val="single"/>
        </w:rPr>
        <w:t xml:space="preserve">                     </w:t>
      </w:r>
      <w:r>
        <w:rPr>
          <w:sz w:val="24"/>
          <w:szCs w:val="24"/>
        </w:rPr>
        <w:t>元；</w:t>
      </w:r>
    </w:p>
    <w:p>
      <w:pPr>
        <w:snapToGrid w:val="0"/>
        <w:spacing w:line="520" w:lineRule="exact"/>
        <w:ind w:firstLine="496" w:firstLineChars="206"/>
        <w:rPr>
          <w:b/>
          <w:sz w:val="24"/>
          <w:szCs w:val="24"/>
        </w:rPr>
      </w:pPr>
      <w:r>
        <w:rPr>
          <w:b/>
          <w:sz w:val="24"/>
          <w:szCs w:val="24"/>
        </w:rPr>
        <w:t>注：第二次报价即最终报价将在开标现场填写，响应文件密封提交时只需填写磋商报价总计（首次）。且第二次（最终）报价时，磋商响应报价明细表按同比例下浮。</w:t>
      </w:r>
    </w:p>
    <w:p>
      <w:pPr>
        <w:snapToGrid w:val="0"/>
        <w:spacing w:line="520" w:lineRule="exact"/>
        <w:ind w:firstLine="494" w:firstLineChars="206"/>
        <w:rPr>
          <w:b/>
          <w:sz w:val="24"/>
          <w:szCs w:val="24"/>
        </w:rPr>
      </w:pPr>
      <w:r>
        <w:rPr>
          <w:rFonts w:ascii="宋体" w:hAnsi="宋体"/>
          <w:sz w:val="24"/>
          <w:szCs w:val="24"/>
        </w:rPr>
        <w:t>2</w:t>
      </w:r>
      <w:r>
        <w:rPr>
          <w:rFonts w:hint="eastAsia" w:ascii="宋体" w:hAnsi="宋体"/>
          <w:sz w:val="24"/>
          <w:szCs w:val="24"/>
        </w:rPr>
        <w:t>、我方承诺在服务期限内，按竞</w:t>
      </w:r>
      <w:r>
        <w:rPr>
          <w:rFonts w:hint="eastAsia" w:ascii="宋体" w:hAnsi="宋体" w:cs="宋体"/>
          <w:sz w:val="24"/>
          <w:szCs w:val="24"/>
        </w:rPr>
        <w:t>争性磋商文件的规定履行合同责任和义务</w:t>
      </w:r>
      <w:r>
        <w:rPr>
          <w:rFonts w:hint="eastAsia" w:ascii="宋体" w:hAnsi="宋体"/>
          <w:sz w:val="24"/>
          <w:szCs w:val="24"/>
        </w:rPr>
        <w:t>，实现服务目标。</w:t>
      </w:r>
    </w:p>
    <w:p>
      <w:pPr>
        <w:spacing w:line="360" w:lineRule="auto"/>
        <w:ind w:firstLine="480" w:firstLineChars="200"/>
        <w:rPr>
          <w:rFonts w:ascii="宋体"/>
          <w:sz w:val="24"/>
          <w:szCs w:val="24"/>
        </w:rPr>
      </w:pPr>
      <w:r>
        <w:rPr>
          <w:rFonts w:ascii="宋体" w:hAnsi="宋体"/>
          <w:sz w:val="24"/>
          <w:szCs w:val="24"/>
        </w:rPr>
        <w:t>3</w:t>
      </w:r>
      <w:r>
        <w:rPr>
          <w:rFonts w:hint="eastAsia" w:ascii="宋体" w:hAnsi="宋体"/>
          <w:sz w:val="24"/>
          <w:szCs w:val="24"/>
        </w:rPr>
        <w:t>、我方承诺在竞争性磋商文件规定的投标有效期内不修改、撤销响应文件。</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、我方成交：</w:t>
      </w:r>
    </w:p>
    <w:p>
      <w:pPr>
        <w:spacing w:line="360" w:lineRule="auto"/>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）我方承诺在收到成交通知书后，在成交通知书规定的期限内与你方签订合同。</w:t>
      </w:r>
    </w:p>
    <w:p>
      <w:pPr>
        <w:spacing w:line="360" w:lineRule="auto"/>
        <w:ind w:firstLine="240" w:firstLineChars="1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）我方将严格履行本响应文件中的全部承诺和责任，并遵守竞争性磋商文件中对投标单位的所有规定。</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、我方在此声明，所递交的响应文件及有关资料内容完整、真实和准确。</w:t>
      </w:r>
      <w:r>
        <w:rPr>
          <w:rFonts w:ascii="宋体" w:hAnsi="宋体"/>
          <w:sz w:val="24"/>
          <w:szCs w:val="24"/>
        </w:rPr>
        <w:t xml:space="preserve">  </w:t>
      </w:r>
    </w:p>
    <w:p>
      <w:pPr>
        <w:spacing w:line="360" w:lineRule="auto"/>
        <w:ind w:firstLine="480" w:firstLineChars="200"/>
        <w:rPr>
          <w:rFonts w:asci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u w:val="single"/>
        </w:rPr>
        <w:t xml:space="preserve">                                       </w:t>
      </w:r>
      <w:r>
        <w:rPr>
          <w:rFonts w:hint="eastAsia" w:ascii="宋体" w:hAnsi="宋体"/>
          <w:sz w:val="24"/>
          <w:szCs w:val="24"/>
        </w:rPr>
        <w:t>（其他补充说明）。</w:t>
      </w:r>
    </w:p>
    <w:p>
      <w:pPr>
        <w:pStyle w:val="99"/>
        <w:tabs>
          <w:tab w:val="left" w:pos="5665"/>
          <w:tab w:val="right" w:pos="8360"/>
        </w:tabs>
        <w:spacing w:line="360" w:lineRule="auto"/>
        <w:ind w:right="42" w:firstLine="1560" w:firstLineChars="650"/>
        <w:rPr>
          <w:rFonts w:hAnsi="宋体"/>
          <w:sz w:val="24"/>
        </w:rPr>
      </w:pPr>
    </w:p>
    <w:p>
      <w:pPr>
        <w:pStyle w:val="99"/>
        <w:tabs>
          <w:tab w:val="left" w:pos="5665"/>
          <w:tab w:val="right" w:pos="8360"/>
        </w:tabs>
        <w:spacing w:line="360" w:lineRule="auto"/>
        <w:ind w:right="42" w:firstLine="480" w:firstLineChars="200"/>
        <w:jc w:val="left"/>
        <w:rPr>
          <w:rFonts w:hAnsi="宋体"/>
          <w:sz w:val="24"/>
          <w:u w:val="single"/>
        </w:rPr>
      </w:pPr>
      <w:r>
        <w:rPr>
          <w:rFonts w:hint="eastAsia" w:hAnsi="宋体"/>
          <w:sz w:val="24"/>
        </w:rPr>
        <w:t>竞争性磋商响应单位（公章</w:t>
      </w:r>
      <w:r>
        <w:rPr>
          <w:rFonts w:hAnsi="宋体"/>
          <w:sz w:val="24"/>
        </w:rPr>
        <w:t>)</w:t>
      </w:r>
      <w:r>
        <w:rPr>
          <w:rFonts w:hint="eastAsia" w:hAnsi="宋体"/>
          <w:sz w:val="24"/>
        </w:rPr>
        <w:t>：</w:t>
      </w:r>
      <w:r>
        <w:rPr>
          <w:rFonts w:hAnsi="宋体"/>
          <w:sz w:val="24"/>
          <w:u w:val="single"/>
        </w:rPr>
        <w:t xml:space="preserve">                                  </w:t>
      </w:r>
    </w:p>
    <w:p>
      <w:pPr>
        <w:pStyle w:val="99"/>
        <w:tabs>
          <w:tab w:val="left" w:pos="5665"/>
          <w:tab w:val="right" w:pos="8360"/>
        </w:tabs>
        <w:spacing w:line="360" w:lineRule="auto"/>
        <w:ind w:right="42"/>
        <w:rPr>
          <w:rFonts w:hAnsi="宋体"/>
          <w:sz w:val="24"/>
          <w:u w:val="single"/>
        </w:rPr>
      </w:pPr>
    </w:p>
    <w:p>
      <w:pPr>
        <w:pStyle w:val="99"/>
        <w:tabs>
          <w:tab w:val="left" w:pos="5665"/>
          <w:tab w:val="right" w:pos="8360"/>
        </w:tabs>
        <w:spacing w:line="360" w:lineRule="auto"/>
        <w:ind w:right="42" w:firstLine="480" w:firstLineChars="200"/>
        <w:rPr>
          <w:rFonts w:hAnsi="宋体"/>
          <w:sz w:val="24"/>
          <w:u w:val="single"/>
        </w:rPr>
      </w:pPr>
      <w:r>
        <w:rPr>
          <w:rFonts w:hint="eastAsia" w:hAnsi="宋体"/>
          <w:sz w:val="24"/>
        </w:rPr>
        <w:t>法定代表人或</w:t>
      </w:r>
      <w:r>
        <w:rPr>
          <w:rFonts w:hint="eastAsia" w:hAnsi="宋体" w:cs="仿宋_GB2312"/>
          <w:sz w:val="24"/>
        </w:rPr>
        <w:t>被授权人（签字或盖章）</w:t>
      </w:r>
      <w:r>
        <w:rPr>
          <w:rFonts w:hint="eastAsia" w:hAnsi="宋体"/>
          <w:sz w:val="24"/>
        </w:rPr>
        <w:t>：</w:t>
      </w:r>
      <w:r>
        <w:rPr>
          <w:rFonts w:hAnsi="宋体"/>
          <w:sz w:val="24"/>
          <w:u w:val="single"/>
        </w:rPr>
        <w:t xml:space="preserve">               </w:t>
      </w:r>
      <w:r>
        <w:rPr>
          <w:rFonts w:hAnsi="宋体"/>
          <w:sz w:val="24"/>
        </w:rPr>
        <w:t xml:space="preserve">   </w:t>
      </w:r>
    </w:p>
    <w:p>
      <w:pPr>
        <w:pStyle w:val="99"/>
        <w:tabs>
          <w:tab w:val="left" w:pos="5665"/>
          <w:tab w:val="right" w:pos="8360"/>
        </w:tabs>
        <w:spacing w:line="360" w:lineRule="auto"/>
        <w:ind w:right="42"/>
        <w:rPr>
          <w:rFonts w:hAnsi="宋体"/>
          <w:sz w:val="24"/>
        </w:rPr>
      </w:pPr>
    </w:p>
    <w:p>
      <w:pPr>
        <w:pStyle w:val="99"/>
        <w:tabs>
          <w:tab w:val="left" w:pos="5665"/>
          <w:tab w:val="right" w:pos="8360"/>
        </w:tabs>
        <w:spacing w:line="360" w:lineRule="auto"/>
        <w:ind w:right="42" w:firstLine="480" w:firstLineChars="200"/>
        <w:jc w:val="left"/>
        <w:rPr>
          <w:rFonts w:hAnsi="宋体"/>
          <w:u w:val="single"/>
        </w:rPr>
        <w:sectPr>
          <w:headerReference r:id="rId4" w:type="first"/>
          <w:footerReference r:id="rId6" w:type="first"/>
          <w:headerReference r:id="rId3" w:type="default"/>
          <w:footerReference r:id="rId5" w:type="default"/>
          <w:pgSz w:w="11906" w:h="16838"/>
          <w:pgMar w:top="1134" w:right="1134" w:bottom="1004" w:left="1621" w:header="851" w:footer="992" w:gutter="0"/>
          <w:cols w:space="720" w:num="1"/>
          <w:docGrid w:linePitch="312" w:charSpace="0"/>
        </w:sectPr>
      </w:pPr>
      <w:r>
        <w:rPr>
          <w:rFonts w:hint="eastAsia" w:hAnsi="宋体"/>
          <w:sz w:val="24"/>
        </w:rPr>
        <w:t>日</w:t>
      </w:r>
      <w:r>
        <w:rPr>
          <w:rFonts w:hAnsi="宋体"/>
          <w:sz w:val="24"/>
        </w:rPr>
        <w:t xml:space="preserve">    </w:t>
      </w:r>
      <w:r>
        <w:rPr>
          <w:rFonts w:hint="eastAsia" w:hAnsi="宋体"/>
          <w:sz w:val="24"/>
        </w:rPr>
        <w:t>期：</w:t>
      </w:r>
      <w:r>
        <w:rPr>
          <w:rFonts w:hAnsi="宋体"/>
          <w:sz w:val="24"/>
          <w:u w:val="single"/>
        </w:rPr>
        <w:t xml:space="preserve">                                     </w:t>
      </w:r>
      <w:r>
        <w:rPr>
          <w:rFonts w:hAnsi="宋体"/>
          <w:u w:val="single"/>
        </w:rPr>
        <w:t xml:space="preserve">   </w:t>
      </w:r>
    </w:p>
    <w:p>
      <w:pPr>
        <w:spacing w:line="480" w:lineRule="exact"/>
        <w:ind w:firstLine="480"/>
        <w:jc w:val="left"/>
        <w:rPr>
          <w:rFonts w:ascii="宋体"/>
          <w:sz w:val="24"/>
          <w:szCs w:val="24"/>
        </w:rPr>
      </w:pPr>
    </w:p>
    <w:p>
      <w:pPr>
        <w:spacing w:line="480" w:lineRule="exact"/>
        <w:ind w:firstLine="480"/>
        <w:jc w:val="left"/>
        <w:rPr>
          <w:rFonts w:ascii="宋体"/>
          <w:sz w:val="24"/>
          <w:szCs w:val="24"/>
        </w:rPr>
      </w:pPr>
      <w:r>
        <w:rPr>
          <w:rFonts w:hint="eastAsia" w:ascii="宋体" w:hAnsi="宋体" w:cs="宋体"/>
          <w:b/>
          <w:sz w:val="28"/>
          <w:szCs w:val="28"/>
        </w:rPr>
        <w:t>8、磋商响应报价明细表（格式自拟）</w:t>
      </w:r>
    </w:p>
    <w:sectPr>
      <w:headerReference r:id="rId7" w:type="default"/>
      <w:footerReference r:id="rId8" w:type="default"/>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3"/>
      <w:jc w:val="center"/>
      <w:rPr>
        <w:rStyle w:val="12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ZCQg/RAAAAAwEAAA8AAAAAAAAAAQAgAAAAIgAAAGRycy9kb3ducmV2LnhtbFBL&#10;AQIUABQAAAAIAIdO4kD0UIs8NgIAAGEEAAAOAAAAAAAAAAEAIAAAACA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36</w:t>
                    </w:r>
                    <w:r>
                      <w:rPr>
                        <w:rFonts w:hint="eastAsia"/>
                        <w:sz w:val="18"/>
                      </w:rPr>
                      <w:fldChar w:fldCharType="end"/>
                    </w:r>
                  </w:p>
                </w:txbxContent>
              </v:textbox>
            </v:shape>
          </w:pict>
        </mc:Fallback>
      </mc:AlternateContent>
    </w:r>
  </w:p>
  <w:p>
    <w:pPr>
      <w:pStyle w:val="123"/>
      <w:rPr>
        <w:rStyle w:val="1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3"/>
      <w:jc w:val="center"/>
      <w:rPr>
        <w:rStyle w:val="12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p>
  <w:p>
    <w:pPr>
      <w:pStyle w:val="123"/>
      <w:rPr>
        <w:rStyle w:val="1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1905"/>
              <wp:wrapNone/>
              <wp:docPr id="60923406"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pStyle w:val="31"/>
                            <w:jc w:val="center"/>
                            <w:rPr>
                              <w:rFonts w:cs="Times New Roman"/>
                            </w:rPr>
                          </w:pPr>
                          <w:r>
                            <w:rPr>
                              <w:b/>
                              <w:bCs/>
                            </w:rPr>
                            <w:fldChar w:fldCharType="begin"/>
                          </w:r>
                          <w:r>
                            <w:rPr>
                              <w:b/>
                              <w:bCs/>
                            </w:rPr>
                            <w:instrText xml:space="preserve">PAGE</w:instrText>
                          </w:r>
                          <w:r>
                            <w:rPr>
                              <w:b/>
                              <w:bCs/>
                            </w:rPr>
                            <w:fldChar w:fldCharType="separate"/>
                          </w:r>
                          <w:r>
                            <w:rPr>
                              <w:b/>
                              <w:bCs/>
                            </w:rPr>
                            <w:t>- 2 -</w:t>
                          </w:r>
                          <w:r>
                            <w:rPr>
                              <w:b/>
                              <w:bCs/>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RZ6x0AAAAAMBAAAPAAAAAAAAAAEAIAAAACIAAABkcnMvZG93bnJldi54bWxQ&#10;SwECFAAUAAAACACHTuJA75E9hP8BAAAIBAAADgAAAAAAAAABACAAAAAfAQAAZHJzL2Uyb0RvYy54&#10;bWxQSwUGAAAAAAYABgBZAQAAkAUAAAAA&#10;">
              <v:fill on="f" focussize="0,0"/>
              <v:stroke on="f"/>
              <v:imagedata o:title=""/>
              <o:lock v:ext="edit" aspectratio="f"/>
              <v:textbox inset="0mm,0mm,0mm,0mm" style="mso-fit-shape-to-text:t;">
                <w:txbxContent>
                  <w:p>
                    <w:pPr>
                      <w:pStyle w:val="31"/>
                      <w:jc w:val="center"/>
                      <w:rPr>
                        <w:rFonts w:cs="Times New Roman"/>
                      </w:rPr>
                    </w:pPr>
                    <w:r>
                      <w:rPr>
                        <w:b/>
                        <w:bCs/>
                      </w:rPr>
                      <w:fldChar w:fldCharType="begin"/>
                    </w:r>
                    <w:r>
                      <w:rPr>
                        <w:b/>
                        <w:bCs/>
                      </w:rPr>
                      <w:instrText xml:space="preserve">PAGE</w:instrText>
                    </w:r>
                    <w:r>
                      <w:rPr>
                        <w:b/>
                        <w:bCs/>
                      </w:rPr>
                      <w:fldChar w:fldCharType="separate"/>
                    </w:r>
                    <w:r>
                      <w:rPr>
                        <w:b/>
                        <w:bCs/>
                      </w:rPr>
                      <w:t>- 2 -</w:t>
                    </w:r>
                    <w:r>
                      <w:rPr>
                        <w:b/>
                        <w:bCs/>
                      </w:rPr>
                      <w:fldChar w:fldCharType="end"/>
                    </w:r>
                  </w:p>
                </w:txbxContent>
              </v:textbox>
            </v:shape>
          </w:pict>
        </mc:Fallback>
      </mc:AlternateContent>
    </w:r>
  </w:p>
  <w:p>
    <w:pPr>
      <w:pStyle w:val="31"/>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1"/>
      <w:pBdr>
        <w:bottom w:val="none" w:color="auto" w:sz="0" w:space="1"/>
      </w:pBdr>
      <w:jc w:val="both"/>
      <w:rPr>
        <w:rStyle w:val="1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1"/>
      <w:jc w:val="both"/>
      <w:rPr>
        <w:rStyle w:val="122"/>
      </w:rPr>
    </w:pPr>
    <w:r>
      <w:rPr>
        <w:rStyle w:val="122"/>
        <w:rFonts w:hint="eastAsia" w:ascii="宋体" w:hAnsi="宋体"/>
        <w:b/>
        <w:bCs/>
      </w:rPr>
      <w:t>南通文化馆（群英馆）网络覆盖采购项目</w:t>
    </w:r>
    <w:r>
      <w:rPr>
        <w:rStyle w:val="122"/>
        <w:rFonts w:ascii="宋体" w:hAnsi="宋体"/>
        <w:b/>
        <w:bCs/>
      </w:rPr>
      <w:t xml:space="preserve">                                          </w:t>
    </w:r>
    <w:r>
      <w:rPr>
        <w:rStyle w:val="122"/>
        <w:rFonts w:hint="eastAsia" w:ascii="宋体" w:hAnsi="宋体"/>
        <w:b/>
        <w:bCs/>
      </w:rPr>
      <w:t xml:space="preserve">    </w:t>
    </w:r>
    <w:r>
      <w:rPr>
        <w:rStyle w:val="122"/>
        <w:rFonts w:ascii="宋体" w:hAnsi="宋体"/>
        <w:b/>
        <w:bCs/>
      </w:rPr>
      <w:t xml:space="preserve">  </w:t>
    </w:r>
    <w:r>
      <w:rPr>
        <w:rStyle w:val="122"/>
        <w:rFonts w:hint="eastAsia" w:ascii="宋体" w:hAnsi="宋体"/>
        <w:b/>
        <w:bCs/>
      </w:rPr>
      <w:t>招标采购</w:t>
    </w:r>
    <w:r>
      <w:rPr>
        <w:rStyle w:val="122"/>
        <w:rFonts w:ascii="宋体" w:hAnsi="宋体"/>
        <w:b/>
        <w:bCs/>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53788"/>
    <w:multiLevelType w:val="singleLevel"/>
    <w:tmpl w:val="BFF53788"/>
    <w:lvl w:ilvl="0" w:tentative="0">
      <w:start w:val="7"/>
      <w:numFmt w:val="decimal"/>
      <w:suff w:val="nothing"/>
      <w:lvlText w:val="%1、"/>
      <w:lvlJc w:val="left"/>
    </w:lvl>
  </w:abstractNum>
  <w:abstractNum w:abstractNumId="1">
    <w:nsid w:val="0000003D"/>
    <w:multiLevelType w:val="multilevel"/>
    <w:tmpl w:val="0000003D"/>
    <w:lvl w:ilvl="0" w:tentative="0">
      <w:start w:val="1"/>
      <w:numFmt w:val="chineseCountingThousand"/>
      <w:pStyle w:val="3"/>
      <w:lvlText w:val="第%1部分"/>
      <w:lvlJc w:val="left"/>
      <w:rPr>
        <w:rFonts w:cs="Times New Roman"/>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2">
    <w:nsid w:val="3B02FF5F"/>
    <w:multiLevelType w:val="singleLevel"/>
    <w:tmpl w:val="3B02FF5F"/>
    <w:lvl w:ilvl="0" w:tentative="0">
      <w:start w:val="3"/>
      <w:numFmt w:val="chineseCounting"/>
      <w:suff w:val="space"/>
      <w:lvlText w:val="第%1章"/>
      <w:lvlJc w:val="left"/>
      <w:rPr>
        <w:rFonts w:hint="eastAsia"/>
      </w:rPr>
    </w:lvl>
  </w:abstractNum>
  <w:abstractNum w:abstractNumId="3">
    <w:nsid w:val="572AE91F"/>
    <w:multiLevelType w:val="singleLevel"/>
    <w:tmpl w:val="572AE91F"/>
    <w:lvl w:ilvl="0" w:tentative="0">
      <w:start w:val="5"/>
      <w:numFmt w:val="chineseCounting"/>
      <w:suff w:val="space"/>
      <w:lvlText w:val="第%1章"/>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documentProtection w:enforcement="0"/>
  <w:defaultTabStop w:val="424"/>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xZTk4ODU1ZmZhNDIxMTBlZDJlNDI4ZDQ0ZDk0MDQifQ=="/>
  </w:docVars>
  <w:rsids>
    <w:rsidRoot w:val="00172A27"/>
    <w:rsid w:val="000058C1"/>
    <w:rsid w:val="00005F7A"/>
    <w:rsid w:val="00007F59"/>
    <w:rsid w:val="0001029F"/>
    <w:rsid w:val="000102D4"/>
    <w:rsid w:val="00016294"/>
    <w:rsid w:val="00021EFF"/>
    <w:rsid w:val="00021FC4"/>
    <w:rsid w:val="00023F8C"/>
    <w:rsid w:val="0002545F"/>
    <w:rsid w:val="00026B68"/>
    <w:rsid w:val="0003115D"/>
    <w:rsid w:val="00034047"/>
    <w:rsid w:val="000340DA"/>
    <w:rsid w:val="0003602F"/>
    <w:rsid w:val="000361E7"/>
    <w:rsid w:val="00037B25"/>
    <w:rsid w:val="00037B3B"/>
    <w:rsid w:val="000430F3"/>
    <w:rsid w:val="0004431A"/>
    <w:rsid w:val="00046FF5"/>
    <w:rsid w:val="00050BBD"/>
    <w:rsid w:val="00053E0D"/>
    <w:rsid w:val="00054028"/>
    <w:rsid w:val="00056E5D"/>
    <w:rsid w:val="0005762B"/>
    <w:rsid w:val="00060295"/>
    <w:rsid w:val="000606F5"/>
    <w:rsid w:val="00061142"/>
    <w:rsid w:val="00062482"/>
    <w:rsid w:val="00063304"/>
    <w:rsid w:val="000643A3"/>
    <w:rsid w:val="000655FD"/>
    <w:rsid w:val="00065E68"/>
    <w:rsid w:val="00066618"/>
    <w:rsid w:val="00071345"/>
    <w:rsid w:val="00071716"/>
    <w:rsid w:val="00074B89"/>
    <w:rsid w:val="000756B5"/>
    <w:rsid w:val="00082E54"/>
    <w:rsid w:val="00083910"/>
    <w:rsid w:val="00084E31"/>
    <w:rsid w:val="00085F8A"/>
    <w:rsid w:val="00086E8F"/>
    <w:rsid w:val="00090781"/>
    <w:rsid w:val="000939C5"/>
    <w:rsid w:val="00094062"/>
    <w:rsid w:val="000978C3"/>
    <w:rsid w:val="00097CA4"/>
    <w:rsid w:val="000A2C95"/>
    <w:rsid w:val="000A2F79"/>
    <w:rsid w:val="000A710B"/>
    <w:rsid w:val="000B2047"/>
    <w:rsid w:val="000B2801"/>
    <w:rsid w:val="000B38FB"/>
    <w:rsid w:val="000B4A07"/>
    <w:rsid w:val="000C3E5E"/>
    <w:rsid w:val="000C4679"/>
    <w:rsid w:val="000D0B71"/>
    <w:rsid w:val="000D121D"/>
    <w:rsid w:val="000D204D"/>
    <w:rsid w:val="000D2C01"/>
    <w:rsid w:val="000D41C1"/>
    <w:rsid w:val="000D41DF"/>
    <w:rsid w:val="000D4C32"/>
    <w:rsid w:val="000D694F"/>
    <w:rsid w:val="000D6E50"/>
    <w:rsid w:val="000E66F3"/>
    <w:rsid w:val="000F64B9"/>
    <w:rsid w:val="00100AF9"/>
    <w:rsid w:val="00100FE7"/>
    <w:rsid w:val="001020F7"/>
    <w:rsid w:val="00103D77"/>
    <w:rsid w:val="00105BBC"/>
    <w:rsid w:val="00106229"/>
    <w:rsid w:val="001062B6"/>
    <w:rsid w:val="00110BA5"/>
    <w:rsid w:val="0011354B"/>
    <w:rsid w:val="00113EAD"/>
    <w:rsid w:val="0011474C"/>
    <w:rsid w:val="00114BD8"/>
    <w:rsid w:val="00120CE9"/>
    <w:rsid w:val="00123BD5"/>
    <w:rsid w:val="00125073"/>
    <w:rsid w:val="00127592"/>
    <w:rsid w:val="0013050F"/>
    <w:rsid w:val="0013239E"/>
    <w:rsid w:val="00132A4A"/>
    <w:rsid w:val="00133CBD"/>
    <w:rsid w:val="00135173"/>
    <w:rsid w:val="00136FE5"/>
    <w:rsid w:val="00137E26"/>
    <w:rsid w:val="001419C0"/>
    <w:rsid w:val="00141EA3"/>
    <w:rsid w:val="0014374E"/>
    <w:rsid w:val="001505CF"/>
    <w:rsid w:val="00150875"/>
    <w:rsid w:val="00150D75"/>
    <w:rsid w:val="00152374"/>
    <w:rsid w:val="001528E4"/>
    <w:rsid w:val="00157327"/>
    <w:rsid w:val="001663EB"/>
    <w:rsid w:val="00172A27"/>
    <w:rsid w:val="00173D86"/>
    <w:rsid w:val="00175E77"/>
    <w:rsid w:val="00181ECB"/>
    <w:rsid w:val="0018394A"/>
    <w:rsid w:val="00186A58"/>
    <w:rsid w:val="001902B7"/>
    <w:rsid w:val="00192AB4"/>
    <w:rsid w:val="001976BE"/>
    <w:rsid w:val="001A0983"/>
    <w:rsid w:val="001A62B7"/>
    <w:rsid w:val="001B0894"/>
    <w:rsid w:val="001B271D"/>
    <w:rsid w:val="001B4D1C"/>
    <w:rsid w:val="001B4E47"/>
    <w:rsid w:val="001B56E3"/>
    <w:rsid w:val="001B5775"/>
    <w:rsid w:val="001B6B02"/>
    <w:rsid w:val="001C2231"/>
    <w:rsid w:val="001C6469"/>
    <w:rsid w:val="001D0AEE"/>
    <w:rsid w:val="001D1E4A"/>
    <w:rsid w:val="001D60DD"/>
    <w:rsid w:val="001E3534"/>
    <w:rsid w:val="001E46E8"/>
    <w:rsid w:val="001E48AB"/>
    <w:rsid w:val="001E5681"/>
    <w:rsid w:val="001F4880"/>
    <w:rsid w:val="001F5A4B"/>
    <w:rsid w:val="001F650B"/>
    <w:rsid w:val="00200061"/>
    <w:rsid w:val="0020114A"/>
    <w:rsid w:val="00201B85"/>
    <w:rsid w:val="00206420"/>
    <w:rsid w:val="00206AF1"/>
    <w:rsid w:val="00207784"/>
    <w:rsid w:val="00207F85"/>
    <w:rsid w:val="00211E09"/>
    <w:rsid w:val="002128AF"/>
    <w:rsid w:val="00221027"/>
    <w:rsid w:val="00223466"/>
    <w:rsid w:val="00224F5F"/>
    <w:rsid w:val="002257D7"/>
    <w:rsid w:val="00225DFC"/>
    <w:rsid w:val="00231148"/>
    <w:rsid w:val="002315E8"/>
    <w:rsid w:val="00235015"/>
    <w:rsid w:val="00236425"/>
    <w:rsid w:val="00237122"/>
    <w:rsid w:val="00240EF7"/>
    <w:rsid w:val="002416D0"/>
    <w:rsid w:val="00245B72"/>
    <w:rsid w:val="002465F4"/>
    <w:rsid w:val="00247445"/>
    <w:rsid w:val="002509ED"/>
    <w:rsid w:val="00250C19"/>
    <w:rsid w:val="00253F6B"/>
    <w:rsid w:val="00260193"/>
    <w:rsid w:val="00260CD4"/>
    <w:rsid w:val="002611FD"/>
    <w:rsid w:val="00261BC6"/>
    <w:rsid w:val="002656FE"/>
    <w:rsid w:val="00266DB4"/>
    <w:rsid w:val="0026722D"/>
    <w:rsid w:val="00271E05"/>
    <w:rsid w:val="002743B2"/>
    <w:rsid w:val="00275DE2"/>
    <w:rsid w:val="002818BB"/>
    <w:rsid w:val="00291332"/>
    <w:rsid w:val="00291738"/>
    <w:rsid w:val="002939F5"/>
    <w:rsid w:val="0029796E"/>
    <w:rsid w:val="002A09EE"/>
    <w:rsid w:val="002A1F8F"/>
    <w:rsid w:val="002A2D12"/>
    <w:rsid w:val="002A2F7D"/>
    <w:rsid w:val="002A7008"/>
    <w:rsid w:val="002A7980"/>
    <w:rsid w:val="002B7251"/>
    <w:rsid w:val="002B77A5"/>
    <w:rsid w:val="002B7CFD"/>
    <w:rsid w:val="002C2290"/>
    <w:rsid w:val="002C3237"/>
    <w:rsid w:val="002C4C55"/>
    <w:rsid w:val="002C5470"/>
    <w:rsid w:val="002C71C8"/>
    <w:rsid w:val="002D2975"/>
    <w:rsid w:val="002D7709"/>
    <w:rsid w:val="002D7C8B"/>
    <w:rsid w:val="002E0741"/>
    <w:rsid w:val="002E385C"/>
    <w:rsid w:val="002E5876"/>
    <w:rsid w:val="002E5B21"/>
    <w:rsid w:val="002E62B0"/>
    <w:rsid w:val="002F15E0"/>
    <w:rsid w:val="002F2C1A"/>
    <w:rsid w:val="002F2F03"/>
    <w:rsid w:val="002F677F"/>
    <w:rsid w:val="0030187C"/>
    <w:rsid w:val="00303A7A"/>
    <w:rsid w:val="00305B2D"/>
    <w:rsid w:val="00307ADC"/>
    <w:rsid w:val="003101C1"/>
    <w:rsid w:val="00314EA0"/>
    <w:rsid w:val="003175A8"/>
    <w:rsid w:val="0032064F"/>
    <w:rsid w:val="003311BA"/>
    <w:rsid w:val="00331BE9"/>
    <w:rsid w:val="00332927"/>
    <w:rsid w:val="003339B0"/>
    <w:rsid w:val="00335723"/>
    <w:rsid w:val="003358D8"/>
    <w:rsid w:val="003428D6"/>
    <w:rsid w:val="00343431"/>
    <w:rsid w:val="00343F86"/>
    <w:rsid w:val="00346FA1"/>
    <w:rsid w:val="00347DEF"/>
    <w:rsid w:val="00350C1C"/>
    <w:rsid w:val="00355DBE"/>
    <w:rsid w:val="00356CA9"/>
    <w:rsid w:val="003643E9"/>
    <w:rsid w:val="00370706"/>
    <w:rsid w:val="00372BAE"/>
    <w:rsid w:val="003740F9"/>
    <w:rsid w:val="00374DDC"/>
    <w:rsid w:val="003817E3"/>
    <w:rsid w:val="00381EBE"/>
    <w:rsid w:val="003858EF"/>
    <w:rsid w:val="0038623A"/>
    <w:rsid w:val="00390D05"/>
    <w:rsid w:val="00394312"/>
    <w:rsid w:val="00396574"/>
    <w:rsid w:val="003967B3"/>
    <w:rsid w:val="003968B1"/>
    <w:rsid w:val="00397129"/>
    <w:rsid w:val="003975A5"/>
    <w:rsid w:val="0039790E"/>
    <w:rsid w:val="00397C9B"/>
    <w:rsid w:val="003A01C6"/>
    <w:rsid w:val="003A3BAC"/>
    <w:rsid w:val="003A5164"/>
    <w:rsid w:val="003A5379"/>
    <w:rsid w:val="003A57BD"/>
    <w:rsid w:val="003B13A5"/>
    <w:rsid w:val="003B5138"/>
    <w:rsid w:val="003C286E"/>
    <w:rsid w:val="003D0A3A"/>
    <w:rsid w:val="003D5966"/>
    <w:rsid w:val="003D6CB7"/>
    <w:rsid w:val="003D77DF"/>
    <w:rsid w:val="003E5F57"/>
    <w:rsid w:val="003E6CA3"/>
    <w:rsid w:val="003E7713"/>
    <w:rsid w:val="003F0B00"/>
    <w:rsid w:val="003F4B46"/>
    <w:rsid w:val="00403824"/>
    <w:rsid w:val="004050BB"/>
    <w:rsid w:val="004059F8"/>
    <w:rsid w:val="004064B2"/>
    <w:rsid w:val="00407C91"/>
    <w:rsid w:val="00411773"/>
    <w:rsid w:val="0041325D"/>
    <w:rsid w:val="004161DA"/>
    <w:rsid w:val="00416484"/>
    <w:rsid w:val="00417B98"/>
    <w:rsid w:val="00420773"/>
    <w:rsid w:val="00425FD6"/>
    <w:rsid w:val="004279C7"/>
    <w:rsid w:val="0043369C"/>
    <w:rsid w:val="00433D36"/>
    <w:rsid w:val="0043477C"/>
    <w:rsid w:val="00434E35"/>
    <w:rsid w:val="00437C76"/>
    <w:rsid w:val="00447C56"/>
    <w:rsid w:val="00451E6C"/>
    <w:rsid w:val="00453C4A"/>
    <w:rsid w:val="00453E65"/>
    <w:rsid w:val="004561B2"/>
    <w:rsid w:val="0045785B"/>
    <w:rsid w:val="004623F7"/>
    <w:rsid w:val="0046356E"/>
    <w:rsid w:val="004719DC"/>
    <w:rsid w:val="004721E5"/>
    <w:rsid w:val="0048159E"/>
    <w:rsid w:val="004817D8"/>
    <w:rsid w:val="004820DF"/>
    <w:rsid w:val="00482A61"/>
    <w:rsid w:val="00490AC6"/>
    <w:rsid w:val="00491943"/>
    <w:rsid w:val="00493E82"/>
    <w:rsid w:val="00496D73"/>
    <w:rsid w:val="004A377D"/>
    <w:rsid w:val="004A405A"/>
    <w:rsid w:val="004A56DD"/>
    <w:rsid w:val="004A5934"/>
    <w:rsid w:val="004A7F32"/>
    <w:rsid w:val="004B1233"/>
    <w:rsid w:val="004B1DF8"/>
    <w:rsid w:val="004B208A"/>
    <w:rsid w:val="004B67DE"/>
    <w:rsid w:val="004B7D94"/>
    <w:rsid w:val="004C05C3"/>
    <w:rsid w:val="004C06BA"/>
    <w:rsid w:val="004C2A62"/>
    <w:rsid w:val="004C37D0"/>
    <w:rsid w:val="004C420A"/>
    <w:rsid w:val="004C434E"/>
    <w:rsid w:val="004D00F8"/>
    <w:rsid w:val="004D097D"/>
    <w:rsid w:val="004D0C3D"/>
    <w:rsid w:val="004D110E"/>
    <w:rsid w:val="004D48B8"/>
    <w:rsid w:val="004F364D"/>
    <w:rsid w:val="004F534F"/>
    <w:rsid w:val="004F6D64"/>
    <w:rsid w:val="004F7AFA"/>
    <w:rsid w:val="00503EBC"/>
    <w:rsid w:val="00504311"/>
    <w:rsid w:val="0050608A"/>
    <w:rsid w:val="00510574"/>
    <w:rsid w:val="00510919"/>
    <w:rsid w:val="005129D6"/>
    <w:rsid w:val="00513F04"/>
    <w:rsid w:val="00514F19"/>
    <w:rsid w:val="005164FD"/>
    <w:rsid w:val="0051662D"/>
    <w:rsid w:val="005177C6"/>
    <w:rsid w:val="005212FD"/>
    <w:rsid w:val="00524448"/>
    <w:rsid w:val="00526435"/>
    <w:rsid w:val="005300E8"/>
    <w:rsid w:val="00531DCB"/>
    <w:rsid w:val="00532531"/>
    <w:rsid w:val="00532C54"/>
    <w:rsid w:val="0053747E"/>
    <w:rsid w:val="0053785D"/>
    <w:rsid w:val="00537AF6"/>
    <w:rsid w:val="00537DF0"/>
    <w:rsid w:val="00540647"/>
    <w:rsid w:val="00540E45"/>
    <w:rsid w:val="00547813"/>
    <w:rsid w:val="005478BE"/>
    <w:rsid w:val="005506EF"/>
    <w:rsid w:val="005513F9"/>
    <w:rsid w:val="00551D57"/>
    <w:rsid w:val="005520FF"/>
    <w:rsid w:val="005542D7"/>
    <w:rsid w:val="00555558"/>
    <w:rsid w:val="00556AF7"/>
    <w:rsid w:val="00560E05"/>
    <w:rsid w:val="0056421D"/>
    <w:rsid w:val="00565752"/>
    <w:rsid w:val="005658DD"/>
    <w:rsid w:val="00565F1B"/>
    <w:rsid w:val="00567762"/>
    <w:rsid w:val="00570C05"/>
    <w:rsid w:val="00573D1A"/>
    <w:rsid w:val="00574C7B"/>
    <w:rsid w:val="00575CC1"/>
    <w:rsid w:val="00575F45"/>
    <w:rsid w:val="00576BA1"/>
    <w:rsid w:val="005804A2"/>
    <w:rsid w:val="00580A48"/>
    <w:rsid w:val="005823FB"/>
    <w:rsid w:val="005843B8"/>
    <w:rsid w:val="00585154"/>
    <w:rsid w:val="00591060"/>
    <w:rsid w:val="0059320F"/>
    <w:rsid w:val="00594010"/>
    <w:rsid w:val="00594BBE"/>
    <w:rsid w:val="005955DC"/>
    <w:rsid w:val="00595FA9"/>
    <w:rsid w:val="005968BC"/>
    <w:rsid w:val="005972C3"/>
    <w:rsid w:val="005A52A9"/>
    <w:rsid w:val="005A673F"/>
    <w:rsid w:val="005A68E8"/>
    <w:rsid w:val="005A6E45"/>
    <w:rsid w:val="005B1057"/>
    <w:rsid w:val="005B21DF"/>
    <w:rsid w:val="005B308C"/>
    <w:rsid w:val="005B72E0"/>
    <w:rsid w:val="005C0614"/>
    <w:rsid w:val="005C0967"/>
    <w:rsid w:val="005C176A"/>
    <w:rsid w:val="005C2B69"/>
    <w:rsid w:val="005C79BA"/>
    <w:rsid w:val="005D4622"/>
    <w:rsid w:val="005D52AB"/>
    <w:rsid w:val="005D60C9"/>
    <w:rsid w:val="005E5EDB"/>
    <w:rsid w:val="005E70E4"/>
    <w:rsid w:val="005E7AE6"/>
    <w:rsid w:val="005F44E9"/>
    <w:rsid w:val="00600D08"/>
    <w:rsid w:val="00603887"/>
    <w:rsid w:val="0060566C"/>
    <w:rsid w:val="00612E25"/>
    <w:rsid w:val="00622E32"/>
    <w:rsid w:val="006231DE"/>
    <w:rsid w:val="00624133"/>
    <w:rsid w:val="00624E4B"/>
    <w:rsid w:val="00626C16"/>
    <w:rsid w:val="00627EC6"/>
    <w:rsid w:val="00630B33"/>
    <w:rsid w:val="00635629"/>
    <w:rsid w:val="00636961"/>
    <w:rsid w:val="0064036E"/>
    <w:rsid w:val="00640665"/>
    <w:rsid w:val="0065025F"/>
    <w:rsid w:val="0065063B"/>
    <w:rsid w:val="0065066E"/>
    <w:rsid w:val="006532BB"/>
    <w:rsid w:val="006533D1"/>
    <w:rsid w:val="006578C3"/>
    <w:rsid w:val="00662669"/>
    <w:rsid w:val="00662D7B"/>
    <w:rsid w:val="0066442C"/>
    <w:rsid w:val="006724B4"/>
    <w:rsid w:val="00672B23"/>
    <w:rsid w:val="00674238"/>
    <w:rsid w:val="00681F0C"/>
    <w:rsid w:val="0068305C"/>
    <w:rsid w:val="006857B3"/>
    <w:rsid w:val="00685AC6"/>
    <w:rsid w:val="00685DB2"/>
    <w:rsid w:val="006869E9"/>
    <w:rsid w:val="00691A51"/>
    <w:rsid w:val="00695F5C"/>
    <w:rsid w:val="006A01B3"/>
    <w:rsid w:val="006A2399"/>
    <w:rsid w:val="006A3276"/>
    <w:rsid w:val="006A454F"/>
    <w:rsid w:val="006A4FF1"/>
    <w:rsid w:val="006B137D"/>
    <w:rsid w:val="006B5A48"/>
    <w:rsid w:val="006C0AE2"/>
    <w:rsid w:val="006C2924"/>
    <w:rsid w:val="006C4232"/>
    <w:rsid w:val="006D2963"/>
    <w:rsid w:val="006D3B52"/>
    <w:rsid w:val="006D485E"/>
    <w:rsid w:val="006D4923"/>
    <w:rsid w:val="006D69F6"/>
    <w:rsid w:val="006E0C07"/>
    <w:rsid w:val="006E5692"/>
    <w:rsid w:val="006E5CD0"/>
    <w:rsid w:val="006F005C"/>
    <w:rsid w:val="006F1BC8"/>
    <w:rsid w:val="006F27A5"/>
    <w:rsid w:val="006F7D2C"/>
    <w:rsid w:val="00700877"/>
    <w:rsid w:val="007026B0"/>
    <w:rsid w:val="00707BF4"/>
    <w:rsid w:val="00710FDC"/>
    <w:rsid w:val="00711087"/>
    <w:rsid w:val="00711337"/>
    <w:rsid w:val="00711C49"/>
    <w:rsid w:val="00714F75"/>
    <w:rsid w:val="00715679"/>
    <w:rsid w:val="007243DF"/>
    <w:rsid w:val="00726F09"/>
    <w:rsid w:val="00730BEA"/>
    <w:rsid w:val="0073114F"/>
    <w:rsid w:val="00731507"/>
    <w:rsid w:val="007319A3"/>
    <w:rsid w:val="00737082"/>
    <w:rsid w:val="00744D66"/>
    <w:rsid w:val="00745728"/>
    <w:rsid w:val="00751575"/>
    <w:rsid w:val="00752A41"/>
    <w:rsid w:val="007533FD"/>
    <w:rsid w:val="00753B5F"/>
    <w:rsid w:val="00754434"/>
    <w:rsid w:val="00755BF0"/>
    <w:rsid w:val="00756C6B"/>
    <w:rsid w:val="0076084E"/>
    <w:rsid w:val="00761293"/>
    <w:rsid w:val="00763D48"/>
    <w:rsid w:val="007643DF"/>
    <w:rsid w:val="00766DBF"/>
    <w:rsid w:val="007707B5"/>
    <w:rsid w:val="0077231F"/>
    <w:rsid w:val="0077585D"/>
    <w:rsid w:val="007801C6"/>
    <w:rsid w:val="00782093"/>
    <w:rsid w:val="00787753"/>
    <w:rsid w:val="00787FF9"/>
    <w:rsid w:val="0079111A"/>
    <w:rsid w:val="007912A4"/>
    <w:rsid w:val="00791ABB"/>
    <w:rsid w:val="00793083"/>
    <w:rsid w:val="00795CE4"/>
    <w:rsid w:val="00795E3E"/>
    <w:rsid w:val="00796E0B"/>
    <w:rsid w:val="007978F4"/>
    <w:rsid w:val="007A29CA"/>
    <w:rsid w:val="007A3F59"/>
    <w:rsid w:val="007A40A5"/>
    <w:rsid w:val="007A46CB"/>
    <w:rsid w:val="007A4F32"/>
    <w:rsid w:val="007A5123"/>
    <w:rsid w:val="007A57DE"/>
    <w:rsid w:val="007A775F"/>
    <w:rsid w:val="007B4D92"/>
    <w:rsid w:val="007B52DA"/>
    <w:rsid w:val="007C195A"/>
    <w:rsid w:val="007C49FB"/>
    <w:rsid w:val="007C6B26"/>
    <w:rsid w:val="007C7791"/>
    <w:rsid w:val="007D017C"/>
    <w:rsid w:val="007D288E"/>
    <w:rsid w:val="007D2FC2"/>
    <w:rsid w:val="007D6568"/>
    <w:rsid w:val="007D7EAD"/>
    <w:rsid w:val="007E5AE8"/>
    <w:rsid w:val="007F08B4"/>
    <w:rsid w:val="007F389B"/>
    <w:rsid w:val="007F5D32"/>
    <w:rsid w:val="007F621E"/>
    <w:rsid w:val="007F6B3A"/>
    <w:rsid w:val="007F7318"/>
    <w:rsid w:val="00803D57"/>
    <w:rsid w:val="0080404F"/>
    <w:rsid w:val="0080429F"/>
    <w:rsid w:val="008050F6"/>
    <w:rsid w:val="00813985"/>
    <w:rsid w:val="00821F15"/>
    <w:rsid w:val="00822664"/>
    <w:rsid w:val="00824DCB"/>
    <w:rsid w:val="0082509F"/>
    <w:rsid w:val="00834A43"/>
    <w:rsid w:val="008364E9"/>
    <w:rsid w:val="0084159C"/>
    <w:rsid w:val="0084730D"/>
    <w:rsid w:val="00850986"/>
    <w:rsid w:val="00851DD2"/>
    <w:rsid w:val="00856C37"/>
    <w:rsid w:val="008614A0"/>
    <w:rsid w:val="00861850"/>
    <w:rsid w:val="008619E5"/>
    <w:rsid w:val="008673FE"/>
    <w:rsid w:val="00873C20"/>
    <w:rsid w:val="0087464C"/>
    <w:rsid w:val="00874679"/>
    <w:rsid w:val="00881374"/>
    <w:rsid w:val="00881ADC"/>
    <w:rsid w:val="008836C9"/>
    <w:rsid w:val="00885115"/>
    <w:rsid w:val="00886A80"/>
    <w:rsid w:val="00886E32"/>
    <w:rsid w:val="00891057"/>
    <w:rsid w:val="00896233"/>
    <w:rsid w:val="008A12ED"/>
    <w:rsid w:val="008A1DDD"/>
    <w:rsid w:val="008A1F9B"/>
    <w:rsid w:val="008A4FC5"/>
    <w:rsid w:val="008A5FAC"/>
    <w:rsid w:val="008A671F"/>
    <w:rsid w:val="008A7716"/>
    <w:rsid w:val="008A77DF"/>
    <w:rsid w:val="008B198C"/>
    <w:rsid w:val="008B2603"/>
    <w:rsid w:val="008B51B0"/>
    <w:rsid w:val="008B5E27"/>
    <w:rsid w:val="008B6147"/>
    <w:rsid w:val="008C0A97"/>
    <w:rsid w:val="008C27C3"/>
    <w:rsid w:val="008C28C9"/>
    <w:rsid w:val="008C49C4"/>
    <w:rsid w:val="008C69A5"/>
    <w:rsid w:val="008C69DF"/>
    <w:rsid w:val="008C69E4"/>
    <w:rsid w:val="008C6B0A"/>
    <w:rsid w:val="008D1214"/>
    <w:rsid w:val="008D1A0F"/>
    <w:rsid w:val="008D2D0E"/>
    <w:rsid w:val="008D42AF"/>
    <w:rsid w:val="008D55D5"/>
    <w:rsid w:val="008D722A"/>
    <w:rsid w:val="008E14D6"/>
    <w:rsid w:val="008E185D"/>
    <w:rsid w:val="008E3424"/>
    <w:rsid w:val="008F2292"/>
    <w:rsid w:val="008F37FA"/>
    <w:rsid w:val="008F38E7"/>
    <w:rsid w:val="008F444E"/>
    <w:rsid w:val="008F44CB"/>
    <w:rsid w:val="008F4CB3"/>
    <w:rsid w:val="008F7D03"/>
    <w:rsid w:val="00900E85"/>
    <w:rsid w:val="0090226B"/>
    <w:rsid w:val="00904DBC"/>
    <w:rsid w:val="0090587E"/>
    <w:rsid w:val="00907FB5"/>
    <w:rsid w:val="00907FE3"/>
    <w:rsid w:val="0091265E"/>
    <w:rsid w:val="009142DA"/>
    <w:rsid w:val="00915AFC"/>
    <w:rsid w:val="009230B6"/>
    <w:rsid w:val="009269A3"/>
    <w:rsid w:val="00931165"/>
    <w:rsid w:val="009312EF"/>
    <w:rsid w:val="009343B3"/>
    <w:rsid w:val="00934E93"/>
    <w:rsid w:val="009350AF"/>
    <w:rsid w:val="009353D7"/>
    <w:rsid w:val="009401C4"/>
    <w:rsid w:val="009416CA"/>
    <w:rsid w:val="009433B0"/>
    <w:rsid w:val="00943CEB"/>
    <w:rsid w:val="009440E1"/>
    <w:rsid w:val="00947DE2"/>
    <w:rsid w:val="009505B0"/>
    <w:rsid w:val="009533E2"/>
    <w:rsid w:val="00955ADB"/>
    <w:rsid w:val="00962E18"/>
    <w:rsid w:val="0096764D"/>
    <w:rsid w:val="009710E0"/>
    <w:rsid w:val="009716AF"/>
    <w:rsid w:val="009722BC"/>
    <w:rsid w:val="0097298E"/>
    <w:rsid w:val="00974EFA"/>
    <w:rsid w:val="00983BA5"/>
    <w:rsid w:val="00985679"/>
    <w:rsid w:val="00986B8F"/>
    <w:rsid w:val="00992988"/>
    <w:rsid w:val="00994A91"/>
    <w:rsid w:val="00995678"/>
    <w:rsid w:val="009A145D"/>
    <w:rsid w:val="009A1807"/>
    <w:rsid w:val="009A28C8"/>
    <w:rsid w:val="009A3F9E"/>
    <w:rsid w:val="009A52DD"/>
    <w:rsid w:val="009A5E11"/>
    <w:rsid w:val="009A6682"/>
    <w:rsid w:val="009B0588"/>
    <w:rsid w:val="009B38DD"/>
    <w:rsid w:val="009B4FA1"/>
    <w:rsid w:val="009B784E"/>
    <w:rsid w:val="009C2BE5"/>
    <w:rsid w:val="009C4FC2"/>
    <w:rsid w:val="009C67DC"/>
    <w:rsid w:val="009D7486"/>
    <w:rsid w:val="009E5581"/>
    <w:rsid w:val="009E61A2"/>
    <w:rsid w:val="009F2972"/>
    <w:rsid w:val="009F2FD8"/>
    <w:rsid w:val="009F30E6"/>
    <w:rsid w:val="009F6E7B"/>
    <w:rsid w:val="009F7311"/>
    <w:rsid w:val="00A03A53"/>
    <w:rsid w:val="00A04558"/>
    <w:rsid w:val="00A1005B"/>
    <w:rsid w:val="00A13F6A"/>
    <w:rsid w:val="00A171CD"/>
    <w:rsid w:val="00A17A38"/>
    <w:rsid w:val="00A21916"/>
    <w:rsid w:val="00A22747"/>
    <w:rsid w:val="00A267AE"/>
    <w:rsid w:val="00A3053F"/>
    <w:rsid w:val="00A30720"/>
    <w:rsid w:val="00A359A2"/>
    <w:rsid w:val="00A368BE"/>
    <w:rsid w:val="00A40656"/>
    <w:rsid w:val="00A442F4"/>
    <w:rsid w:val="00A46D18"/>
    <w:rsid w:val="00A5270F"/>
    <w:rsid w:val="00A63A3E"/>
    <w:rsid w:val="00A63CBA"/>
    <w:rsid w:val="00A642C4"/>
    <w:rsid w:val="00A652DA"/>
    <w:rsid w:val="00A7282B"/>
    <w:rsid w:val="00A81B7C"/>
    <w:rsid w:val="00A82D72"/>
    <w:rsid w:val="00A84548"/>
    <w:rsid w:val="00A86365"/>
    <w:rsid w:val="00A9252B"/>
    <w:rsid w:val="00A92EBE"/>
    <w:rsid w:val="00A9516B"/>
    <w:rsid w:val="00A95AEB"/>
    <w:rsid w:val="00AA2853"/>
    <w:rsid w:val="00AA36C7"/>
    <w:rsid w:val="00AA495E"/>
    <w:rsid w:val="00AA6934"/>
    <w:rsid w:val="00AA6E9D"/>
    <w:rsid w:val="00AA7BA4"/>
    <w:rsid w:val="00AB0C2C"/>
    <w:rsid w:val="00AB1078"/>
    <w:rsid w:val="00AB1346"/>
    <w:rsid w:val="00AB26DB"/>
    <w:rsid w:val="00AC4838"/>
    <w:rsid w:val="00AD0813"/>
    <w:rsid w:val="00AD24EF"/>
    <w:rsid w:val="00AD5A93"/>
    <w:rsid w:val="00AE024C"/>
    <w:rsid w:val="00AE371D"/>
    <w:rsid w:val="00AE39AB"/>
    <w:rsid w:val="00AE584F"/>
    <w:rsid w:val="00AE63C3"/>
    <w:rsid w:val="00AE7CFC"/>
    <w:rsid w:val="00AF291F"/>
    <w:rsid w:val="00AF6489"/>
    <w:rsid w:val="00AF7A9F"/>
    <w:rsid w:val="00B01D34"/>
    <w:rsid w:val="00B03609"/>
    <w:rsid w:val="00B03831"/>
    <w:rsid w:val="00B03DBB"/>
    <w:rsid w:val="00B04254"/>
    <w:rsid w:val="00B05449"/>
    <w:rsid w:val="00B05903"/>
    <w:rsid w:val="00B06E17"/>
    <w:rsid w:val="00B10648"/>
    <w:rsid w:val="00B15007"/>
    <w:rsid w:val="00B16DE7"/>
    <w:rsid w:val="00B179CD"/>
    <w:rsid w:val="00B225D7"/>
    <w:rsid w:val="00B24177"/>
    <w:rsid w:val="00B30D05"/>
    <w:rsid w:val="00B327DB"/>
    <w:rsid w:val="00B357A3"/>
    <w:rsid w:val="00B4150F"/>
    <w:rsid w:val="00B416F4"/>
    <w:rsid w:val="00B41871"/>
    <w:rsid w:val="00B4336F"/>
    <w:rsid w:val="00B4522D"/>
    <w:rsid w:val="00B4598F"/>
    <w:rsid w:val="00B46BF7"/>
    <w:rsid w:val="00B50E29"/>
    <w:rsid w:val="00B51E97"/>
    <w:rsid w:val="00B5327F"/>
    <w:rsid w:val="00B565FE"/>
    <w:rsid w:val="00B57C66"/>
    <w:rsid w:val="00B60458"/>
    <w:rsid w:val="00B61DC3"/>
    <w:rsid w:val="00B633C4"/>
    <w:rsid w:val="00B65E56"/>
    <w:rsid w:val="00B67AEA"/>
    <w:rsid w:val="00B72C66"/>
    <w:rsid w:val="00B73C62"/>
    <w:rsid w:val="00B83C32"/>
    <w:rsid w:val="00B85816"/>
    <w:rsid w:val="00B875C0"/>
    <w:rsid w:val="00B90608"/>
    <w:rsid w:val="00B9166F"/>
    <w:rsid w:val="00B920AD"/>
    <w:rsid w:val="00B94C8E"/>
    <w:rsid w:val="00B966AC"/>
    <w:rsid w:val="00B96F20"/>
    <w:rsid w:val="00BA1064"/>
    <w:rsid w:val="00BA485C"/>
    <w:rsid w:val="00BA48FC"/>
    <w:rsid w:val="00BA4C75"/>
    <w:rsid w:val="00BA6979"/>
    <w:rsid w:val="00BA790D"/>
    <w:rsid w:val="00BB279B"/>
    <w:rsid w:val="00BB4323"/>
    <w:rsid w:val="00BB452C"/>
    <w:rsid w:val="00BB4532"/>
    <w:rsid w:val="00BB4A21"/>
    <w:rsid w:val="00BB650B"/>
    <w:rsid w:val="00BB6A77"/>
    <w:rsid w:val="00BB6BFB"/>
    <w:rsid w:val="00BC58A4"/>
    <w:rsid w:val="00BC781E"/>
    <w:rsid w:val="00BD1973"/>
    <w:rsid w:val="00BD358F"/>
    <w:rsid w:val="00BD4809"/>
    <w:rsid w:val="00BD5E5C"/>
    <w:rsid w:val="00BD5F32"/>
    <w:rsid w:val="00BD774B"/>
    <w:rsid w:val="00BE437C"/>
    <w:rsid w:val="00BE5949"/>
    <w:rsid w:val="00BF0241"/>
    <w:rsid w:val="00BF3055"/>
    <w:rsid w:val="00BF3E3E"/>
    <w:rsid w:val="00BF45CC"/>
    <w:rsid w:val="00C01D39"/>
    <w:rsid w:val="00C05C52"/>
    <w:rsid w:val="00C06C84"/>
    <w:rsid w:val="00C103CD"/>
    <w:rsid w:val="00C1253A"/>
    <w:rsid w:val="00C12544"/>
    <w:rsid w:val="00C12799"/>
    <w:rsid w:val="00C213E5"/>
    <w:rsid w:val="00C25C9B"/>
    <w:rsid w:val="00C261AB"/>
    <w:rsid w:val="00C32303"/>
    <w:rsid w:val="00C33F1D"/>
    <w:rsid w:val="00C36220"/>
    <w:rsid w:val="00C362DF"/>
    <w:rsid w:val="00C42BB6"/>
    <w:rsid w:val="00C5077E"/>
    <w:rsid w:val="00C537C1"/>
    <w:rsid w:val="00C601D5"/>
    <w:rsid w:val="00C60DC9"/>
    <w:rsid w:val="00C623F7"/>
    <w:rsid w:val="00C63034"/>
    <w:rsid w:val="00C6413D"/>
    <w:rsid w:val="00C65ACA"/>
    <w:rsid w:val="00C66C45"/>
    <w:rsid w:val="00C67F24"/>
    <w:rsid w:val="00C716A7"/>
    <w:rsid w:val="00C726F2"/>
    <w:rsid w:val="00C73D86"/>
    <w:rsid w:val="00C73F67"/>
    <w:rsid w:val="00C75E74"/>
    <w:rsid w:val="00C77802"/>
    <w:rsid w:val="00C81801"/>
    <w:rsid w:val="00C86011"/>
    <w:rsid w:val="00C8675F"/>
    <w:rsid w:val="00C87D86"/>
    <w:rsid w:val="00C92B10"/>
    <w:rsid w:val="00C94724"/>
    <w:rsid w:val="00C953DF"/>
    <w:rsid w:val="00C9623A"/>
    <w:rsid w:val="00C966DF"/>
    <w:rsid w:val="00C97E68"/>
    <w:rsid w:val="00CA27FF"/>
    <w:rsid w:val="00CA3DB6"/>
    <w:rsid w:val="00CA478F"/>
    <w:rsid w:val="00CA56B5"/>
    <w:rsid w:val="00CA5DFF"/>
    <w:rsid w:val="00CA7956"/>
    <w:rsid w:val="00CB670E"/>
    <w:rsid w:val="00CB677B"/>
    <w:rsid w:val="00CB6E94"/>
    <w:rsid w:val="00CB74DE"/>
    <w:rsid w:val="00CC0D30"/>
    <w:rsid w:val="00CC22FF"/>
    <w:rsid w:val="00CC6901"/>
    <w:rsid w:val="00CC7E4B"/>
    <w:rsid w:val="00CD078C"/>
    <w:rsid w:val="00CD1E53"/>
    <w:rsid w:val="00CD27BA"/>
    <w:rsid w:val="00CD2C75"/>
    <w:rsid w:val="00CD5DE2"/>
    <w:rsid w:val="00CD6C97"/>
    <w:rsid w:val="00CE64D2"/>
    <w:rsid w:val="00CF055B"/>
    <w:rsid w:val="00CF27FC"/>
    <w:rsid w:val="00CF2864"/>
    <w:rsid w:val="00CF53AC"/>
    <w:rsid w:val="00D11D6B"/>
    <w:rsid w:val="00D12B9D"/>
    <w:rsid w:val="00D135A1"/>
    <w:rsid w:val="00D14282"/>
    <w:rsid w:val="00D144D7"/>
    <w:rsid w:val="00D147E6"/>
    <w:rsid w:val="00D21EB2"/>
    <w:rsid w:val="00D22B47"/>
    <w:rsid w:val="00D24484"/>
    <w:rsid w:val="00D320AF"/>
    <w:rsid w:val="00D32226"/>
    <w:rsid w:val="00D34316"/>
    <w:rsid w:val="00D3542F"/>
    <w:rsid w:val="00D37314"/>
    <w:rsid w:val="00D3784D"/>
    <w:rsid w:val="00D41B42"/>
    <w:rsid w:val="00D41C70"/>
    <w:rsid w:val="00D43F36"/>
    <w:rsid w:val="00D469C2"/>
    <w:rsid w:val="00D46DD3"/>
    <w:rsid w:val="00D4720E"/>
    <w:rsid w:val="00D54CBA"/>
    <w:rsid w:val="00D61BD2"/>
    <w:rsid w:val="00D6701F"/>
    <w:rsid w:val="00D700E9"/>
    <w:rsid w:val="00D70C0A"/>
    <w:rsid w:val="00D70E57"/>
    <w:rsid w:val="00D72AC8"/>
    <w:rsid w:val="00D7524C"/>
    <w:rsid w:val="00D76F95"/>
    <w:rsid w:val="00D771EC"/>
    <w:rsid w:val="00D77551"/>
    <w:rsid w:val="00D80D27"/>
    <w:rsid w:val="00D845E8"/>
    <w:rsid w:val="00D870B0"/>
    <w:rsid w:val="00D87B3C"/>
    <w:rsid w:val="00D91AA6"/>
    <w:rsid w:val="00D97119"/>
    <w:rsid w:val="00DA3E53"/>
    <w:rsid w:val="00DA7DD8"/>
    <w:rsid w:val="00DB118B"/>
    <w:rsid w:val="00DB201F"/>
    <w:rsid w:val="00DB5E21"/>
    <w:rsid w:val="00DB6033"/>
    <w:rsid w:val="00DC7E3B"/>
    <w:rsid w:val="00DD2172"/>
    <w:rsid w:val="00DD4A5B"/>
    <w:rsid w:val="00DD67D4"/>
    <w:rsid w:val="00DD6EF5"/>
    <w:rsid w:val="00DE5AF6"/>
    <w:rsid w:val="00DE7267"/>
    <w:rsid w:val="00DF0FAE"/>
    <w:rsid w:val="00DF1835"/>
    <w:rsid w:val="00DF55D2"/>
    <w:rsid w:val="00E030A0"/>
    <w:rsid w:val="00E05C21"/>
    <w:rsid w:val="00E0728A"/>
    <w:rsid w:val="00E07812"/>
    <w:rsid w:val="00E130A4"/>
    <w:rsid w:val="00E14859"/>
    <w:rsid w:val="00E164B1"/>
    <w:rsid w:val="00E16B3D"/>
    <w:rsid w:val="00E17513"/>
    <w:rsid w:val="00E176AA"/>
    <w:rsid w:val="00E20385"/>
    <w:rsid w:val="00E21708"/>
    <w:rsid w:val="00E22CD8"/>
    <w:rsid w:val="00E25058"/>
    <w:rsid w:val="00E27CA3"/>
    <w:rsid w:val="00E314D7"/>
    <w:rsid w:val="00E34192"/>
    <w:rsid w:val="00E35127"/>
    <w:rsid w:val="00E36E77"/>
    <w:rsid w:val="00E37062"/>
    <w:rsid w:val="00E4046A"/>
    <w:rsid w:val="00E41148"/>
    <w:rsid w:val="00E41524"/>
    <w:rsid w:val="00E42471"/>
    <w:rsid w:val="00E425C8"/>
    <w:rsid w:val="00E46EF8"/>
    <w:rsid w:val="00E52F6B"/>
    <w:rsid w:val="00E55FF2"/>
    <w:rsid w:val="00E56B9D"/>
    <w:rsid w:val="00E57D8C"/>
    <w:rsid w:val="00E62907"/>
    <w:rsid w:val="00E62EFE"/>
    <w:rsid w:val="00E64374"/>
    <w:rsid w:val="00E66AB7"/>
    <w:rsid w:val="00E701DC"/>
    <w:rsid w:val="00E710E9"/>
    <w:rsid w:val="00E71856"/>
    <w:rsid w:val="00E727FE"/>
    <w:rsid w:val="00E742E3"/>
    <w:rsid w:val="00E74F66"/>
    <w:rsid w:val="00E756ED"/>
    <w:rsid w:val="00E7633B"/>
    <w:rsid w:val="00E9041A"/>
    <w:rsid w:val="00E92E17"/>
    <w:rsid w:val="00E933DA"/>
    <w:rsid w:val="00E938A8"/>
    <w:rsid w:val="00E95E1D"/>
    <w:rsid w:val="00EA0EC2"/>
    <w:rsid w:val="00EA23A2"/>
    <w:rsid w:val="00EA2F72"/>
    <w:rsid w:val="00EA63B3"/>
    <w:rsid w:val="00EB2718"/>
    <w:rsid w:val="00EB3463"/>
    <w:rsid w:val="00EB39FF"/>
    <w:rsid w:val="00EB5721"/>
    <w:rsid w:val="00EB5991"/>
    <w:rsid w:val="00EB5EA1"/>
    <w:rsid w:val="00EB6278"/>
    <w:rsid w:val="00EC0C97"/>
    <w:rsid w:val="00EC1BED"/>
    <w:rsid w:val="00EC20C1"/>
    <w:rsid w:val="00EC2467"/>
    <w:rsid w:val="00EC37EB"/>
    <w:rsid w:val="00EC51EF"/>
    <w:rsid w:val="00EC737F"/>
    <w:rsid w:val="00ED01B4"/>
    <w:rsid w:val="00ED188F"/>
    <w:rsid w:val="00ED3A14"/>
    <w:rsid w:val="00ED3F32"/>
    <w:rsid w:val="00ED4562"/>
    <w:rsid w:val="00ED5294"/>
    <w:rsid w:val="00ED608D"/>
    <w:rsid w:val="00ED628B"/>
    <w:rsid w:val="00ED7E54"/>
    <w:rsid w:val="00EE106C"/>
    <w:rsid w:val="00EE2482"/>
    <w:rsid w:val="00EE32BD"/>
    <w:rsid w:val="00EE45D1"/>
    <w:rsid w:val="00EF0372"/>
    <w:rsid w:val="00EF1CBE"/>
    <w:rsid w:val="00EF3CDD"/>
    <w:rsid w:val="00EF45CE"/>
    <w:rsid w:val="00EF52E6"/>
    <w:rsid w:val="00EF7497"/>
    <w:rsid w:val="00F00F8B"/>
    <w:rsid w:val="00F01049"/>
    <w:rsid w:val="00F0241B"/>
    <w:rsid w:val="00F0310F"/>
    <w:rsid w:val="00F036E6"/>
    <w:rsid w:val="00F12464"/>
    <w:rsid w:val="00F14957"/>
    <w:rsid w:val="00F15D6B"/>
    <w:rsid w:val="00F1711E"/>
    <w:rsid w:val="00F2684D"/>
    <w:rsid w:val="00F26C14"/>
    <w:rsid w:val="00F30AAD"/>
    <w:rsid w:val="00F32E6D"/>
    <w:rsid w:val="00F41266"/>
    <w:rsid w:val="00F41A32"/>
    <w:rsid w:val="00F43EF7"/>
    <w:rsid w:val="00F44F96"/>
    <w:rsid w:val="00F460D6"/>
    <w:rsid w:val="00F46A91"/>
    <w:rsid w:val="00F476C8"/>
    <w:rsid w:val="00F503E3"/>
    <w:rsid w:val="00F507CC"/>
    <w:rsid w:val="00F5176C"/>
    <w:rsid w:val="00F51E56"/>
    <w:rsid w:val="00F54722"/>
    <w:rsid w:val="00F548FD"/>
    <w:rsid w:val="00F56C9F"/>
    <w:rsid w:val="00F56E6A"/>
    <w:rsid w:val="00F57AE3"/>
    <w:rsid w:val="00F60841"/>
    <w:rsid w:val="00F63553"/>
    <w:rsid w:val="00F640E1"/>
    <w:rsid w:val="00F655F3"/>
    <w:rsid w:val="00F65D8D"/>
    <w:rsid w:val="00F6723F"/>
    <w:rsid w:val="00F6731F"/>
    <w:rsid w:val="00F67B1A"/>
    <w:rsid w:val="00F70AB4"/>
    <w:rsid w:val="00F73122"/>
    <w:rsid w:val="00F744A3"/>
    <w:rsid w:val="00F74508"/>
    <w:rsid w:val="00F75679"/>
    <w:rsid w:val="00F76605"/>
    <w:rsid w:val="00F822FA"/>
    <w:rsid w:val="00F9005F"/>
    <w:rsid w:val="00F905CA"/>
    <w:rsid w:val="00F90D04"/>
    <w:rsid w:val="00F92C22"/>
    <w:rsid w:val="00F93466"/>
    <w:rsid w:val="00F968D0"/>
    <w:rsid w:val="00FA0372"/>
    <w:rsid w:val="00FA097E"/>
    <w:rsid w:val="00FA3DB1"/>
    <w:rsid w:val="00FA539F"/>
    <w:rsid w:val="00FA5B7C"/>
    <w:rsid w:val="00FA5EFA"/>
    <w:rsid w:val="00FA6B4A"/>
    <w:rsid w:val="00FB32E7"/>
    <w:rsid w:val="00FB5ADA"/>
    <w:rsid w:val="00FC0A61"/>
    <w:rsid w:val="00FC3BE8"/>
    <w:rsid w:val="00FC5E7F"/>
    <w:rsid w:val="00FD7D46"/>
    <w:rsid w:val="00FF4CF3"/>
    <w:rsid w:val="00FF537D"/>
    <w:rsid w:val="00FF55C1"/>
    <w:rsid w:val="00FF5AC8"/>
    <w:rsid w:val="00FF7F17"/>
    <w:rsid w:val="01274F14"/>
    <w:rsid w:val="01451617"/>
    <w:rsid w:val="0190158D"/>
    <w:rsid w:val="02043122"/>
    <w:rsid w:val="02055635"/>
    <w:rsid w:val="02346456"/>
    <w:rsid w:val="024E269D"/>
    <w:rsid w:val="036576B8"/>
    <w:rsid w:val="03C71EFB"/>
    <w:rsid w:val="03D735B0"/>
    <w:rsid w:val="03FA6CDF"/>
    <w:rsid w:val="04260152"/>
    <w:rsid w:val="04494A43"/>
    <w:rsid w:val="04697A1A"/>
    <w:rsid w:val="046D244C"/>
    <w:rsid w:val="04822D08"/>
    <w:rsid w:val="04C851F1"/>
    <w:rsid w:val="04FB048C"/>
    <w:rsid w:val="052C29BF"/>
    <w:rsid w:val="055C5785"/>
    <w:rsid w:val="06C55EEB"/>
    <w:rsid w:val="07004918"/>
    <w:rsid w:val="070B6221"/>
    <w:rsid w:val="07654B87"/>
    <w:rsid w:val="07CB7156"/>
    <w:rsid w:val="07E13B30"/>
    <w:rsid w:val="07EE2CA7"/>
    <w:rsid w:val="081F2D4C"/>
    <w:rsid w:val="0828199A"/>
    <w:rsid w:val="084F19C0"/>
    <w:rsid w:val="08B2562B"/>
    <w:rsid w:val="09190838"/>
    <w:rsid w:val="095C7B83"/>
    <w:rsid w:val="098F731B"/>
    <w:rsid w:val="09DE2A70"/>
    <w:rsid w:val="0A1F4EA7"/>
    <w:rsid w:val="0AB76C30"/>
    <w:rsid w:val="0ABD3C75"/>
    <w:rsid w:val="0ACE0B6C"/>
    <w:rsid w:val="0BE64801"/>
    <w:rsid w:val="0C7965AF"/>
    <w:rsid w:val="0C8E3524"/>
    <w:rsid w:val="0C95751F"/>
    <w:rsid w:val="0CBE06D4"/>
    <w:rsid w:val="0D6402AD"/>
    <w:rsid w:val="0D6E00F5"/>
    <w:rsid w:val="0DE27351"/>
    <w:rsid w:val="0E133FA6"/>
    <w:rsid w:val="0E195228"/>
    <w:rsid w:val="0E925E78"/>
    <w:rsid w:val="0EA20C5D"/>
    <w:rsid w:val="0EA54211"/>
    <w:rsid w:val="0EDB759D"/>
    <w:rsid w:val="0F361774"/>
    <w:rsid w:val="0F3B7D92"/>
    <w:rsid w:val="0F66630C"/>
    <w:rsid w:val="0FCB5DCA"/>
    <w:rsid w:val="0FF10449"/>
    <w:rsid w:val="10485433"/>
    <w:rsid w:val="107B6F12"/>
    <w:rsid w:val="10997B63"/>
    <w:rsid w:val="119603EC"/>
    <w:rsid w:val="11A331FA"/>
    <w:rsid w:val="124D4083"/>
    <w:rsid w:val="12F639E2"/>
    <w:rsid w:val="133D1517"/>
    <w:rsid w:val="13CC1FE7"/>
    <w:rsid w:val="1614567C"/>
    <w:rsid w:val="16271ECD"/>
    <w:rsid w:val="17482177"/>
    <w:rsid w:val="17DF684D"/>
    <w:rsid w:val="17F31E94"/>
    <w:rsid w:val="181736F0"/>
    <w:rsid w:val="18301873"/>
    <w:rsid w:val="185D59F5"/>
    <w:rsid w:val="18652B97"/>
    <w:rsid w:val="1930763A"/>
    <w:rsid w:val="193564B7"/>
    <w:rsid w:val="198F35F7"/>
    <w:rsid w:val="19C63AD7"/>
    <w:rsid w:val="1A763815"/>
    <w:rsid w:val="1AA40BC5"/>
    <w:rsid w:val="1AFC093E"/>
    <w:rsid w:val="1B751D18"/>
    <w:rsid w:val="1B837689"/>
    <w:rsid w:val="1BBC1B6B"/>
    <w:rsid w:val="1BE54206"/>
    <w:rsid w:val="1C1224F7"/>
    <w:rsid w:val="1CD120FF"/>
    <w:rsid w:val="1CDF6B41"/>
    <w:rsid w:val="1D0C1E4D"/>
    <w:rsid w:val="1D3133A2"/>
    <w:rsid w:val="1D52110B"/>
    <w:rsid w:val="1D6920D8"/>
    <w:rsid w:val="1DF127C5"/>
    <w:rsid w:val="1EA43D4B"/>
    <w:rsid w:val="1EE82E44"/>
    <w:rsid w:val="1F095BCD"/>
    <w:rsid w:val="1F324176"/>
    <w:rsid w:val="1F3839D1"/>
    <w:rsid w:val="1FB7392F"/>
    <w:rsid w:val="200A7C06"/>
    <w:rsid w:val="20443B05"/>
    <w:rsid w:val="20540405"/>
    <w:rsid w:val="20AB7349"/>
    <w:rsid w:val="20BE2EDB"/>
    <w:rsid w:val="20DC1B4D"/>
    <w:rsid w:val="20E75FEA"/>
    <w:rsid w:val="219A49A8"/>
    <w:rsid w:val="21BE7C5E"/>
    <w:rsid w:val="21CA74E9"/>
    <w:rsid w:val="21EC2BAB"/>
    <w:rsid w:val="22A60EB5"/>
    <w:rsid w:val="22D81D21"/>
    <w:rsid w:val="230F0A4B"/>
    <w:rsid w:val="23165F69"/>
    <w:rsid w:val="24054A11"/>
    <w:rsid w:val="241137D9"/>
    <w:rsid w:val="2443234B"/>
    <w:rsid w:val="245A05CA"/>
    <w:rsid w:val="24B66F7B"/>
    <w:rsid w:val="24B95CB1"/>
    <w:rsid w:val="25101C98"/>
    <w:rsid w:val="2549427F"/>
    <w:rsid w:val="26B92AA7"/>
    <w:rsid w:val="27251824"/>
    <w:rsid w:val="273F2C97"/>
    <w:rsid w:val="279F2C36"/>
    <w:rsid w:val="28453812"/>
    <w:rsid w:val="2933177B"/>
    <w:rsid w:val="29927401"/>
    <w:rsid w:val="29C04EC5"/>
    <w:rsid w:val="29DE1E4D"/>
    <w:rsid w:val="29ED4F90"/>
    <w:rsid w:val="2A0A7696"/>
    <w:rsid w:val="2A0D0F0C"/>
    <w:rsid w:val="2A9A62D0"/>
    <w:rsid w:val="2ADB6EB7"/>
    <w:rsid w:val="2B0C03A4"/>
    <w:rsid w:val="2B0E1927"/>
    <w:rsid w:val="2B200651"/>
    <w:rsid w:val="2B6F658C"/>
    <w:rsid w:val="2D511017"/>
    <w:rsid w:val="2DFD7CDE"/>
    <w:rsid w:val="2E267B5D"/>
    <w:rsid w:val="2EF22E53"/>
    <w:rsid w:val="2F0B154A"/>
    <w:rsid w:val="2F3D79D9"/>
    <w:rsid w:val="2F4219B8"/>
    <w:rsid w:val="2F6B027E"/>
    <w:rsid w:val="2FC36919"/>
    <w:rsid w:val="305C6B22"/>
    <w:rsid w:val="30B31946"/>
    <w:rsid w:val="30E74DA6"/>
    <w:rsid w:val="31172A76"/>
    <w:rsid w:val="31841167"/>
    <w:rsid w:val="31962F66"/>
    <w:rsid w:val="33EC512B"/>
    <w:rsid w:val="346F43F1"/>
    <w:rsid w:val="347D281C"/>
    <w:rsid w:val="355A3D41"/>
    <w:rsid w:val="364D7488"/>
    <w:rsid w:val="36DD32BF"/>
    <w:rsid w:val="371E4419"/>
    <w:rsid w:val="372F21F8"/>
    <w:rsid w:val="37450A23"/>
    <w:rsid w:val="37482467"/>
    <w:rsid w:val="375A10AE"/>
    <w:rsid w:val="375F18CE"/>
    <w:rsid w:val="376D3A14"/>
    <w:rsid w:val="379E050A"/>
    <w:rsid w:val="37A227C0"/>
    <w:rsid w:val="37FE1083"/>
    <w:rsid w:val="381439C0"/>
    <w:rsid w:val="382C54C9"/>
    <w:rsid w:val="389B0595"/>
    <w:rsid w:val="38A47140"/>
    <w:rsid w:val="38F80946"/>
    <w:rsid w:val="39197560"/>
    <w:rsid w:val="39875A90"/>
    <w:rsid w:val="39A75360"/>
    <w:rsid w:val="39C661B5"/>
    <w:rsid w:val="3A883352"/>
    <w:rsid w:val="3AB16AFD"/>
    <w:rsid w:val="3ABD3CF2"/>
    <w:rsid w:val="3AD54D74"/>
    <w:rsid w:val="3ADF1772"/>
    <w:rsid w:val="3AE83617"/>
    <w:rsid w:val="3D056DE5"/>
    <w:rsid w:val="3D150381"/>
    <w:rsid w:val="3D3357D0"/>
    <w:rsid w:val="3D444D9B"/>
    <w:rsid w:val="3D9A53D2"/>
    <w:rsid w:val="3DA82763"/>
    <w:rsid w:val="3EB24A80"/>
    <w:rsid w:val="3F266B61"/>
    <w:rsid w:val="3F271710"/>
    <w:rsid w:val="3F564F2E"/>
    <w:rsid w:val="3F5A618E"/>
    <w:rsid w:val="40E6513A"/>
    <w:rsid w:val="41277CAD"/>
    <w:rsid w:val="418A329E"/>
    <w:rsid w:val="421C406A"/>
    <w:rsid w:val="421C69ED"/>
    <w:rsid w:val="423F7E57"/>
    <w:rsid w:val="428B61F9"/>
    <w:rsid w:val="433112AC"/>
    <w:rsid w:val="434E0C0A"/>
    <w:rsid w:val="43C54EEF"/>
    <w:rsid w:val="443B1E1A"/>
    <w:rsid w:val="453D6989"/>
    <w:rsid w:val="45EA2CE8"/>
    <w:rsid w:val="45F74EDF"/>
    <w:rsid w:val="4600059B"/>
    <w:rsid w:val="462D006C"/>
    <w:rsid w:val="46BB44BC"/>
    <w:rsid w:val="47510996"/>
    <w:rsid w:val="47580314"/>
    <w:rsid w:val="4804144A"/>
    <w:rsid w:val="48C05E0B"/>
    <w:rsid w:val="48DC7669"/>
    <w:rsid w:val="490E1280"/>
    <w:rsid w:val="497B7D9F"/>
    <w:rsid w:val="498E6CD6"/>
    <w:rsid w:val="49BD25AC"/>
    <w:rsid w:val="49C93F25"/>
    <w:rsid w:val="49D14B65"/>
    <w:rsid w:val="4A803067"/>
    <w:rsid w:val="4AD728D0"/>
    <w:rsid w:val="4B2D7D43"/>
    <w:rsid w:val="4B91508D"/>
    <w:rsid w:val="4C450FB8"/>
    <w:rsid w:val="4CAC0E3F"/>
    <w:rsid w:val="4D2B53D3"/>
    <w:rsid w:val="4E405991"/>
    <w:rsid w:val="4E656BC0"/>
    <w:rsid w:val="4F0023CD"/>
    <w:rsid w:val="4F056DE1"/>
    <w:rsid w:val="4F223D03"/>
    <w:rsid w:val="4F9D3700"/>
    <w:rsid w:val="4FCB101C"/>
    <w:rsid w:val="50602A1B"/>
    <w:rsid w:val="50612797"/>
    <w:rsid w:val="50BB53A5"/>
    <w:rsid w:val="51174AAA"/>
    <w:rsid w:val="51C54E50"/>
    <w:rsid w:val="51DE290C"/>
    <w:rsid w:val="521356D1"/>
    <w:rsid w:val="53494392"/>
    <w:rsid w:val="547B4505"/>
    <w:rsid w:val="54C51393"/>
    <w:rsid w:val="54ED6EEB"/>
    <w:rsid w:val="577B6EE4"/>
    <w:rsid w:val="57AC5A21"/>
    <w:rsid w:val="57D2146B"/>
    <w:rsid w:val="581C0CA5"/>
    <w:rsid w:val="5886355F"/>
    <w:rsid w:val="58891F15"/>
    <w:rsid w:val="58B71C77"/>
    <w:rsid w:val="591C62AA"/>
    <w:rsid w:val="592176F1"/>
    <w:rsid w:val="593C1AF7"/>
    <w:rsid w:val="59C24FB2"/>
    <w:rsid w:val="59DD23FD"/>
    <w:rsid w:val="59E24A9F"/>
    <w:rsid w:val="5A737CDB"/>
    <w:rsid w:val="5ABD6D36"/>
    <w:rsid w:val="5B761405"/>
    <w:rsid w:val="5BF8521E"/>
    <w:rsid w:val="5C1B1303"/>
    <w:rsid w:val="5C241BA9"/>
    <w:rsid w:val="5C2453F7"/>
    <w:rsid w:val="5D0852CE"/>
    <w:rsid w:val="5D502207"/>
    <w:rsid w:val="5DBD180F"/>
    <w:rsid w:val="5E0369A2"/>
    <w:rsid w:val="5E1C522E"/>
    <w:rsid w:val="5ECD71E6"/>
    <w:rsid w:val="5ECF201B"/>
    <w:rsid w:val="5EDA7CAB"/>
    <w:rsid w:val="60380678"/>
    <w:rsid w:val="605D60B2"/>
    <w:rsid w:val="60604FB9"/>
    <w:rsid w:val="609540A8"/>
    <w:rsid w:val="611A335C"/>
    <w:rsid w:val="61216701"/>
    <w:rsid w:val="612B1527"/>
    <w:rsid w:val="627B32D8"/>
    <w:rsid w:val="62FF6042"/>
    <w:rsid w:val="643709EB"/>
    <w:rsid w:val="645F3DB1"/>
    <w:rsid w:val="64C753D2"/>
    <w:rsid w:val="64E82635"/>
    <w:rsid w:val="64F168C1"/>
    <w:rsid w:val="64F459D0"/>
    <w:rsid w:val="65555035"/>
    <w:rsid w:val="6582338C"/>
    <w:rsid w:val="65B22786"/>
    <w:rsid w:val="65F6754E"/>
    <w:rsid w:val="661735C0"/>
    <w:rsid w:val="66692167"/>
    <w:rsid w:val="66872C44"/>
    <w:rsid w:val="66DD6DB6"/>
    <w:rsid w:val="672C0824"/>
    <w:rsid w:val="67EE62F1"/>
    <w:rsid w:val="68272B8D"/>
    <w:rsid w:val="68611034"/>
    <w:rsid w:val="68CF44E4"/>
    <w:rsid w:val="68D474B9"/>
    <w:rsid w:val="69520021"/>
    <w:rsid w:val="699A4315"/>
    <w:rsid w:val="699A7243"/>
    <w:rsid w:val="69B50573"/>
    <w:rsid w:val="6A496835"/>
    <w:rsid w:val="6AD5648B"/>
    <w:rsid w:val="6C026F3C"/>
    <w:rsid w:val="6C2C4F32"/>
    <w:rsid w:val="6C3B64A7"/>
    <w:rsid w:val="6DB9174A"/>
    <w:rsid w:val="6E1F0E23"/>
    <w:rsid w:val="6E8A1B32"/>
    <w:rsid w:val="6FF900E7"/>
    <w:rsid w:val="711575EE"/>
    <w:rsid w:val="715349F8"/>
    <w:rsid w:val="71945E92"/>
    <w:rsid w:val="71BF1449"/>
    <w:rsid w:val="723E4008"/>
    <w:rsid w:val="72AC1216"/>
    <w:rsid w:val="72B00049"/>
    <w:rsid w:val="72B70F99"/>
    <w:rsid w:val="739F59E7"/>
    <w:rsid w:val="73B92936"/>
    <w:rsid w:val="74376D48"/>
    <w:rsid w:val="74446098"/>
    <w:rsid w:val="746B414F"/>
    <w:rsid w:val="7472539D"/>
    <w:rsid w:val="74DC45A8"/>
    <w:rsid w:val="75693A34"/>
    <w:rsid w:val="75CF7ADF"/>
    <w:rsid w:val="764B4F25"/>
    <w:rsid w:val="774025C7"/>
    <w:rsid w:val="77894212"/>
    <w:rsid w:val="7800271B"/>
    <w:rsid w:val="782E08A0"/>
    <w:rsid w:val="78440AB3"/>
    <w:rsid w:val="787A7054"/>
    <w:rsid w:val="78D85865"/>
    <w:rsid w:val="792C66E3"/>
    <w:rsid w:val="79FE73E8"/>
    <w:rsid w:val="7A237A12"/>
    <w:rsid w:val="7A6054E2"/>
    <w:rsid w:val="7A8B7D4E"/>
    <w:rsid w:val="7A98230D"/>
    <w:rsid w:val="7BCD0EC9"/>
    <w:rsid w:val="7C0C430A"/>
    <w:rsid w:val="7C361D53"/>
    <w:rsid w:val="7C515A2B"/>
    <w:rsid w:val="7DDF015B"/>
    <w:rsid w:val="7E745C2A"/>
    <w:rsid w:val="7EA95F25"/>
    <w:rsid w:val="7F3B5B00"/>
    <w:rsid w:val="7FCB0BE9"/>
    <w:rsid w:val="7FE147D1"/>
    <w:rsid w:val="7FEB6C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99" w:semiHidden="0"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1"/>
    <w:qFormat/>
    <w:uiPriority w:val="99"/>
    <w:pPr>
      <w:keepNext/>
      <w:keepLines/>
      <w:numPr>
        <w:ilvl w:val="0"/>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4">
    <w:name w:val="heading 2"/>
    <w:basedOn w:val="1"/>
    <w:next w:val="1"/>
    <w:link w:val="62"/>
    <w:qFormat/>
    <w:uiPriority w:val="99"/>
    <w:pPr>
      <w:keepNext/>
      <w:keepLines/>
      <w:adjustRightInd w:val="0"/>
      <w:spacing w:before="260" w:after="260" w:line="416" w:lineRule="atLeast"/>
      <w:textAlignment w:val="baseline"/>
      <w:outlineLvl w:val="1"/>
    </w:pPr>
    <w:rPr>
      <w:rFonts w:ascii="Arial" w:hAnsi="Arial" w:eastAsia="黑体" w:cs="Arial"/>
      <w:b/>
      <w:bCs/>
      <w:kern w:val="0"/>
      <w:sz w:val="32"/>
      <w:szCs w:val="32"/>
    </w:rPr>
  </w:style>
  <w:style w:type="paragraph" w:styleId="5">
    <w:name w:val="heading 3"/>
    <w:basedOn w:val="1"/>
    <w:next w:val="1"/>
    <w:link w:val="63"/>
    <w:autoRedefine/>
    <w:qFormat/>
    <w:uiPriority w:val="99"/>
    <w:pPr>
      <w:keepNext/>
      <w:keepLines/>
      <w:adjustRightInd w:val="0"/>
      <w:spacing w:before="260" w:after="260" w:line="416" w:lineRule="atLeast"/>
      <w:textAlignment w:val="baseline"/>
      <w:outlineLvl w:val="2"/>
    </w:pPr>
    <w:rPr>
      <w:b/>
      <w:bCs/>
      <w:kern w:val="0"/>
      <w:sz w:val="32"/>
      <w:szCs w:val="32"/>
    </w:rPr>
  </w:style>
  <w:style w:type="paragraph" w:styleId="6">
    <w:name w:val="heading 4"/>
    <w:basedOn w:val="1"/>
    <w:next w:val="1"/>
    <w:link w:val="64"/>
    <w:autoRedefine/>
    <w:qFormat/>
    <w:uiPriority w:val="99"/>
    <w:pPr>
      <w:keepNext/>
      <w:keepLines/>
      <w:adjustRightInd w:val="0"/>
      <w:spacing w:before="280" w:after="290" w:line="376" w:lineRule="atLeast"/>
      <w:textAlignment w:val="baseline"/>
      <w:outlineLvl w:val="3"/>
    </w:pPr>
    <w:rPr>
      <w:rFonts w:ascii="Arial" w:hAnsi="Arial" w:eastAsia="黑体" w:cs="Arial"/>
      <w:b/>
      <w:bCs/>
      <w:sz w:val="28"/>
      <w:szCs w:val="28"/>
    </w:rPr>
  </w:style>
  <w:style w:type="paragraph" w:styleId="7">
    <w:name w:val="heading 5"/>
    <w:basedOn w:val="1"/>
    <w:next w:val="1"/>
    <w:link w:val="65"/>
    <w:autoRedefine/>
    <w:qFormat/>
    <w:uiPriority w:val="99"/>
    <w:pPr>
      <w:keepNext/>
      <w:keepLines/>
      <w:adjustRightInd w:val="0"/>
      <w:spacing w:before="280" w:after="290" w:line="376" w:lineRule="atLeast"/>
      <w:textAlignment w:val="baseline"/>
      <w:outlineLvl w:val="4"/>
    </w:pPr>
    <w:rPr>
      <w:b/>
      <w:bCs/>
      <w:kern w:val="0"/>
      <w:sz w:val="28"/>
      <w:szCs w:val="28"/>
    </w:rPr>
  </w:style>
  <w:style w:type="paragraph" w:styleId="8">
    <w:name w:val="heading 6"/>
    <w:basedOn w:val="1"/>
    <w:next w:val="1"/>
    <w:link w:val="66"/>
    <w:qFormat/>
    <w:uiPriority w:val="99"/>
    <w:pPr>
      <w:keepNext/>
      <w:keepLines/>
      <w:adjustRightInd w:val="0"/>
      <w:spacing w:before="240" w:after="64" w:line="320" w:lineRule="atLeast"/>
      <w:textAlignment w:val="baseline"/>
      <w:outlineLvl w:val="5"/>
    </w:pPr>
    <w:rPr>
      <w:rFonts w:ascii="Arial" w:hAnsi="Arial" w:eastAsia="黑体" w:cs="Arial"/>
      <w:b/>
      <w:bCs/>
      <w:kern w:val="0"/>
      <w:sz w:val="24"/>
      <w:szCs w:val="24"/>
    </w:rPr>
  </w:style>
  <w:style w:type="paragraph" w:styleId="9">
    <w:name w:val="heading 7"/>
    <w:basedOn w:val="1"/>
    <w:next w:val="1"/>
    <w:link w:val="67"/>
    <w:qFormat/>
    <w:uiPriority w:val="99"/>
    <w:pPr>
      <w:keepNext/>
      <w:keepLines/>
      <w:adjustRightInd w:val="0"/>
      <w:spacing w:before="240" w:after="64" w:line="320" w:lineRule="atLeast"/>
      <w:textAlignment w:val="baseline"/>
      <w:outlineLvl w:val="6"/>
    </w:pPr>
    <w:rPr>
      <w:b/>
      <w:bCs/>
      <w:kern w:val="0"/>
      <w:sz w:val="24"/>
      <w:szCs w:val="24"/>
    </w:rPr>
  </w:style>
  <w:style w:type="paragraph" w:styleId="10">
    <w:name w:val="heading 8"/>
    <w:basedOn w:val="1"/>
    <w:next w:val="1"/>
    <w:link w:val="68"/>
    <w:qFormat/>
    <w:uiPriority w:val="99"/>
    <w:pPr>
      <w:keepNext/>
      <w:keepLines/>
      <w:adjustRightInd w:val="0"/>
      <w:spacing w:before="240" w:after="64" w:line="320" w:lineRule="atLeast"/>
      <w:textAlignment w:val="baseline"/>
      <w:outlineLvl w:val="7"/>
    </w:pPr>
    <w:rPr>
      <w:rFonts w:ascii="Arial" w:hAnsi="Arial" w:eastAsia="黑体" w:cs="Arial"/>
      <w:kern w:val="0"/>
      <w:sz w:val="24"/>
      <w:szCs w:val="24"/>
    </w:rPr>
  </w:style>
  <w:style w:type="paragraph" w:styleId="11">
    <w:name w:val="heading 9"/>
    <w:basedOn w:val="1"/>
    <w:next w:val="1"/>
    <w:link w:val="69"/>
    <w:qFormat/>
    <w:uiPriority w:val="99"/>
    <w:pPr>
      <w:keepNext/>
      <w:keepLines/>
      <w:adjustRightInd w:val="0"/>
      <w:spacing w:before="240" w:after="64" w:line="320" w:lineRule="atLeast"/>
      <w:textAlignment w:val="baseline"/>
      <w:outlineLvl w:val="8"/>
    </w:pPr>
    <w:rPr>
      <w:rFonts w:ascii="Arial" w:hAnsi="Arial" w:eastAsia="黑体" w:cs="Arial"/>
      <w:kern w:val="0"/>
    </w:r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2">
    <w:name w:val="BodyText"/>
    <w:basedOn w:val="1"/>
    <w:qFormat/>
    <w:uiPriority w:val="0"/>
    <w:pPr>
      <w:textAlignment w:val="baseline"/>
    </w:pPr>
    <w:rPr>
      <w:rFonts w:ascii="楷体_GB2312" w:hAnsi="Arial" w:eastAsia="楷体_GB2312"/>
      <w:kern w:val="0"/>
      <w:sz w:val="28"/>
      <w:szCs w:val="28"/>
    </w:rPr>
  </w:style>
  <w:style w:type="paragraph" w:styleId="12">
    <w:name w:val="List 3"/>
    <w:basedOn w:val="1"/>
    <w:qFormat/>
    <w:uiPriority w:val="99"/>
    <w:pPr>
      <w:ind w:left="100" w:leftChars="400" w:hanging="200" w:hangingChars="200"/>
    </w:pPr>
  </w:style>
  <w:style w:type="paragraph" w:styleId="13">
    <w:name w:val="toc 7"/>
    <w:basedOn w:val="1"/>
    <w:next w:val="1"/>
    <w:semiHidden/>
    <w:qFormat/>
    <w:uiPriority w:val="99"/>
    <w:pPr>
      <w:ind w:left="1260"/>
      <w:jc w:val="left"/>
    </w:pPr>
    <w:rPr>
      <w:sz w:val="18"/>
      <w:szCs w:val="18"/>
    </w:rPr>
  </w:style>
  <w:style w:type="paragraph" w:styleId="14">
    <w:name w:val="Normal Indent"/>
    <w:basedOn w:val="1"/>
    <w:link w:val="96"/>
    <w:autoRedefine/>
    <w:qFormat/>
    <w:uiPriority w:val="99"/>
    <w:pPr>
      <w:ind w:firstLine="420"/>
    </w:pPr>
    <w:rPr>
      <w:rFonts w:ascii="Calibri" w:hAnsi="Calibri"/>
      <w:szCs w:val="20"/>
    </w:rPr>
  </w:style>
  <w:style w:type="paragraph" w:styleId="15">
    <w:name w:val="Document Map"/>
    <w:basedOn w:val="1"/>
    <w:link w:val="76"/>
    <w:semiHidden/>
    <w:qFormat/>
    <w:uiPriority w:val="99"/>
    <w:pPr>
      <w:shd w:val="clear" w:color="auto" w:fill="000080"/>
    </w:pPr>
  </w:style>
  <w:style w:type="paragraph" w:styleId="16">
    <w:name w:val="annotation text"/>
    <w:basedOn w:val="1"/>
    <w:link w:val="72"/>
    <w:autoRedefine/>
    <w:semiHidden/>
    <w:qFormat/>
    <w:uiPriority w:val="99"/>
    <w:pPr>
      <w:jc w:val="left"/>
    </w:pPr>
    <w:rPr>
      <w:rFonts w:ascii="Calibri" w:hAnsi="Calibri" w:cs="Calibri"/>
    </w:rPr>
  </w:style>
  <w:style w:type="paragraph" w:styleId="17">
    <w:name w:val="Body Text"/>
    <w:basedOn w:val="1"/>
    <w:link w:val="74"/>
    <w:qFormat/>
    <w:uiPriority w:val="99"/>
    <w:rPr>
      <w:sz w:val="24"/>
      <w:szCs w:val="24"/>
    </w:rPr>
  </w:style>
  <w:style w:type="paragraph" w:styleId="18">
    <w:name w:val="Body Text Indent"/>
    <w:basedOn w:val="1"/>
    <w:next w:val="19"/>
    <w:link w:val="70"/>
    <w:qFormat/>
    <w:uiPriority w:val="99"/>
    <w:pPr>
      <w:spacing w:after="156"/>
      <w:ind w:firstLine="480"/>
    </w:pPr>
    <w:rPr>
      <w:rFonts w:ascii="Calibri" w:hAnsi="Calibri" w:cs="Calibri"/>
      <w:sz w:val="24"/>
      <w:szCs w:val="24"/>
    </w:rPr>
  </w:style>
  <w:style w:type="paragraph" w:styleId="19">
    <w:name w:val="envelope return"/>
    <w:basedOn w:val="1"/>
    <w:autoRedefine/>
    <w:qFormat/>
    <w:locked/>
    <w:uiPriority w:val="99"/>
    <w:pPr>
      <w:snapToGrid w:val="0"/>
    </w:pPr>
    <w:rPr>
      <w:rFonts w:ascii="Arial" w:hAnsi="Arial" w:cs="Arial"/>
    </w:rPr>
  </w:style>
  <w:style w:type="paragraph" w:styleId="20">
    <w:name w:val="List 2"/>
    <w:basedOn w:val="1"/>
    <w:qFormat/>
    <w:uiPriority w:val="99"/>
    <w:pPr>
      <w:ind w:left="100" w:leftChars="200" w:hanging="200" w:hangingChars="200"/>
    </w:pPr>
  </w:style>
  <w:style w:type="paragraph" w:styleId="21">
    <w:name w:val="List Continue"/>
    <w:basedOn w:val="1"/>
    <w:qFormat/>
    <w:uiPriority w:val="99"/>
    <w:pPr>
      <w:spacing w:after="120"/>
      <w:ind w:left="420" w:leftChars="200"/>
    </w:pPr>
  </w:style>
  <w:style w:type="paragraph" w:styleId="22">
    <w:name w:val="Block Text"/>
    <w:basedOn w:val="1"/>
    <w:qFormat/>
    <w:uiPriority w:val="99"/>
    <w:pPr>
      <w:autoSpaceDE w:val="0"/>
      <w:autoSpaceDN w:val="0"/>
      <w:adjustRightInd w:val="0"/>
      <w:spacing w:line="300" w:lineRule="auto"/>
      <w:ind w:left="29" w:leftChars="12" w:right="6" w:firstLine="560" w:firstLineChars="200"/>
    </w:pPr>
    <w:rPr>
      <w:kern w:val="0"/>
      <w:sz w:val="28"/>
      <w:szCs w:val="28"/>
    </w:rPr>
  </w:style>
  <w:style w:type="paragraph" w:styleId="23">
    <w:name w:val="toc 5"/>
    <w:basedOn w:val="1"/>
    <w:next w:val="1"/>
    <w:autoRedefine/>
    <w:semiHidden/>
    <w:qFormat/>
    <w:uiPriority w:val="99"/>
    <w:pPr>
      <w:ind w:left="840"/>
      <w:jc w:val="left"/>
    </w:pPr>
    <w:rPr>
      <w:sz w:val="18"/>
      <w:szCs w:val="18"/>
    </w:rPr>
  </w:style>
  <w:style w:type="paragraph" w:styleId="24">
    <w:name w:val="toc 3"/>
    <w:basedOn w:val="1"/>
    <w:next w:val="1"/>
    <w:semiHidden/>
    <w:qFormat/>
    <w:uiPriority w:val="99"/>
    <w:pPr>
      <w:ind w:left="420"/>
      <w:jc w:val="left"/>
    </w:pPr>
    <w:rPr>
      <w:i/>
      <w:iCs/>
      <w:sz w:val="20"/>
      <w:szCs w:val="20"/>
    </w:rPr>
  </w:style>
  <w:style w:type="paragraph" w:styleId="25">
    <w:name w:val="Plain Text"/>
    <w:basedOn w:val="1"/>
    <w:link w:val="77"/>
    <w:autoRedefine/>
    <w:qFormat/>
    <w:uiPriority w:val="99"/>
    <w:rPr>
      <w:rFonts w:ascii="宋体" w:hAnsi="Courier New" w:cs="宋体"/>
    </w:rPr>
  </w:style>
  <w:style w:type="paragraph" w:styleId="26">
    <w:name w:val="toc 8"/>
    <w:basedOn w:val="1"/>
    <w:next w:val="1"/>
    <w:semiHidden/>
    <w:qFormat/>
    <w:uiPriority w:val="99"/>
    <w:pPr>
      <w:ind w:left="1470"/>
      <w:jc w:val="left"/>
    </w:pPr>
    <w:rPr>
      <w:sz w:val="18"/>
      <w:szCs w:val="18"/>
    </w:rPr>
  </w:style>
  <w:style w:type="paragraph" w:styleId="27">
    <w:name w:val="Date"/>
    <w:basedOn w:val="1"/>
    <w:next w:val="1"/>
    <w:link w:val="78"/>
    <w:qFormat/>
    <w:uiPriority w:val="99"/>
    <w:pPr>
      <w:widowControl/>
      <w:ind w:left="100"/>
      <w:jc w:val="left"/>
    </w:pPr>
    <w:rPr>
      <w:rFonts w:ascii="宋体" w:hAnsi="宋体" w:cs="宋体"/>
      <w:kern w:val="0"/>
      <w:sz w:val="28"/>
      <w:szCs w:val="28"/>
    </w:rPr>
  </w:style>
  <w:style w:type="paragraph" w:styleId="28">
    <w:name w:val="Body Text Indent 2"/>
    <w:basedOn w:val="1"/>
    <w:link w:val="79"/>
    <w:qFormat/>
    <w:uiPriority w:val="99"/>
    <w:pPr>
      <w:ind w:left="1436" w:leftChars="684"/>
    </w:pPr>
    <w:rPr>
      <w:sz w:val="24"/>
      <w:szCs w:val="24"/>
    </w:rPr>
  </w:style>
  <w:style w:type="paragraph" w:styleId="29">
    <w:name w:val="List Continue 5"/>
    <w:basedOn w:val="1"/>
    <w:qFormat/>
    <w:uiPriority w:val="99"/>
    <w:pPr>
      <w:spacing w:after="120"/>
      <w:ind w:left="2100" w:leftChars="1000"/>
    </w:pPr>
  </w:style>
  <w:style w:type="paragraph" w:styleId="30">
    <w:name w:val="Balloon Text"/>
    <w:basedOn w:val="1"/>
    <w:link w:val="80"/>
    <w:semiHidden/>
    <w:qFormat/>
    <w:uiPriority w:val="99"/>
    <w:rPr>
      <w:rFonts w:ascii="Calibri" w:hAnsi="Calibri" w:cs="Calibri"/>
      <w:sz w:val="18"/>
      <w:szCs w:val="18"/>
    </w:rPr>
  </w:style>
  <w:style w:type="paragraph" w:styleId="31">
    <w:name w:val="footer"/>
    <w:basedOn w:val="1"/>
    <w:link w:val="81"/>
    <w:qFormat/>
    <w:uiPriority w:val="99"/>
    <w:pPr>
      <w:tabs>
        <w:tab w:val="center" w:pos="4153"/>
        <w:tab w:val="right" w:pos="8306"/>
      </w:tabs>
      <w:snapToGrid w:val="0"/>
      <w:jc w:val="left"/>
    </w:pPr>
    <w:rPr>
      <w:rFonts w:ascii="Calibri" w:hAnsi="Calibri" w:cs="Calibri"/>
      <w:sz w:val="18"/>
      <w:szCs w:val="18"/>
    </w:rPr>
  </w:style>
  <w:style w:type="paragraph" w:styleId="32">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qFormat/>
    <w:uiPriority w:val="99"/>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34">
    <w:name w:val="List Continue 4"/>
    <w:basedOn w:val="1"/>
    <w:qFormat/>
    <w:uiPriority w:val="99"/>
    <w:pPr>
      <w:spacing w:after="120"/>
      <w:ind w:left="1680" w:leftChars="800"/>
    </w:pPr>
  </w:style>
  <w:style w:type="paragraph" w:styleId="35">
    <w:name w:val="toc 4"/>
    <w:basedOn w:val="1"/>
    <w:next w:val="1"/>
    <w:semiHidden/>
    <w:qFormat/>
    <w:uiPriority w:val="99"/>
    <w:pPr>
      <w:tabs>
        <w:tab w:val="left" w:pos="1080"/>
        <w:tab w:val="right" w:leader="dot" w:pos="9125"/>
      </w:tabs>
      <w:adjustRightInd w:val="0"/>
      <w:snapToGrid w:val="0"/>
      <w:spacing w:line="360" w:lineRule="auto"/>
      <w:jc w:val="left"/>
    </w:pPr>
    <w:rPr>
      <w:sz w:val="18"/>
      <w:szCs w:val="18"/>
    </w:rPr>
  </w:style>
  <w:style w:type="paragraph" w:styleId="36">
    <w:name w:val="List"/>
    <w:basedOn w:val="1"/>
    <w:qFormat/>
    <w:uiPriority w:val="99"/>
    <w:pPr>
      <w:ind w:left="200" w:hanging="200" w:hangingChars="200"/>
    </w:pPr>
  </w:style>
  <w:style w:type="paragraph" w:styleId="37">
    <w:name w:val="footnote text"/>
    <w:basedOn w:val="1"/>
    <w:link w:val="83"/>
    <w:semiHidden/>
    <w:qFormat/>
    <w:uiPriority w:val="99"/>
    <w:pPr>
      <w:snapToGrid w:val="0"/>
      <w:jc w:val="left"/>
    </w:pPr>
    <w:rPr>
      <w:sz w:val="18"/>
      <w:szCs w:val="18"/>
    </w:rPr>
  </w:style>
  <w:style w:type="paragraph" w:styleId="38">
    <w:name w:val="toc 6"/>
    <w:basedOn w:val="1"/>
    <w:next w:val="1"/>
    <w:autoRedefine/>
    <w:semiHidden/>
    <w:qFormat/>
    <w:uiPriority w:val="99"/>
    <w:pPr>
      <w:ind w:left="1050"/>
      <w:jc w:val="left"/>
    </w:pPr>
    <w:rPr>
      <w:sz w:val="18"/>
      <w:szCs w:val="18"/>
    </w:rPr>
  </w:style>
  <w:style w:type="paragraph" w:styleId="39">
    <w:name w:val="List 5"/>
    <w:basedOn w:val="1"/>
    <w:autoRedefine/>
    <w:qFormat/>
    <w:uiPriority w:val="99"/>
    <w:pPr>
      <w:ind w:left="100" w:leftChars="800" w:hanging="200" w:hangingChars="200"/>
    </w:pPr>
  </w:style>
  <w:style w:type="paragraph" w:styleId="40">
    <w:name w:val="Body Text Indent 3"/>
    <w:basedOn w:val="1"/>
    <w:link w:val="84"/>
    <w:autoRedefine/>
    <w:qFormat/>
    <w:uiPriority w:val="99"/>
    <w:pPr>
      <w:spacing w:after="120"/>
      <w:ind w:left="420" w:leftChars="200"/>
    </w:pPr>
    <w:rPr>
      <w:sz w:val="16"/>
      <w:szCs w:val="16"/>
    </w:rPr>
  </w:style>
  <w:style w:type="paragraph" w:styleId="41">
    <w:name w:val="toc 2"/>
    <w:basedOn w:val="1"/>
    <w:next w:val="1"/>
    <w:autoRedefine/>
    <w:semiHidden/>
    <w:qFormat/>
    <w:uiPriority w:val="99"/>
    <w:pPr>
      <w:ind w:left="210"/>
      <w:jc w:val="left"/>
    </w:pPr>
    <w:rPr>
      <w:smallCaps/>
      <w:sz w:val="20"/>
      <w:szCs w:val="20"/>
    </w:rPr>
  </w:style>
  <w:style w:type="paragraph" w:styleId="42">
    <w:name w:val="toc 9"/>
    <w:basedOn w:val="1"/>
    <w:next w:val="1"/>
    <w:autoRedefine/>
    <w:semiHidden/>
    <w:qFormat/>
    <w:uiPriority w:val="99"/>
    <w:pPr>
      <w:ind w:left="1680"/>
      <w:jc w:val="left"/>
    </w:pPr>
    <w:rPr>
      <w:sz w:val="18"/>
      <w:szCs w:val="18"/>
    </w:rPr>
  </w:style>
  <w:style w:type="paragraph" w:styleId="43">
    <w:name w:val="Body Text 2"/>
    <w:basedOn w:val="1"/>
    <w:link w:val="85"/>
    <w:autoRedefine/>
    <w:qFormat/>
    <w:uiPriority w:val="99"/>
    <w:rPr>
      <w:rFonts w:ascii="宋体" w:hAnsi="宋体" w:cs="宋体"/>
      <w:sz w:val="24"/>
      <w:szCs w:val="24"/>
    </w:rPr>
  </w:style>
  <w:style w:type="paragraph" w:styleId="44">
    <w:name w:val="List 4"/>
    <w:basedOn w:val="1"/>
    <w:qFormat/>
    <w:uiPriority w:val="99"/>
    <w:pPr>
      <w:ind w:left="100" w:leftChars="600" w:hanging="200" w:hangingChars="200"/>
    </w:pPr>
  </w:style>
  <w:style w:type="paragraph" w:styleId="45">
    <w:name w:val="List Continue 2"/>
    <w:basedOn w:val="1"/>
    <w:autoRedefine/>
    <w:qFormat/>
    <w:uiPriority w:val="99"/>
    <w:pPr>
      <w:spacing w:after="120"/>
      <w:ind w:left="840" w:leftChars="400"/>
    </w:pPr>
  </w:style>
  <w:style w:type="paragraph" w:styleId="46">
    <w:name w:val="HTML Preformatted"/>
    <w:basedOn w:val="1"/>
    <w:link w:val="86"/>
    <w:autoRedefine/>
    <w:qFormat/>
    <w:uiPriority w:val="99"/>
    <w:rPr>
      <w:rFonts w:ascii="Courier New" w:hAnsi="Courier New" w:cs="Courier New"/>
      <w:sz w:val="20"/>
      <w:szCs w:val="20"/>
    </w:rPr>
  </w:style>
  <w:style w:type="paragraph" w:styleId="47">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8">
    <w:name w:val="List Continue 3"/>
    <w:basedOn w:val="1"/>
    <w:autoRedefine/>
    <w:qFormat/>
    <w:uiPriority w:val="99"/>
    <w:pPr>
      <w:spacing w:after="120"/>
      <w:ind w:left="1260" w:leftChars="600"/>
    </w:pPr>
  </w:style>
  <w:style w:type="paragraph" w:styleId="49">
    <w:name w:val="annotation subject"/>
    <w:basedOn w:val="16"/>
    <w:next w:val="16"/>
    <w:link w:val="73"/>
    <w:autoRedefine/>
    <w:semiHidden/>
    <w:qFormat/>
    <w:uiPriority w:val="99"/>
    <w:rPr>
      <w:b/>
      <w:bCs/>
    </w:rPr>
  </w:style>
  <w:style w:type="paragraph" w:styleId="50">
    <w:name w:val="Body Text First Indent"/>
    <w:basedOn w:val="1"/>
    <w:link w:val="75"/>
    <w:autoRedefine/>
    <w:qFormat/>
    <w:uiPriority w:val="99"/>
    <w:pPr>
      <w:spacing w:line="360" w:lineRule="auto"/>
      <w:ind w:firstLine="482"/>
    </w:pPr>
    <w:rPr>
      <w:b/>
      <w:bCs/>
      <w:sz w:val="24"/>
      <w:szCs w:val="24"/>
    </w:rPr>
  </w:style>
  <w:style w:type="paragraph" w:styleId="51">
    <w:name w:val="Body Text First Indent 2"/>
    <w:basedOn w:val="18"/>
    <w:link w:val="71"/>
    <w:autoRedefine/>
    <w:qFormat/>
    <w:locked/>
    <w:uiPriority w:val="99"/>
    <w:pPr>
      <w:ind w:firstLine="420" w:firstLineChars="200"/>
    </w:pPr>
  </w:style>
  <w:style w:type="table" w:styleId="53">
    <w:name w:val="Table Grid"/>
    <w:basedOn w:val="52"/>
    <w:autoRedefine/>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autoRedefine/>
    <w:qFormat/>
    <w:locked/>
    <w:uiPriority w:val="99"/>
    <w:rPr>
      <w:rFonts w:cs="Times New Roman"/>
      <w:b/>
      <w:bCs/>
    </w:rPr>
  </w:style>
  <w:style w:type="character" w:styleId="56">
    <w:name w:val="page number"/>
    <w:basedOn w:val="54"/>
    <w:qFormat/>
    <w:uiPriority w:val="99"/>
    <w:rPr>
      <w:rFonts w:cs="Times New Roman"/>
    </w:rPr>
  </w:style>
  <w:style w:type="character" w:styleId="57">
    <w:name w:val="FollowedHyperlink"/>
    <w:basedOn w:val="54"/>
    <w:autoRedefine/>
    <w:qFormat/>
    <w:locked/>
    <w:uiPriority w:val="99"/>
    <w:rPr>
      <w:rFonts w:cs="Times New Roman"/>
      <w:color w:val="333333"/>
      <w:u w:val="none"/>
    </w:rPr>
  </w:style>
  <w:style w:type="character" w:styleId="58">
    <w:name w:val="Hyperlink"/>
    <w:basedOn w:val="54"/>
    <w:autoRedefine/>
    <w:qFormat/>
    <w:uiPriority w:val="99"/>
    <w:rPr>
      <w:rFonts w:cs="Times New Roman"/>
      <w:color w:val="333333"/>
      <w:u w:val="none"/>
    </w:rPr>
  </w:style>
  <w:style w:type="character" w:styleId="59">
    <w:name w:val="annotation reference"/>
    <w:basedOn w:val="54"/>
    <w:semiHidden/>
    <w:qFormat/>
    <w:uiPriority w:val="99"/>
    <w:rPr>
      <w:rFonts w:cs="Times New Roman"/>
      <w:sz w:val="21"/>
      <w:szCs w:val="21"/>
    </w:rPr>
  </w:style>
  <w:style w:type="character" w:styleId="60">
    <w:name w:val="footnote reference"/>
    <w:basedOn w:val="54"/>
    <w:autoRedefine/>
    <w:semiHidden/>
    <w:qFormat/>
    <w:uiPriority w:val="99"/>
    <w:rPr>
      <w:rFonts w:cs="Times New Roman"/>
      <w:vertAlign w:val="superscript"/>
    </w:rPr>
  </w:style>
  <w:style w:type="character" w:customStyle="1" w:styleId="61">
    <w:name w:val="标题 1 字符"/>
    <w:basedOn w:val="54"/>
    <w:link w:val="3"/>
    <w:autoRedefine/>
    <w:qFormat/>
    <w:locked/>
    <w:uiPriority w:val="99"/>
    <w:rPr>
      <w:rFonts w:cs="Times New Roman"/>
      <w:b/>
      <w:bCs/>
      <w:kern w:val="44"/>
      <w:sz w:val="44"/>
      <w:szCs w:val="44"/>
    </w:rPr>
  </w:style>
  <w:style w:type="character" w:customStyle="1" w:styleId="62">
    <w:name w:val="标题 2 字符"/>
    <w:basedOn w:val="54"/>
    <w:link w:val="4"/>
    <w:autoRedefine/>
    <w:qFormat/>
    <w:locked/>
    <w:uiPriority w:val="99"/>
    <w:rPr>
      <w:rFonts w:ascii="Arial" w:hAnsi="Arial" w:eastAsia="黑体" w:cs="Arial"/>
      <w:b/>
      <w:bCs/>
      <w:sz w:val="32"/>
      <w:szCs w:val="32"/>
    </w:rPr>
  </w:style>
  <w:style w:type="character" w:customStyle="1" w:styleId="63">
    <w:name w:val="标题 3 字符"/>
    <w:basedOn w:val="54"/>
    <w:link w:val="5"/>
    <w:autoRedefine/>
    <w:semiHidden/>
    <w:qFormat/>
    <w:locked/>
    <w:uiPriority w:val="99"/>
    <w:rPr>
      <w:rFonts w:ascii="Times New Roman" w:hAnsi="Times New Roman" w:cs="Times New Roman"/>
      <w:b/>
      <w:bCs/>
      <w:sz w:val="32"/>
      <w:szCs w:val="32"/>
    </w:rPr>
  </w:style>
  <w:style w:type="character" w:customStyle="1" w:styleId="64">
    <w:name w:val="标题 4 字符"/>
    <w:basedOn w:val="54"/>
    <w:link w:val="6"/>
    <w:autoRedefine/>
    <w:qFormat/>
    <w:locked/>
    <w:uiPriority w:val="99"/>
    <w:rPr>
      <w:rFonts w:ascii="Arial" w:hAnsi="Arial" w:eastAsia="黑体" w:cs="Arial"/>
      <w:b/>
      <w:bCs/>
      <w:kern w:val="2"/>
      <w:sz w:val="28"/>
      <w:szCs w:val="28"/>
      <w:lang w:val="en-US" w:eastAsia="zh-CN"/>
    </w:rPr>
  </w:style>
  <w:style w:type="character" w:customStyle="1" w:styleId="65">
    <w:name w:val="标题 5 字符"/>
    <w:basedOn w:val="54"/>
    <w:link w:val="7"/>
    <w:autoRedefine/>
    <w:semiHidden/>
    <w:qFormat/>
    <w:locked/>
    <w:uiPriority w:val="99"/>
    <w:rPr>
      <w:rFonts w:ascii="Times New Roman" w:hAnsi="Times New Roman" w:cs="Times New Roman"/>
      <w:b/>
      <w:bCs/>
      <w:sz w:val="28"/>
      <w:szCs w:val="28"/>
    </w:rPr>
  </w:style>
  <w:style w:type="character" w:customStyle="1" w:styleId="66">
    <w:name w:val="标题 6 字符"/>
    <w:basedOn w:val="54"/>
    <w:link w:val="8"/>
    <w:autoRedefine/>
    <w:semiHidden/>
    <w:qFormat/>
    <w:locked/>
    <w:uiPriority w:val="99"/>
    <w:rPr>
      <w:rFonts w:ascii="Cambria" w:hAnsi="Cambria" w:eastAsia="宋体" w:cs="Cambria"/>
      <w:b/>
      <w:bCs/>
      <w:sz w:val="24"/>
      <w:szCs w:val="24"/>
    </w:rPr>
  </w:style>
  <w:style w:type="character" w:customStyle="1" w:styleId="67">
    <w:name w:val="标题 7 字符"/>
    <w:basedOn w:val="54"/>
    <w:link w:val="9"/>
    <w:autoRedefine/>
    <w:semiHidden/>
    <w:qFormat/>
    <w:locked/>
    <w:uiPriority w:val="99"/>
    <w:rPr>
      <w:rFonts w:ascii="Times New Roman" w:hAnsi="Times New Roman" w:cs="Times New Roman"/>
      <w:b/>
      <w:bCs/>
      <w:sz w:val="24"/>
      <w:szCs w:val="24"/>
    </w:rPr>
  </w:style>
  <w:style w:type="character" w:customStyle="1" w:styleId="68">
    <w:name w:val="标题 8 字符"/>
    <w:basedOn w:val="54"/>
    <w:link w:val="10"/>
    <w:semiHidden/>
    <w:qFormat/>
    <w:locked/>
    <w:uiPriority w:val="99"/>
    <w:rPr>
      <w:rFonts w:ascii="Cambria" w:hAnsi="Cambria" w:eastAsia="宋体" w:cs="Cambria"/>
      <w:sz w:val="24"/>
      <w:szCs w:val="24"/>
    </w:rPr>
  </w:style>
  <w:style w:type="character" w:customStyle="1" w:styleId="69">
    <w:name w:val="标题 9 字符"/>
    <w:basedOn w:val="54"/>
    <w:link w:val="11"/>
    <w:autoRedefine/>
    <w:semiHidden/>
    <w:qFormat/>
    <w:locked/>
    <w:uiPriority w:val="99"/>
    <w:rPr>
      <w:rFonts w:ascii="Cambria" w:hAnsi="Cambria" w:eastAsia="宋体" w:cs="Cambria"/>
      <w:sz w:val="21"/>
      <w:szCs w:val="21"/>
    </w:rPr>
  </w:style>
  <w:style w:type="character" w:customStyle="1" w:styleId="70">
    <w:name w:val="正文文本缩进 字符"/>
    <w:basedOn w:val="54"/>
    <w:link w:val="18"/>
    <w:autoRedefine/>
    <w:qFormat/>
    <w:locked/>
    <w:uiPriority w:val="99"/>
    <w:rPr>
      <w:rFonts w:cs="Times New Roman"/>
      <w:kern w:val="2"/>
      <w:sz w:val="24"/>
      <w:szCs w:val="24"/>
    </w:rPr>
  </w:style>
  <w:style w:type="character" w:customStyle="1" w:styleId="71">
    <w:name w:val="正文文本首行缩进 2 字符"/>
    <w:basedOn w:val="70"/>
    <w:link w:val="51"/>
    <w:autoRedefine/>
    <w:semiHidden/>
    <w:qFormat/>
    <w:locked/>
    <w:uiPriority w:val="99"/>
    <w:rPr>
      <w:rFonts w:ascii="Times New Roman" w:hAnsi="Times New Roman" w:cs="Times New Roman"/>
      <w:kern w:val="2"/>
      <w:sz w:val="21"/>
      <w:szCs w:val="21"/>
    </w:rPr>
  </w:style>
  <w:style w:type="character" w:customStyle="1" w:styleId="72">
    <w:name w:val="批注文字 字符"/>
    <w:basedOn w:val="54"/>
    <w:link w:val="16"/>
    <w:autoRedefine/>
    <w:qFormat/>
    <w:locked/>
    <w:uiPriority w:val="99"/>
    <w:rPr>
      <w:rFonts w:cs="Times New Roman"/>
      <w:kern w:val="2"/>
      <w:sz w:val="21"/>
      <w:szCs w:val="21"/>
    </w:rPr>
  </w:style>
  <w:style w:type="character" w:customStyle="1" w:styleId="73">
    <w:name w:val="批注主题 字符"/>
    <w:basedOn w:val="72"/>
    <w:link w:val="49"/>
    <w:autoRedefine/>
    <w:semiHidden/>
    <w:qFormat/>
    <w:locked/>
    <w:uiPriority w:val="99"/>
    <w:rPr>
      <w:rFonts w:ascii="Times New Roman" w:hAnsi="Times New Roman" w:cs="Times New Roman"/>
      <w:b/>
      <w:bCs/>
      <w:kern w:val="2"/>
      <w:sz w:val="21"/>
      <w:szCs w:val="21"/>
    </w:rPr>
  </w:style>
  <w:style w:type="character" w:customStyle="1" w:styleId="74">
    <w:name w:val="正文文本 字符"/>
    <w:basedOn w:val="54"/>
    <w:link w:val="17"/>
    <w:autoRedefine/>
    <w:semiHidden/>
    <w:qFormat/>
    <w:locked/>
    <w:uiPriority w:val="99"/>
    <w:rPr>
      <w:rFonts w:ascii="Times New Roman" w:hAnsi="Times New Roman" w:cs="Times New Roman"/>
      <w:sz w:val="21"/>
      <w:szCs w:val="21"/>
    </w:rPr>
  </w:style>
  <w:style w:type="character" w:customStyle="1" w:styleId="75">
    <w:name w:val="正文文本首行缩进 字符"/>
    <w:basedOn w:val="74"/>
    <w:link w:val="50"/>
    <w:autoRedefine/>
    <w:semiHidden/>
    <w:qFormat/>
    <w:locked/>
    <w:uiPriority w:val="99"/>
    <w:rPr>
      <w:rFonts w:ascii="Times New Roman" w:hAnsi="Times New Roman" w:cs="Times New Roman"/>
      <w:sz w:val="21"/>
      <w:szCs w:val="21"/>
    </w:rPr>
  </w:style>
  <w:style w:type="character" w:customStyle="1" w:styleId="76">
    <w:name w:val="文档结构图 字符"/>
    <w:basedOn w:val="54"/>
    <w:link w:val="15"/>
    <w:autoRedefine/>
    <w:semiHidden/>
    <w:qFormat/>
    <w:locked/>
    <w:uiPriority w:val="99"/>
    <w:rPr>
      <w:rFonts w:ascii="Times New Roman" w:hAnsi="Times New Roman" w:cs="Times New Roman"/>
      <w:sz w:val="2"/>
      <w:szCs w:val="2"/>
    </w:rPr>
  </w:style>
  <w:style w:type="character" w:customStyle="1" w:styleId="77">
    <w:name w:val="纯文本 字符"/>
    <w:basedOn w:val="54"/>
    <w:link w:val="25"/>
    <w:autoRedefine/>
    <w:semiHidden/>
    <w:qFormat/>
    <w:locked/>
    <w:uiPriority w:val="99"/>
    <w:rPr>
      <w:rFonts w:ascii="宋体" w:hAnsi="Courier New" w:cs="宋体"/>
      <w:sz w:val="21"/>
      <w:szCs w:val="21"/>
    </w:rPr>
  </w:style>
  <w:style w:type="character" w:customStyle="1" w:styleId="78">
    <w:name w:val="日期 字符"/>
    <w:basedOn w:val="54"/>
    <w:link w:val="27"/>
    <w:autoRedefine/>
    <w:semiHidden/>
    <w:qFormat/>
    <w:locked/>
    <w:uiPriority w:val="99"/>
    <w:rPr>
      <w:rFonts w:ascii="Times New Roman" w:hAnsi="Times New Roman" w:cs="Times New Roman"/>
      <w:sz w:val="21"/>
      <w:szCs w:val="21"/>
    </w:rPr>
  </w:style>
  <w:style w:type="character" w:customStyle="1" w:styleId="79">
    <w:name w:val="正文文本缩进 2 字符"/>
    <w:basedOn w:val="54"/>
    <w:link w:val="28"/>
    <w:autoRedefine/>
    <w:semiHidden/>
    <w:qFormat/>
    <w:locked/>
    <w:uiPriority w:val="99"/>
    <w:rPr>
      <w:rFonts w:ascii="Times New Roman" w:hAnsi="Times New Roman" w:cs="Times New Roman"/>
      <w:sz w:val="21"/>
      <w:szCs w:val="21"/>
    </w:rPr>
  </w:style>
  <w:style w:type="character" w:customStyle="1" w:styleId="80">
    <w:name w:val="批注框文本 字符"/>
    <w:basedOn w:val="54"/>
    <w:link w:val="30"/>
    <w:autoRedefine/>
    <w:qFormat/>
    <w:locked/>
    <w:uiPriority w:val="99"/>
    <w:rPr>
      <w:rFonts w:eastAsia="宋体" w:cs="Times New Roman"/>
      <w:kern w:val="2"/>
      <w:sz w:val="18"/>
      <w:szCs w:val="18"/>
      <w:lang w:val="en-US" w:eastAsia="zh-CN"/>
    </w:rPr>
  </w:style>
  <w:style w:type="character" w:customStyle="1" w:styleId="81">
    <w:name w:val="页脚 字符"/>
    <w:basedOn w:val="54"/>
    <w:link w:val="31"/>
    <w:autoRedefine/>
    <w:qFormat/>
    <w:locked/>
    <w:uiPriority w:val="99"/>
    <w:rPr>
      <w:rFonts w:cs="Times New Roman"/>
      <w:kern w:val="2"/>
      <w:sz w:val="18"/>
      <w:szCs w:val="18"/>
    </w:rPr>
  </w:style>
  <w:style w:type="character" w:customStyle="1" w:styleId="82">
    <w:name w:val="页眉 字符"/>
    <w:basedOn w:val="54"/>
    <w:link w:val="32"/>
    <w:autoRedefine/>
    <w:semiHidden/>
    <w:qFormat/>
    <w:locked/>
    <w:uiPriority w:val="99"/>
    <w:rPr>
      <w:rFonts w:ascii="Times New Roman" w:hAnsi="Times New Roman" w:cs="Times New Roman"/>
      <w:sz w:val="18"/>
      <w:szCs w:val="18"/>
    </w:rPr>
  </w:style>
  <w:style w:type="character" w:customStyle="1" w:styleId="83">
    <w:name w:val="脚注文本 字符"/>
    <w:basedOn w:val="54"/>
    <w:link w:val="37"/>
    <w:autoRedefine/>
    <w:semiHidden/>
    <w:qFormat/>
    <w:locked/>
    <w:uiPriority w:val="99"/>
    <w:rPr>
      <w:rFonts w:ascii="Times New Roman" w:hAnsi="Times New Roman" w:cs="Times New Roman"/>
      <w:sz w:val="18"/>
      <w:szCs w:val="18"/>
    </w:rPr>
  </w:style>
  <w:style w:type="character" w:customStyle="1" w:styleId="84">
    <w:name w:val="正文文本缩进 3 字符"/>
    <w:basedOn w:val="54"/>
    <w:link w:val="40"/>
    <w:autoRedefine/>
    <w:semiHidden/>
    <w:qFormat/>
    <w:locked/>
    <w:uiPriority w:val="99"/>
    <w:rPr>
      <w:rFonts w:ascii="Times New Roman" w:hAnsi="Times New Roman" w:cs="Times New Roman"/>
      <w:sz w:val="16"/>
      <w:szCs w:val="16"/>
    </w:rPr>
  </w:style>
  <w:style w:type="character" w:customStyle="1" w:styleId="85">
    <w:name w:val="正文文本 2 字符"/>
    <w:basedOn w:val="54"/>
    <w:link w:val="43"/>
    <w:autoRedefine/>
    <w:semiHidden/>
    <w:qFormat/>
    <w:locked/>
    <w:uiPriority w:val="99"/>
    <w:rPr>
      <w:rFonts w:ascii="Times New Roman" w:hAnsi="Times New Roman" w:cs="Times New Roman"/>
      <w:sz w:val="21"/>
      <w:szCs w:val="21"/>
    </w:rPr>
  </w:style>
  <w:style w:type="character" w:customStyle="1" w:styleId="86">
    <w:name w:val="HTML 预设格式 字符"/>
    <w:basedOn w:val="54"/>
    <w:link w:val="46"/>
    <w:autoRedefine/>
    <w:qFormat/>
    <w:locked/>
    <w:uiPriority w:val="99"/>
    <w:rPr>
      <w:rFonts w:ascii="Courier New" w:hAnsi="Courier New" w:cs="Courier New"/>
      <w:kern w:val="2"/>
    </w:rPr>
  </w:style>
  <w:style w:type="character" w:customStyle="1" w:styleId="87">
    <w:name w:val="style1"/>
    <w:autoRedefine/>
    <w:qFormat/>
    <w:uiPriority w:val="99"/>
  </w:style>
  <w:style w:type="character" w:customStyle="1" w:styleId="88">
    <w:name w:val="纯文本 Char_0_0"/>
    <w:link w:val="89"/>
    <w:autoRedefine/>
    <w:qFormat/>
    <w:locked/>
    <w:uiPriority w:val="99"/>
    <w:rPr>
      <w:rFonts w:ascii="宋体" w:hAnsi="Courier New"/>
      <w:kern w:val="2"/>
      <w:sz w:val="21"/>
    </w:rPr>
  </w:style>
  <w:style w:type="paragraph" w:customStyle="1" w:styleId="89">
    <w:name w:val="纯文本_0_0"/>
    <w:basedOn w:val="90"/>
    <w:link w:val="88"/>
    <w:autoRedefine/>
    <w:qFormat/>
    <w:uiPriority w:val="99"/>
    <w:rPr>
      <w:rFonts w:ascii="宋体" w:hAnsi="Courier New" w:cs="Times New Roman"/>
      <w:szCs w:val="20"/>
    </w:rPr>
  </w:style>
  <w:style w:type="paragraph" w:customStyle="1" w:styleId="90">
    <w:name w:val="正文_7_1_0"/>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91">
    <w:name w:val="标题 1 Char Char"/>
    <w:autoRedefine/>
    <w:qFormat/>
    <w:uiPriority w:val="99"/>
    <w:rPr>
      <w:rFonts w:ascii="宋体" w:hAnsi="宋体" w:eastAsia="宋体"/>
      <w:b/>
      <w:spacing w:val="-2"/>
      <w:sz w:val="24"/>
      <w:lang w:val="en-US" w:eastAsia="zh-CN"/>
    </w:rPr>
  </w:style>
  <w:style w:type="character" w:customStyle="1" w:styleId="92">
    <w:name w:val="font51"/>
    <w:autoRedefine/>
    <w:qFormat/>
    <w:uiPriority w:val="99"/>
    <w:rPr>
      <w:rFonts w:ascii="宋体" w:hAnsi="宋体" w:eastAsia="宋体"/>
      <w:color w:val="000000"/>
      <w:sz w:val="24"/>
      <w:u w:val="none"/>
    </w:rPr>
  </w:style>
  <w:style w:type="character" w:customStyle="1" w:styleId="93">
    <w:name w:val="Style Heading 3 + Char"/>
    <w:link w:val="94"/>
    <w:autoRedefine/>
    <w:qFormat/>
    <w:locked/>
    <w:uiPriority w:val="99"/>
    <w:rPr>
      <w:rFonts w:eastAsia="宋体"/>
      <w:b/>
      <w:kern w:val="2"/>
      <w:sz w:val="28"/>
      <w:lang w:val="en-US" w:eastAsia="zh-CN"/>
    </w:rPr>
  </w:style>
  <w:style w:type="paragraph" w:customStyle="1" w:styleId="94">
    <w:name w:val="Style Heading 3 +"/>
    <w:basedOn w:val="5"/>
    <w:link w:val="93"/>
    <w:autoRedefine/>
    <w:qFormat/>
    <w:uiPriority w:val="99"/>
    <w:pPr>
      <w:adjustRightInd/>
      <w:spacing w:before="120" w:after="120" w:line="120" w:lineRule="atLeast"/>
      <w:textAlignment w:val="auto"/>
    </w:pPr>
    <w:rPr>
      <w:rFonts w:ascii="Calibri" w:hAnsi="Calibri"/>
      <w:bCs w:val="0"/>
      <w:kern w:val="2"/>
      <w:sz w:val="28"/>
      <w:szCs w:val="20"/>
    </w:rPr>
  </w:style>
  <w:style w:type="character" w:customStyle="1" w:styleId="95">
    <w:name w:val="font11"/>
    <w:autoRedefine/>
    <w:qFormat/>
    <w:uiPriority w:val="99"/>
    <w:rPr>
      <w:rFonts w:ascii="宋体" w:hAnsi="宋体" w:eastAsia="宋体"/>
      <w:color w:val="000000"/>
      <w:sz w:val="24"/>
      <w:u w:val="none"/>
    </w:rPr>
  </w:style>
  <w:style w:type="character" w:customStyle="1" w:styleId="96">
    <w:name w:val="正文缩进 字符"/>
    <w:link w:val="14"/>
    <w:autoRedefine/>
    <w:qFormat/>
    <w:locked/>
    <w:uiPriority w:val="99"/>
    <w:rPr>
      <w:kern w:val="2"/>
      <w:sz w:val="21"/>
    </w:rPr>
  </w:style>
  <w:style w:type="character" w:customStyle="1" w:styleId="97">
    <w:name w:val="font01"/>
    <w:autoRedefine/>
    <w:qFormat/>
    <w:uiPriority w:val="99"/>
    <w:rPr>
      <w:rFonts w:ascii="宋体" w:hAnsi="宋体" w:eastAsia="宋体"/>
      <w:color w:val="FF0000"/>
      <w:sz w:val="24"/>
      <w:u w:val="none"/>
    </w:rPr>
  </w:style>
  <w:style w:type="paragraph" w:customStyle="1" w:styleId="98">
    <w:name w:val="简单回函地址"/>
    <w:basedOn w:val="1"/>
    <w:autoRedefine/>
    <w:qFormat/>
    <w:uiPriority w:val="99"/>
  </w:style>
  <w:style w:type="paragraph" w:customStyle="1" w:styleId="99">
    <w:name w:val="纯文本2"/>
    <w:basedOn w:val="1"/>
    <w:autoRedefine/>
    <w:qFormat/>
    <w:uiPriority w:val="99"/>
    <w:rPr>
      <w:rFonts w:ascii="宋体" w:hAnsi="Courier New" w:cs="宋体"/>
      <w:sz w:val="28"/>
      <w:szCs w:val="28"/>
    </w:rPr>
  </w:style>
  <w:style w:type="paragraph" w:customStyle="1" w:styleId="100">
    <w:name w:val="图文"/>
    <w:basedOn w:val="1"/>
    <w:autoRedefine/>
    <w:qFormat/>
    <w:uiPriority w:val="99"/>
    <w:pPr>
      <w:adjustRightInd w:val="0"/>
      <w:snapToGrid w:val="0"/>
      <w:spacing w:after="50" w:line="360" w:lineRule="auto"/>
    </w:pPr>
    <w:rPr>
      <w:sz w:val="24"/>
      <w:szCs w:val="24"/>
    </w:rPr>
  </w:style>
  <w:style w:type="paragraph" w:customStyle="1" w:styleId="101">
    <w:name w:val="Plain Text1"/>
    <w:basedOn w:val="1"/>
    <w:autoRedefine/>
    <w:qFormat/>
    <w:uiPriority w:val="99"/>
    <w:pPr>
      <w:widowControl/>
      <w:adjustRightInd w:val="0"/>
      <w:jc w:val="left"/>
      <w:textAlignment w:val="baseline"/>
    </w:pPr>
    <w:rPr>
      <w:rFonts w:ascii="宋体" w:hAnsi="Courier New" w:eastAsia="楷体_GB2312" w:cs="宋体"/>
      <w:kern w:val="0"/>
      <w:sz w:val="26"/>
      <w:szCs w:val="26"/>
    </w:rPr>
  </w:style>
  <w:style w:type="paragraph" w:customStyle="1" w:styleId="102">
    <w:name w:val="文档正文"/>
    <w:basedOn w:val="1"/>
    <w:autoRedefine/>
    <w:qFormat/>
    <w:uiPriority w:val="99"/>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03">
    <w:name w:val="1"/>
    <w:basedOn w:val="1"/>
    <w:next w:val="25"/>
    <w:autoRedefine/>
    <w:qFormat/>
    <w:uiPriority w:val="99"/>
    <w:rPr>
      <w:rFonts w:ascii="宋体" w:hAnsi="Courier New" w:cs="宋体"/>
    </w:rPr>
  </w:style>
  <w:style w:type="paragraph" w:customStyle="1" w:styleId="104">
    <w:name w:val="6"/>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05">
    <w:name w:val="Char2"/>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06">
    <w:name w:val="二级目录"/>
    <w:next w:val="1"/>
    <w:autoRedefine/>
    <w:qFormat/>
    <w:uiPriority w:val="99"/>
    <w:pPr>
      <w:tabs>
        <w:tab w:val="left" w:pos="720"/>
      </w:tabs>
      <w:ind w:left="720" w:hanging="720"/>
      <w:outlineLvl w:val="1"/>
    </w:pPr>
    <w:rPr>
      <w:rFonts w:ascii="Times New Roman" w:hAnsi="Times New Roman" w:eastAsia="宋体" w:cs="Times New Roman"/>
      <w:b/>
      <w:bCs/>
      <w:kern w:val="2"/>
      <w:sz w:val="30"/>
      <w:szCs w:val="30"/>
      <w:lang w:val="en-US" w:eastAsia="zh-CN" w:bidi="ar-SA"/>
    </w:rPr>
  </w:style>
  <w:style w:type="paragraph" w:customStyle="1" w:styleId="107">
    <w:name w:val="Char Char Char1 Char"/>
    <w:basedOn w:val="1"/>
    <w:autoRedefine/>
    <w:qFormat/>
    <w:uiPriority w:val="99"/>
  </w:style>
  <w:style w:type="paragraph" w:customStyle="1" w:styleId="108">
    <w:name w:val="列出段落1"/>
    <w:basedOn w:val="1"/>
    <w:autoRedefine/>
    <w:qFormat/>
    <w:uiPriority w:val="99"/>
    <w:pPr>
      <w:ind w:firstLine="420" w:firstLineChars="200"/>
    </w:pPr>
  </w:style>
  <w:style w:type="paragraph" w:customStyle="1" w:styleId="109">
    <w:name w:val="Normal_12_0"/>
    <w:autoRedefine/>
    <w:qFormat/>
    <w:uiPriority w:val="99"/>
    <w:rPr>
      <w:rFonts w:ascii="黑体" w:hAnsi="黑体" w:eastAsia="黑体" w:cs="黑体"/>
      <w:b/>
      <w:bCs/>
      <w:sz w:val="32"/>
      <w:szCs w:val="32"/>
      <w:lang w:val="en-US" w:eastAsia="zh-CN" w:bidi="ar-SA"/>
    </w:rPr>
  </w:style>
  <w:style w:type="paragraph" w:customStyle="1" w:styleId="110">
    <w:name w:val="p0"/>
    <w:basedOn w:val="1"/>
    <w:autoRedefine/>
    <w:qFormat/>
    <w:uiPriority w:val="99"/>
    <w:pPr>
      <w:widowControl/>
    </w:pPr>
    <w:rPr>
      <w:kern w:val="0"/>
    </w:rPr>
  </w:style>
  <w:style w:type="paragraph" w:customStyle="1" w:styleId="111">
    <w:name w:val="正文缩进2格"/>
    <w:basedOn w:val="1"/>
    <w:autoRedefine/>
    <w:qFormat/>
    <w:uiPriority w:val="99"/>
    <w:pPr>
      <w:spacing w:line="600" w:lineRule="exact"/>
      <w:ind w:firstLine="639" w:firstLineChars="206"/>
    </w:pPr>
    <w:rPr>
      <w:rFonts w:ascii="仿宋_GB2312" w:hAnsi="宋体" w:eastAsia="仿宋_GB2312" w:cs="仿宋_GB2312"/>
      <w:sz w:val="31"/>
      <w:szCs w:val="31"/>
    </w:rPr>
  </w:style>
  <w:style w:type="paragraph" w:customStyle="1" w:styleId="112">
    <w:name w:val="列出段落11"/>
    <w:basedOn w:val="1"/>
    <w:autoRedefine/>
    <w:qFormat/>
    <w:uiPriority w:val="99"/>
    <w:pPr>
      <w:ind w:firstLine="200" w:firstLineChars="200"/>
    </w:pPr>
    <w:rPr>
      <w:rFonts w:ascii="Calibri" w:hAnsi="Calibri" w:cs="Calibri"/>
    </w:rPr>
  </w:style>
  <w:style w:type="paragraph" w:customStyle="1" w:styleId="113">
    <w:name w:val="Char Char Char Char"/>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14">
    <w:name w:val="默认段落字体 Para Char Char Char Char"/>
    <w:basedOn w:val="1"/>
    <w:autoRedefine/>
    <w:qFormat/>
    <w:uiPriority w:val="99"/>
  </w:style>
  <w:style w:type="paragraph" w:customStyle="1" w:styleId="115">
    <w:name w:val="样式 标题 1 + 宋体 段前: 0 磅 段后: 0 磅 行距: 单倍行距"/>
    <w:basedOn w:val="3"/>
    <w:next w:val="1"/>
    <w:autoRedefine/>
    <w:qFormat/>
    <w:uiPriority w:val="99"/>
    <w:pPr>
      <w:spacing w:beforeLines="100" w:afterLines="100"/>
    </w:pPr>
    <w:rPr>
      <w:rFonts w:ascii="仿宋_GB2312" w:hAnsi="宋体" w:cs="仿宋_GB2312"/>
    </w:rPr>
  </w:style>
  <w:style w:type="paragraph" w:customStyle="1" w:styleId="116">
    <w:name w:val="样式 标题 2 + 黑色 行距: 1.5 倍行距"/>
    <w:basedOn w:val="4"/>
    <w:autoRedefine/>
    <w:qFormat/>
    <w:uiPriority w:val="99"/>
    <w:pPr>
      <w:adjustRightInd/>
      <w:spacing w:line="360" w:lineRule="auto"/>
      <w:ind w:firstLine="3502" w:firstLineChars="1246"/>
      <w:textAlignment w:val="auto"/>
    </w:pPr>
    <w:rPr>
      <w:rFonts w:ascii="楷体_GB2312" w:hAnsi="宋体" w:eastAsia="楷体_GB2312" w:cs="楷体_GB2312"/>
      <w:kern w:val="2"/>
      <w:sz w:val="28"/>
      <w:szCs w:val="28"/>
    </w:rPr>
  </w:style>
  <w:style w:type="paragraph" w:styleId="117">
    <w:name w:val="List Paragraph"/>
    <w:basedOn w:val="1"/>
    <w:autoRedefine/>
    <w:qFormat/>
    <w:uiPriority w:val="99"/>
    <w:pPr>
      <w:ind w:firstLine="420" w:firstLineChars="200"/>
    </w:pPr>
  </w:style>
  <w:style w:type="paragraph" w:customStyle="1" w:styleId="118">
    <w:name w:val="Default"/>
    <w:autoRedefine/>
    <w:qFormat/>
    <w:uiPriority w:val="99"/>
    <w:pPr>
      <w:widowControl w:val="0"/>
      <w:autoSpaceDE w:val="0"/>
      <w:autoSpaceDN w:val="0"/>
      <w:adjustRightInd w:val="0"/>
    </w:pPr>
    <w:rPr>
      <w:rFonts w:ascii="......." w:hAnsi="Calibri" w:eastAsia="......." w:cs="......."/>
      <w:color w:val="000000"/>
      <w:sz w:val="24"/>
      <w:szCs w:val="24"/>
      <w:lang w:val="en-US" w:eastAsia="zh-CN" w:bidi="ar-SA"/>
    </w:rPr>
  </w:style>
  <w:style w:type="paragraph" w:customStyle="1" w:styleId="119">
    <w:name w:val="修订1"/>
    <w:autoRedefine/>
    <w:hidden/>
    <w:semiHidden/>
    <w:qFormat/>
    <w:uiPriority w:val="99"/>
    <w:rPr>
      <w:rFonts w:ascii="Times New Roman" w:hAnsi="Times New Roman" w:eastAsia="宋体" w:cs="Times New Roman"/>
      <w:kern w:val="2"/>
      <w:sz w:val="21"/>
      <w:szCs w:val="21"/>
      <w:lang w:val="en-US" w:eastAsia="zh-CN" w:bidi="ar-SA"/>
    </w:rPr>
  </w:style>
  <w:style w:type="paragraph" w:customStyle="1" w:styleId="120">
    <w:name w:val="正文1"/>
    <w:basedOn w:val="1"/>
    <w:autoRedefine/>
    <w:qFormat/>
    <w:uiPriority w:val="0"/>
    <w:pPr>
      <w:spacing w:line="360" w:lineRule="auto"/>
      <w:ind w:firstLine="361"/>
    </w:pPr>
    <w:rPr>
      <w:rFonts w:ascii="宋体" w:hAnsi="宋体"/>
      <w:szCs w:val="24"/>
    </w:rPr>
  </w:style>
  <w:style w:type="paragraph" w:customStyle="1" w:styleId="121">
    <w:name w:val="页眉1"/>
    <w:basedOn w:val="1"/>
    <w:autoRedefine/>
    <w:qFormat/>
    <w:uiPriority w:val="0"/>
    <w:pPr>
      <w:widowControl/>
      <w:pBdr>
        <w:bottom w:val="single" w:color="000000" w:sz="6" w:space="1"/>
      </w:pBdr>
      <w:tabs>
        <w:tab w:val="center" w:pos="4153"/>
        <w:tab w:val="right" w:pos="8306"/>
      </w:tabs>
      <w:snapToGrid w:val="0"/>
      <w:jc w:val="center"/>
      <w:textAlignment w:val="baseline"/>
    </w:pPr>
    <w:rPr>
      <w:kern w:val="0"/>
      <w:sz w:val="18"/>
      <w:szCs w:val="18"/>
    </w:rPr>
  </w:style>
  <w:style w:type="character" w:customStyle="1" w:styleId="122">
    <w:name w:val="NormalCharacter"/>
    <w:autoRedefine/>
    <w:qFormat/>
    <w:uiPriority w:val="0"/>
  </w:style>
  <w:style w:type="paragraph" w:customStyle="1" w:styleId="123">
    <w:name w:val="页脚1"/>
    <w:basedOn w:val="1"/>
    <w:autoRedefine/>
    <w:qFormat/>
    <w:uiPriority w:val="0"/>
    <w:pPr>
      <w:widowControl/>
      <w:tabs>
        <w:tab w:val="center" w:pos="4153"/>
        <w:tab w:val="right" w:pos="8306"/>
      </w:tabs>
      <w:snapToGrid w:val="0"/>
      <w:jc w:val="left"/>
      <w:textAlignment w:val="baseline"/>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2102</Words>
  <Characters>11984</Characters>
  <Lines>99</Lines>
  <Paragraphs>28</Paragraphs>
  <TotalTime>3</TotalTime>
  <ScaleCrop>false</ScaleCrop>
  <LinksUpToDate>false</LinksUpToDate>
  <CharactersWithSpaces>14058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2024-02-27T07:05:00Z</dcterms:created>
  <dc:creator>戴健秋</dc:creator>
  <cp:lastModifiedBy>Miss M</cp:lastModifiedBy>
  <cp:lastPrinted>2020-08-17T06:17:00Z</cp:lastPrinted>
  <dcterms:modified xsi:type="dcterms:W3CDTF">2024-02-27T08:48:18Z</dcterms:modified>
  <dc:title>南京国衡南通分公司 代理 招标及竞谈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0C8EB66FB4884C1BAADF6FF5989C0AEB_12</vt:lpwstr>
  </property>
</Properties>
</file>