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  <w:r>
        <w:rPr>
          <w:rFonts w:hint="eastAsia" w:ascii="方正小标宋_GBK" w:hAnsi="华文中宋" w:eastAsia="方正小标宋_GBK"/>
          <w:spacing w:val="-8"/>
          <w:sz w:val="44"/>
          <w:szCs w:val="44"/>
        </w:rPr>
        <w:t>南通</w:t>
      </w:r>
      <w:r>
        <w:rPr>
          <w:rFonts w:hint="eastAsia" w:ascii="方正小标宋_GBK" w:hAnsi="华文中宋" w:eastAsia="方正小标宋_GBK"/>
          <w:spacing w:val="-8"/>
          <w:sz w:val="44"/>
          <w:szCs w:val="44"/>
          <w:lang w:eastAsia="zh-CN"/>
        </w:rPr>
        <w:t>书法国画研究院</w:t>
      </w:r>
      <w:r>
        <w:rPr>
          <w:rFonts w:hint="eastAsia" w:ascii="方正小标宋_GBK" w:hAnsi="华文中宋" w:eastAsia="方正小标宋_GBK"/>
          <w:spacing w:val="-8"/>
          <w:sz w:val="44"/>
          <w:szCs w:val="44"/>
        </w:rPr>
        <w:t>201</w:t>
      </w:r>
      <w:r>
        <w:rPr>
          <w:rFonts w:hint="eastAsia" w:ascii="方正小标宋_GBK" w:hAnsi="华文中宋" w:eastAsia="方正小标宋_GBK"/>
          <w:spacing w:val="-8"/>
          <w:sz w:val="44"/>
          <w:szCs w:val="44"/>
          <w:lang w:val="en-US" w:eastAsia="zh-CN"/>
        </w:rPr>
        <w:t>9</w:t>
      </w:r>
      <w:r>
        <w:rPr>
          <w:rFonts w:hint="eastAsia" w:ascii="方正小标宋_GBK" w:hAnsi="华文中宋" w:eastAsia="方正小标宋_GBK"/>
          <w:spacing w:val="-8"/>
          <w:sz w:val="44"/>
          <w:szCs w:val="44"/>
        </w:rPr>
        <w:t>年度部门预算公开</w:t>
      </w: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华文中宋" w:eastAsia="方正小标宋_GBK"/>
          <w:spacing w:val="-8"/>
          <w:sz w:val="44"/>
          <w:szCs w:val="44"/>
        </w:rPr>
      </w:pPr>
    </w:p>
    <w:p>
      <w:pPr>
        <w:snapToGrid w:val="0"/>
        <w:spacing w:line="580" w:lineRule="atLeast"/>
        <w:jc w:val="center"/>
        <w:rPr>
          <w:rFonts w:hAnsi="黑体" w:eastAsia="黑体"/>
          <w:spacing w:val="-8"/>
          <w:sz w:val="44"/>
          <w:szCs w:val="44"/>
        </w:rPr>
      </w:pPr>
    </w:p>
    <w:p>
      <w:pPr>
        <w:snapToGrid w:val="0"/>
        <w:spacing w:line="580" w:lineRule="atLeast"/>
        <w:jc w:val="center"/>
        <w:rPr>
          <w:rFonts w:eastAsia="黑体"/>
          <w:spacing w:val="-8"/>
          <w:sz w:val="44"/>
          <w:szCs w:val="44"/>
        </w:rPr>
      </w:pPr>
      <w:r>
        <w:rPr>
          <w:rFonts w:hAnsi="黑体" w:eastAsia="黑体"/>
          <w:spacing w:val="-8"/>
          <w:sz w:val="44"/>
          <w:szCs w:val="44"/>
        </w:rPr>
        <w:t>目录</w:t>
      </w:r>
    </w:p>
    <w:p>
      <w:pPr>
        <w:snapToGrid w:val="0"/>
        <w:spacing w:line="5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snapToGrid w:val="0"/>
        <w:spacing w:line="580" w:lineRule="atLeas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部分  部门概况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一、主要职能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二、部门机构设置及预算单位构成情况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年度部门（单位）主要工作任务及目标</w:t>
      </w:r>
    </w:p>
    <w:p>
      <w:pPr>
        <w:snapToGrid w:val="0"/>
        <w:spacing w:line="580" w:lineRule="atLeas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部分  201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年度部门预算表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一、收支预算总表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四、财政拨款收支预算总表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五、财政拨款支出预算表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六、财政拨款基本支出预算表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七、财政拨款政府性基金支出预算表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八、一般公共预算支出预算表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九、一般公共预算基本支出预算表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十、一般公共预算单位运行经费支出预算表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十一、</w:t>
      </w:r>
      <w:r>
        <w:rPr>
          <w:rFonts w:eastAsia="仿宋_GB2312"/>
          <w:spacing w:val="-8"/>
          <w:sz w:val="32"/>
          <w:szCs w:val="32"/>
        </w:rPr>
        <w:t>“三公”经费、会议费、培训费支出预算表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十二、政府采购预算表</w:t>
      </w:r>
    </w:p>
    <w:p>
      <w:pPr>
        <w:snapToGrid w:val="0"/>
        <w:spacing w:line="580" w:lineRule="atLeas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第三</w:t>
      </w:r>
      <w:r>
        <w:rPr>
          <w:rFonts w:eastAsia="黑体"/>
          <w:sz w:val="32"/>
          <w:szCs w:val="32"/>
        </w:rPr>
        <w:t>部分  201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年度部门预算情况说明</w:t>
      </w:r>
    </w:p>
    <w:p>
      <w:pPr>
        <w:snapToGrid w:val="0"/>
        <w:spacing w:line="580" w:lineRule="atLeas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部分　名词解释</w:t>
      </w: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Ansi="黑体" w:eastAsia="黑体"/>
          <w:sz w:val="32"/>
          <w:szCs w:val="32"/>
        </w:rPr>
        <w:t>第一部分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hAnsi="黑体" w:eastAsia="黑体"/>
          <w:sz w:val="32"/>
          <w:szCs w:val="32"/>
        </w:rPr>
        <w:t xml:space="preserve">  </w:t>
      </w:r>
      <w:r>
        <w:rPr>
          <w:rFonts w:hint="eastAsia" w:hAnsi="黑体" w:eastAsia="黑体"/>
          <w:sz w:val="32"/>
          <w:szCs w:val="32"/>
          <w:lang w:eastAsia="zh-CN"/>
        </w:rPr>
        <w:t>部门</w:t>
      </w:r>
      <w:r>
        <w:rPr>
          <w:rFonts w:hint="eastAsia" w:hAnsi="黑体" w:eastAsia="黑体"/>
          <w:sz w:val="32"/>
          <w:szCs w:val="32"/>
        </w:rPr>
        <w:t>概况</w:t>
      </w: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一、主要职能</w:t>
      </w:r>
    </w:p>
    <w:p>
      <w:pPr>
        <w:numPr>
          <w:ilvl w:val="0"/>
          <w:numId w:val="0"/>
        </w:numPr>
        <w:snapToGrid w:val="0"/>
        <w:spacing w:line="580" w:lineRule="atLeas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秉承中国书画艺术的优良传统，创作、研究、推广书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画艺术、开展学术交流，提供专业咨询服务、培养创作人才，为广大美术爱好者提供学习、观摩、交流的平台，繁荣南通文化市场，提升城市艺术品位。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机构设置和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单位情况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根据部门职责分工，</w:t>
      </w:r>
      <w:r>
        <w:rPr>
          <w:rFonts w:hint="eastAsia" w:ascii="仿宋" w:hAnsi="仿宋" w:eastAsia="仿宋" w:cs="仿宋"/>
          <w:sz w:val="32"/>
          <w:szCs w:val="32"/>
        </w:rPr>
        <w:t>本单位内设机构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包括：办公室、创作室；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无下属单位；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从预算单位构成看，纳入本部门2019年部门汇总预算编制范围的预算单位共计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，即</w:t>
      </w:r>
      <w:r>
        <w:rPr>
          <w:rFonts w:hint="eastAsia" w:ascii="仿宋" w:hAnsi="仿宋" w:eastAsia="仿宋" w:cs="仿宋"/>
          <w:sz w:val="32"/>
          <w:szCs w:val="32"/>
        </w:rPr>
        <w:t>部门本级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主要工作任务及目标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1.举办“迎春画展——南通书画名家邀请展”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2.举办“南通书画院写生作品展”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3.举办“南通书画院书画家个人作品展”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外出采风写生交流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5.举办“与兄弟画院的作品交流展”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6.积极应征文化部、中国美协主办的全国性美展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7.积极应征省文化厅、省美协主办的各项展览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8.组织书画家走进基层、书画惠民活动。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9.举办两次以上创作研讨会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</w:t>
      </w:r>
    </w:p>
    <w:p>
      <w:pPr>
        <w:numPr>
          <w:ilvl w:val="0"/>
          <w:numId w:val="3"/>
        </w:numPr>
        <w:snapToGrid w:val="0"/>
        <w:spacing w:line="580" w:lineRule="atLeast"/>
        <w:jc w:val="both"/>
        <w:rPr>
          <w:rFonts w:hint="eastAsia"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hAnsi="黑体" w:eastAsia="黑体"/>
          <w:sz w:val="32"/>
          <w:szCs w:val="32"/>
        </w:rPr>
        <w:t>南通</w:t>
      </w:r>
      <w:r>
        <w:rPr>
          <w:rFonts w:hint="eastAsia" w:hAnsi="黑体" w:eastAsia="黑体"/>
          <w:sz w:val="32"/>
          <w:szCs w:val="32"/>
          <w:lang w:eastAsia="zh-CN"/>
        </w:rPr>
        <w:t>书法国画研究院</w:t>
      </w:r>
      <w:r>
        <w:rPr>
          <w:rFonts w:hint="eastAsia" w:hAnsi="黑体" w:eastAsia="黑体"/>
          <w:sz w:val="32"/>
          <w:szCs w:val="32"/>
        </w:rPr>
        <w:t>201</w:t>
      </w:r>
      <w:r>
        <w:rPr>
          <w:rFonts w:hint="eastAsia" w:hAnsi="黑体" w:eastAsia="黑体"/>
          <w:sz w:val="32"/>
          <w:szCs w:val="32"/>
          <w:lang w:val="en-US" w:eastAsia="zh-CN"/>
        </w:rPr>
        <w:t>9</w:t>
      </w:r>
      <w:r>
        <w:rPr>
          <w:rFonts w:hint="eastAsia" w:hAnsi="黑体" w:eastAsia="黑体"/>
          <w:sz w:val="32"/>
          <w:szCs w:val="32"/>
        </w:rPr>
        <w:t>年度部门预算表</w:t>
      </w:r>
    </w:p>
    <w:p>
      <w:pPr>
        <w:numPr>
          <w:ilvl w:val="0"/>
          <w:numId w:val="0"/>
        </w:numPr>
        <w:snapToGrid w:val="0"/>
        <w:spacing w:line="580" w:lineRule="atLeast"/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  <w:lang w:eastAsia="zh-CN"/>
        </w:rPr>
        <w:t>详见附件</w:t>
      </w:r>
    </w:p>
    <w:p>
      <w:pPr>
        <w:snapToGrid w:val="0"/>
        <w:spacing w:line="580" w:lineRule="atLeast"/>
        <w:jc w:val="center"/>
        <w:rPr>
          <w:rFonts w:hint="eastAsia" w:hAnsi="黑体" w:eastAsia="黑体"/>
          <w:sz w:val="32"/>
          <w:szCs w:val="32"/>
        </w:rPr>
      </w:pPr>
    </w:p>
    <w:p>
      <w:pPr>
        <w:snapToGrid w:val="0"/>
        <w:spacing w:line="580" w:lineRule="atLeast"/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第</w:t>
      </w:r>
      <w:r>
        <w:rPr>
          <w:rFonts w:hint="eastAsia" w:hAnsi="黑体" w:eastAsia="黑体"/>
          <w:sz w:val="32"/>
          <w:szCs w:val="32"/>
          <w:lang w:eastAsia="zh-CN"/>
        </w:rPr>
        <w:t>三</w:t>
      </w:r>
      <w:r>
        <w:rPr>
          <w:rFonts w:hint="eastAsia" w:hAnsi="黑体" w:eastAsia="黑体"/>
          <w:sz w:val="32"/>
          <w:szCs w:val="32"/>
        </w:rPr>
        <w:t>部分 201</w:t>
      </w:r>
      <w:r>
        <w:rPr>
          <w:rFonts w:hint="eastAsia" w:hAnsi="黑体" w:eastAsia="黑体"/>
          <w:sz w:val="32"/>
          <w:szCs w:val="32"/>
          <w:lang w:val="en-US" w:eastAsia="zh-CN"/>
        </w:rPr>
        <w:t>9</w:t>
      </w:r>
      <w:r>
        <w:rPr>
          <w:rFonts w:hint="eastAsia" w:hAnsi="黑体" w:eastAsia="黑体"/>
          <w:sz w:val="32"/>
          <w:szCs w:val="32"/>
        </w:rPr>
        <w:t>年度部门预算情况说明</w:t>
      </w:r>
    </w:p>
    <w:p>
      <w:pPr>
        <w:snapToGrid w:val="0"/>
        <w:spacing w:line="520" w:lineRule="exact"/>
        <w:ind w:firstLine="643" w:firstLineChars="200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snapToGrid w:val="0"/>
        <w:spacing w:line="520" w:lineRule="exact"/>
        <w:ind w:firstLine="643" w:firstLineChars="200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一、收支预算总体情况说明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年度收入、支出预算总计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万元，与上年相比收、支预算总计各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15.3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2名在职人员退休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一）收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</w:rPr>
        <w:t>入预算总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万元。包括：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1.财政拨款收入预算总计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万元。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（1）一般公共预算收入预算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15.3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（2）政府性基金收入预算0万元，与上年相比无变化。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2.财政专户管理资金收入预算总计 0 万元。与上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年相比无变化。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二）支出预算总计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万元。包括：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1、按功能分类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）文化体育与传媒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248.16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万元，主要用于人员开支、日常公用开支及业务活动的支出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了12.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%，主要原因是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）住房保障（类）支出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43.17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万元，主要用于发放职工住房公积金和提租补贴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与上年要比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%，主要原因是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在职人员的减少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2、按支出用途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基本支出预算为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215.38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61.45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22.19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在职人员的减少。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项目支出预算为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.95万元。与上年相比增加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46.15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60.76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职能项目经费的增加。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二、收入预算情况说明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南通书法国画研究院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本年收入预算合计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一般公共预算收入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万元，占收入的100%； 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政府性基金预算收入0万元； 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财政专户管理资金0万元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三、支出预算情况说明 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年支出预算合计为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215.38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3.93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%； 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.95万元，占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26.07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%；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四、财政拨款收支预算总体情况说明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年度财政拨款收、支总预算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万元。与上年相比，财政拨款收、支总计各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15.3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五、财政拨款支出预算情况说明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年财政拨款预算支出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万元，占本年支出的100%，与上年相比，财政拨款支出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15.3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其中：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（一）文化体育与传媒（类）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文化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（款）文化创作与保护（项）支出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248.16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了12.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%，主要原因是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（二）住房保障支出（类）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1．住房改革支出（款）住房公积金（项）支出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18.21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8.54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在职人员减少。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2.住房改革支出（款）提租补贴（项）支出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24.96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在职人员的减少。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六、财政拨款基本支出预算情况说明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年度财政拨款基本支出预算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215.38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</w:t>
      </w:r>
    </w:p>
    <w:p>
      <w:pPr>
        <w:numPr>
          <w:ilvl w:val="0"/>
          <w:numId w:val="4"/>
        </w:num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176.63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万元。主要包括：基本工资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33.38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42.94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万元、绩效工资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17.73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万元、机关事业单位基本养老保险缴费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万元、基本医疗缴费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6.66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万元、公务员医疗补助缴费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4.16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万元、其他社会保障缴费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2.68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万元、住房公积金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18.21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离休费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17.57、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退休费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16.07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、奖励金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0.01万元、其他对个人和家庭的补助支出0.02万元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numPr>
          <w:ilvl w:val="0"/>
          <w:numId w:val="4"/>
        </w:num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38.75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万元。主要包括：办公费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2.32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万元、水费0.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万元、电费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万元、邮电费0.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万元、差旅费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维修（护）费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1.5万元、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会议费0.3万元、培训费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万元、公务接待费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0.65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万元、劳务费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万元、工会经费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3.12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万元、福利费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5.85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其他交通费用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万元、其他商品和服务支出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6.61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七、政府性基金预算支出预算情况说明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本部门本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年无政府性基金支出预算。</w:t>
      </w:r>
    </w:p>
    <w:p>
      <w:pPr>
        <w:numPr>
          <w:ilvl w:val="0"/>
          <w:numId w:val="5"/>
        </w:numPr>
        <w:snapToGrid w:val="0"/>
        <w:spacing w:line="520" w:lineRule="exact"/>
        <w:ind w:firstLine="64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一般公共预算支出预算情况说明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年一般公共预算财政拨款支出预算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291.33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15.3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在职人员减少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九、一般公共预算基本支出预算情况说明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年度一般公共预算财政拨款基本支出预算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215.38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</w:t>
      </w:r>
    </w:p>
    <w:p>
      <w:pPr>
        <w:numPr>
          <w:ilvl w:val="0"/>
          <w:numId w:val="0"/>
        </w:num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176.63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万元。主要包括：基本工资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33.38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万元、津贴补贴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42.94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万元、绩效工资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17.73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万元、机关事业单位基本养老保险缴费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万元、基本医疗缴费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6.66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万元、公务员医疗补助缴费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4.16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万元、其他社会保障缴费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2.68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万元、住房公积金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18.21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离休费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17.57、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退休费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16.07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、奖励金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0.01万元、其他对个人和家庭的补助支出0.02万元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38.75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万元。主要包括：办公费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2.32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万元、水费0.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万元、电费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万元、邮电费0.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万元、差旅费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维修（护）费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1.5万元、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会议费0.3万元、培训费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万元、公务接待费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0.65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万元、劳务费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万元、工会经费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3.12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万元、福利费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5.85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其他交通费用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万元、其他商品和服务支出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6.61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十、一般公共预算单位运行经费支出预算情况说明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2019年本部门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一般公共预算单位运行经费预算支出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38.75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0.96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降低了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24.17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%，主要原因是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编制数的减少了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十一、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“三公”经费、会议费、培训费支出预算情况说明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书法国画研究院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年度“三公”经费预算支出中，公务用车购置及运行费支出0万元，公务接待费支出 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万元，占“三公”经费的100%，具体情况如下：。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2019年度“三公”经费支出预算0.65万元。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单位部门预算中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安排因公出国（境）经费。实际因公出国（境）时，由财政部门根据经规定程序批准的出国（境）计划和按标准核定的经费数额追加相关单位支出预算指标。实际执行情况在部门决算中公开。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2.公务用车购置及运行费支出预算 0 万元。其中：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（1）公务用车购置支出预算 0 万元，比上年相比无变化。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（2）公务用车运行维护费支出预算 0 万元，与上年相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3.公务接待费支出预算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0.65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万元，比上年减少0.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厉行节约，压缩接待费用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（二）201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年度会议费支出预算 0.3万元，与上年相比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0.45万元，主要原因是厉行节约，压缩会议费用。</w:t>
      </w:r>
    </w:p>
    <w:p>
      <w:p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（三）201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年度培训费支出预算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万元，与上年相比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了0.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主要原因是今年培训计划减少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numPr>
          <w:ilvl w:val="0"/>
          <w:numId w:val="6"/>
        </w:numPr>
        <w:snapToGrid w:val="0"/>
        <w:spacing w:line="52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政府采购支出预算情况说明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年度政府采购支出预算总额2.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万元，其中：拟采购货物支出2.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万元，采购工程支出0万元、购买服务支出0万元。</w:t>
      </w:r>
    </w:p>
    <w:p>
      <w:pPr>
        <w:numPr>
          <w:ilvl w:val="0"/>
          <w:numId w:val="6"/>
        </w:numPr>
        <w:snapToGrid w:val="0"/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国有资产占用情况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本部门共有车辆 0 辆；单价50万元（含）以上的通用设备 0 台（套）；单价100万元（含）以上的专用设备 0 台（套）。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十四、预算绩效目标设置情况说明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2019年绩效项目、目标待财政审定。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numPr>
          <w:numId w:val="0"/>
        </w:numPr>
        <w:snapToGrid w:val="0"/>
        <w:spacing w:line="52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第四部分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名词解释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napToGrid w:val="0"/>
        <w:spacing w:line="460" w:lineRule="exact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一、财政拨款：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指由一般公共预算、政府性基金预算安排的财政拨款数。</w:t>
      </w:r>
    </w:p>
    <w:p>
      <w:pPr>
        <w:snapToGrid w:val="0"/>
        <w:spacing w:line="460" w:lineRule="exact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二、一般公共预算：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包括税收财力安排、当年非税财力、专项收入、省补助、动用结余财力。</w:t>
      </w:r>
    </w:p>
    <w:p>
      <w:pPr>
        <w:snapToGrid w:val="0"/>
        <w:spacing w:line="460" w:lineRule="exact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三、财政专户管理资金：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指专户管理行政事业性收费（主要是教育收费）。</w:t>
      </w:r>
    </w:p>
    <w:p>
      <w:pPr>
        <w:snapToGrid w:val="0"/>
        <w:spacing w:line="460" w:lineRule="exact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四、基本支出：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包括工资福利支出、商品和服务支出（定额）、对个人和家庭补助支出。</w:t>
      </w:r>
    </w:p>
    <w:p>
      <w:pPr>
        <w:snapToGrid w:val="0"/>
        <w:spacing w:line="460" w:lineRule="exact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五、项目支出：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包括编入部门预算的单位通用项目、职能项目、市立项目支出安排数等。</w:t>
      </w:r>
    </w:p>
    <w:p>
      <w:pPr>
        <w:snapToGrid w:val="0"/>
        <w:spacing w:line="460" w:lineRule="exact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六、“三公”经费：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包括因公出国（境）费、公务用车购置及运行维护费和公务接待费。其中：因公出国（境）费指单位工作人员公务出国（境）的住宿费、旅费、伙食补助费、杂费、培训费等支出。公务用车购置及运行维护费指单位公务用车购置费及租用费、燃料费、维修费、过路过桥费、保险费、安全奖励费用等支出，公务用车指用于履行公务的机动车辆。公务接待费，指单位按规定开支的各类公务接待（含外宾接待）支出。</w:t>
      </w:r>
    </w:p>
    <w:p>
      <w:pPr>
        <w:snapToGrid w:val="0"/>
        <w:spacing w:line="460" w:lineRule="exact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七、单位运行经费：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指各部门（单位）的公用经费，包括办公费、印刷费、水电费、邮电费、差旅费、会议费、培训费、日常维修费、物业管理费、公务接待费、公务用车运行维护费、福利费及其他费用。</w:t>
      </w:r>
    </w:p>
    <w:sectPr>
      <w:footerReference r:id="rId3" w:type="default"/>
      <w:footerReference r:id="rId4" w:type="even"/>
      <w:pgSz w:w="11906" w:h="16838"/>
      <w:pgMar w:top="1701" w:right="1588" w:bottom="1985" w:left="1588" w:header="851" w:footer="158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FD6D"/>
    <w:multiLevelType w:val="singleLevel"/>
    <w:tmpl w:val="579CFD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61834A"/>
    <w:multiLevelType w:val="singleLevel"/>
    <w:tmpl w:val="5A61834A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65465A"/>
    <w:multiLevelType w:val="singleLevel"/>
    <w:tmpl w:val="5A65465A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A654A98"/>
    <w:multiLevelType w:val="singleLevel"/>
    <w:tmpl w:val="5A654A98"/>
    <w:lvl w:ilvl="0" w:tentative="0">
      <w:start w:val="8"/>
      <w:numFmt w:val="chineseCounting"/>
      <w:suff w:val="nothing"/>
      <w:lvlText w:val="%1、"/>
      <w:lvlJc w:val="left"/>
    </w:lvl>
  </w:abstractNum>
  <w:abstractNum w:abstractNumId="4">
    <w:nsid w:val="5A657C95"/>
    <w:multiLevelType w:val="singleLevel"/>
    <w:tmpl w:val="5A657C95"/>
    <w:lvl w:ilvl="0" w:tentative="0">
      <w:start w:val="12"/>
      <w:numFmt w:val="chineseCounting"/>
      <w:suff w:val="nothing"/>
      <w:lvlText w:val="%1、"/>
      <w:lvlJc w:val="left"/>
    </w:lvl>
  </w:abstractNum>
  <w:abstractNum w:abstractNumId="5">
    <w:nsid w:val="644651A5"/>
    <w:multiLevelType w:val="singleLevel"/>
    <w:tmpl w:val="644651A5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EB3"/>
    <w:rsid w:val="000358D7"/>
    <w:rsid w:val="00093A71"/>
    <w:rsid w:val="00367C98"/>
    <w:rsid w:val="003C5106"/>
    <w:rsid w:val="004728E3"/>
    <w:rsid w:val="0052058B"/>
    <w:rsid w:val="005632A2"/>
    <w:rsid w:val="005C3120"/>
    <w:rsid w:val="005F15D5"/>
    <w:rsid w:val="006E5F9A"/>
    <w:rsid w:val="00705E4C"/>
    <w:rsid w:val="00712F9C"/>
    <w:rsid w:val="007322EA"/>
    <w:rsid w:val="00804713"/>
    <w:rsid w:val="00845F27"/>
    <w:rsid w:val="00874B89"/>
    <w:rsid w:val="00894B98"/>
    <w:rsid w:val="008D69AB"/>
    <w:rsid w:val="00A07DB9"/>
    <w:rsid w:val="00A10094"/>
    <w:rsid w:val="00A17393"/>
    <w:rsid w:val="00A74323"/>
    <w:rsid w:val="00AF1D96"/>
    <w:rsid w:val="00AF599F"/>
    <w:rsid w:val="00B57F8E"/>
    <w:rsid w:val="00B86056"/>
    <w:rsid w:val="00BF61E1"/>
    <w:rsid w:val="00C37A49"/>
    <w:rsid w:val="00CF3298"/>
    <w:rsid w:val="00D056BE"/>
    <w:rsid w:val="00D65BFB"/>
    <w:rsid w:val="00E209CF"/>
    <w:rsid w:val="00E46EB3"/>
    <w:rsid w:val="00E537FB"/>
    <w:rsid w:val="00E762DA"/>
    <w:rsid w:val="00EB5250"/>
    <w:rsid w:val="00F22C03"/>
    <w:rsid w:val="00F46333"/>
    <w:rsid w:val="00F52EB6"/>
    <w:rsid w:val="00FF4308"/>
    <w:rsid w:val="015A37CF"/>
    <w:rsid w:val="01D07941"/>
    <w:rsid w:val="023B06EB"/>
    <w:rsid w:val="024B437D"/>
    <w:rsid w:val="02C7612E"/>
    <w:rsid w:val="05E7369E"/>
    <w:rsid w:val="069515C8"/>
    <w:rsid w:val="07703D28"/>
    <w:rsid w:val="07D56C88"/>
    <w:rsid w:val="09116B66"/>
    <w:rsid w:val="09B90310"/>
    <w:rsid w:val="0B743991"/>
    <w:rsid w:val="0B7F0B77"/>
    <w:rsid w:val="0BCC44D0"/>
    <w:rsid w:val="0C4B54D0"/>
    <w:rsid w:val="0EE371AC"/>
    <w:rsid w:val="0F1607A2"/>
    <w:rsid w:val="111435BE"/>
    <w:rsid w:val="11842B3B"/>
    <w:rsid w:val="127A37FE"/>
    <w:rsid w:val="12B467EB"/>
    <w:rsid w:val="13871FDE"/>
    <w:rsid w:val="15A8415B"/>
    <w:rsid w:val="16396B21"/>
    <w:rsid w:val="16FF54E5"/>
    <w:rsid w:val="183753F6"/>
    <w:rsid w:val="189603EE"/>
    <w:rsid w:val="1A4A0178"/>
    <w:rsid w:val="1F077C1C"/>
    <w:rsid w:val="1FB6598F"/>
    <w:rsid w:val="200D1A90"/>
    <w:rsid w:val="24DF53DD"/>
    <w:rsid w:val="256A4A5F"/>
    <w:rsid w:val="262F668E"/>
    <w:rsid w:val="29642F4F"/>
    <w:rsid w:val="29AA69E4"/>
    <w:rsid w:val="2B210725"/>
    <w:rsid w:val="2CEA4BB0"/>
    <w:rsid w:val="2D9D148F"/>
    <w:rsid w:val="2E756545"/>
    <w:rsid w:val="2F233436"/>
    <w:rsid w:val="343001F5"/>
    <w:rsid w:val="34520CD2"/>
    <w:rsid w:val="35506E36"/>
    <w:rsid w:val="360016D7"/>
    <w:rsid w:val="37B43DCE"/>
    <w:rsid w:val="38747846"/>
    <w:rsid w:val="38B817D4"/>
    <w:rsid w:val="3D703359"/>
    <w:rsid w:val="3F283CDC"/>
    <w:rsid w:val="411658C2"/>
    <w:rsid w:val="4304762E"/>
    <w:rsid w:val="43207552"/>
    <w:rsid w:val="44832030"/>
    <w:rsid w:val="45410042"/>
    <w:rsid w:val="46115127"/>
    <w:rsid w:val="46237D58"/>
    <w:rsid w:val="4657506B"/>
    <w:rsid w:val="49C772A4"/>
    <w:rsid w:val="4A3D43B3"/>
    <w:rsid w:val="4A6759E0"/>
    <w:rsid w:val="4A697766"/>
    <w:rsid w:val="4A951925"/>
    <w:rsid w:val="4C884AEF"/>
    <w:rsid w:val="4D1B400B"/>
    <w:rsid w:val="4F1D372C"/>
    <w:rsid w:val="503929BF"/>
    <w:rsid w:val="55AF7CEF"/>
    <w:rsid w:val="562F5B6B"/>
    <w:rsid w:val="5ACC0353"/>
    <w:rsid w:val="5AF57D5A"/>
    <w:rsid w:val="5C5F1B76"/>
    <w:rsid w:val="5D7C57FC"/>
    <w:rsid w:val="5E345D83"/>
    <w:rsid w:val="5F3133C0"/>
    <w:rsid w:val="5F5875D1"/>
    <w:rsid w:val="5FCE33BC"/>
    <w:rsid w:val="605F06E2"/>
    <w:rsid w:val="609B6E5C"/>
    <w:rsid w:val="62F457AB"/>
    <w:rsid w:val="6591718C"/>
    <w:rsid w:val="67225931"/>
    <w:rsid w:val="6A861209"/>
    <w:rsid w:val="6B8C1E13"/>
    <w:rsid w:val="6C601B73"/>
    <w:rsid w:val="6C745FE2"/>
    <w:rsid w:val="745E47C8"/>
    <w:rsid w:val="76590D2D"/>
    <w:rsid w:val="77E41A44"/>
    <w:rsid w:val="780A292F"/>
    <w:rsid w:val="7836328B"/>
    <w:rsid w:val="794201C5"/>
    <w:rsid w:val="7A12174C"/>
    <w:rsid w:val="7AA31012"/>
    <w:rsid w:val="7C0564E9"/>
    <w:rsid w:val="7D5809B9"/>
    <w:rsid w:val="7D65402B"/>
    <w:rsid w:val="7F4E6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 Char Char"/>
    <w:basedOn w:val="1"/>
    <w:qFormat/>
    <w:uiPriority w:val="0"/>
    <w:rPr>
      <w:rFonts w:ascii="Tahoma" w:hAnsi="Tahoma"/>
      <w:sz w:val="24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974</Words>
  <Characters>5552</Characters>
  <Lines>46</Lines>
  <Paragraphs>13</Paragraphs>
  <TotalTime>0</TotalTime>
  <ScaleCrop>false</ScaleCrop>
  <LinksUpToDate>false</LinksUpToDate>
  <CharactersWithSpaces>6513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2017-02-27T06:08:00Z</dcterms:created>
  <dc:creator>qsh</dc:creator>
  <cp:lastModifiedBy>wgxj</cp:lastModifiedBy>
  <dcterms:modified xsi:type="dcterms:W3CDTF">2019-01-31T13:59:32Z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