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918D26">
      <w:pPr>
        <w:tabs>
          <w:tab w:val="left" w:pos="5760"/>
          <w:tab w:val="left" w:pos="6300"/>
        </w:tabs>
        <w:spacing w:line="360" w:lineRule="auto"/>
        <w:ind w:left="547" w:firstLine="883"/>
        <w:jc w:val="left"/>
        <w:rPr>
          <w:rFonts w:hint="eastAsia" w:ascii="宋体" w:hAnsi="宋体" w:cs="宋体"/>
          <w:sz w:val="44"/>
          <w:szCs w:val="44"/>
          <w:highlight w:val="none"/>
        </w:rPr>
      </w:pPr>
    </w:p>
    <w:p w14:paraId="28E0D607">
      <w:pPr>
        <w:tabs>
          <w:tab w:val="left" w:pos="5760"/>
          <w:tab w:val="left" w:pos="6300"/>
        </w:tabs>
        <w:spacing w:line="360" w:lineRule="auto"/>
        <w:jc w:val="center"/>
        <w:rPr>
          <w:rFonts w:hint="eastAsia" w:ascii="宋体" w:hAnsi="宋体" w:cs="宋体"/>
          <w:b/>
          <w:bCs/>
          <w:sz w:val="48"/>
          <w:szCs w:val="48"/>
          <w:highlight w:val="none"/>
        </w:rPr>
      </w:pPr>
      <w:r>
        <w:rPr>
          <w:rFonts w:hint="eastAsia" w:ascii="宋体" w:hAnsi="宋体" w:cs="宋体"/>
          <w:b/>
          <w:bCs/>
          <w:sz w:val="48"/>
          <w:szCs w:val="48"/>
          <w:highlight w:val="none"/>
        </w:rPr>
        <w:t>2024年全国智慧图书馆体系建设江苏古籍数字化(南通市图书馆古籍数字化加工)</w:t>
      </w:r>
    </w:p>
    <w:p w14:paraId="547FA19C">
      <w:pPr>
        <w:tabs>
          <w:tab w:val="left" w:pos="3390"/>
          <w:tab w:val="center" w:pos="4535"/>
        </w:tabs>
        <w:spacing w:line="360" w:lineRule="auto"/>
        <w:ind w:left="547" w:firstLine="803"/>
        <w:jc w:val="left"/>
        <w:rPr>
          <w:rFonts w:hint="eastAsia" w:ascii="宋体" w:hAnsi="宋体" w:cs="宋体"/>
          <w:b/>
          <w:bCs/>
          <w:sz w:val="40"/>
          <w:szCs w:val="40"/>
          <w:highlight w:val="none"/>
        </w:rPr>
      </w:pPr>
    </w:p>
    <w:p w14:paraId="3F67BA0F">
      <w:pPr>
        <w:tabs>
          <w:tab w:val="left" w:pos="3390"/>
          <w:tab w:val="center" w:pos="4535"/>
        </w:tabs>
        <w:spacing w:line="360" w:lineRule="auto"/>
        <w:ind w:left="547" w:firstLine="803"/>
        <w:jc w:val="left"/>
        <w:rPr>
          <w:rFonts w:hint="eastAsia" w:ascii="宋体" w:hAnsi="宋体" w:cs="宋体"/>
          <w:b/>
          <w:bCs/>
          <w:sz w:val="40"/>
          <w:szCs w:val="40"/>
          <w:highlight w:val="none"/>
        </w:rPr>
      </w:pPr>
    </w:p>
    <w:p w14:paraId="0959A9DE">
      <w:pPr>
        <w:tabs>
          <w:tab w:val="left" w:pos="3390"/>
          <w:tab w:val="center" w:pos="4535"/>
        </w:tabs>
        <w:spacing w:line="360" w:lineRule="auto"/>
        <w:ind w:left="547" w:firstLine="800"/>
        <w:jc w:val="left"/>
        <w:rPr>
          <w:rFonts w:hint="eastAsia" w:ascii="宋体" w:hAnsi="宋体" w:cs="宋体"/>
          <w:b/>
          <w:bCs/>
          <w:sz w:val="40"/>
          <w:szCs w:val="40"/>
          <w:highlight w:val="none"/>
        </w:rPr>
      </w:pPr>
    </w:p>
    <w:p w14:paraId="4FD66A03">
      <w:pPr>
        <w:tabs>
          <w:tab w:val="left" w:pos="3390"/>
          <w:tab w:val="center" w:pos="4535"/>
        </w:tabs>
        <w:spacing w:line="360" w:lineRule="auto"/>
        <w:jc w:val="center"/>
        <w:rPr>
          <w:rFonts w:hint="eastAsia" w:ascii="宋体" w:hAnsi="宋体" w:cs="宋体"/>
          <w:b/>
          <w:sz w:val="72"/>
          <w:szCs w:val="72"/>
          <w:highlight w:val="none"/>
        </w:rPr>
      </w:pPr>
      <w:r>
        <w:rPr>
          <w:rFonts w:hint="eastAsia" w:ascii="宋体" w:hAnsi="宋体" w:cs="宋体"/>
          <w:b/>
          <w:sz w:val="72"/>
          <w:szCs w:val="72"/>
          <w:highlight w:val="none"/>
        </w:rPr>
        <w:t>政府采购</w:t>
      </w:r>
    </w:p>
    <w:p w14:paraId="6FADD00D">
      <w:pPr>
        <w:spacing w:line="880" w:lineRule="exact"/>
        <w:jc w:val="center"/>
        <w:rPr>
          <w:rFonts w:hint="eastAsia" w:ascii="宋体" w:hAnsi="宋体" w:cs="宋体"/>
          <w:b/>
          <w:sz w:val="44"/>
          <w:szCs w:val="44"/>
          <w:highlight w:val="none"/>
        </w:rPr>
      </w:pPr>
      <w:r>
        <w:rPr>
          <w:rFonts w:hint="eastAsia" w:ascii="宋体" w:hAnsi="宋体" w:cs="宋体"/>
          <w:b/>
          <w:sz w:val="72"/>
          <w:szCs w:val="72"/>
          <w:highlight w:val="none"/>
        </w:rPr>
        <w:t>竞争性磋商文件</w:t>
      </w:r>
    </w:p>
    <w:p w14:paraId="7A137031">
      <w:pPr>
        <w:spacing w:line="720" w:lineRule="auto"/>
        <w:jc w:val="center"/>
        <w:rPr>
          <w:rFonts w:hint="eastAsia" w:ascii="宋体" w:hAnsi="宋体" w:cs="宋体"/>
          <w:b/>
          <w:sz w:val="32"/>
          <w:szCs w:val="32"/>
          <w:highlight w:val="none"/>
        </w:rPr>
      </w:pPr>
      <w:r>
        <w:rPr>
          <w:rFonts w:hint="eastAsia" w:ascii="宋体" w:hAnsi="宋体" w:cs="宋体"/>
          <w:b/>
          <w:sz w:val="32"/>
          <w:szCs w:val="32"/>
          <w:highlight w:val="none"/>
        </w:rPr>
        <w:t xml:space="preserve">项目编号：JSZC-320600-TCZJ-C2024-0037    </w:t>
      </w:r>
    </w:p>
    <w:p w14:paraId="56C3F02D">
      <w:pPr>
        <w:spacing w:line="360" w:lineRule="auto"/>
        <w:ind w:left="547" w:firstLine="720"/>
        <w:rPr>
          <w:rFonts w:hint="eastAsia" w:ascii="宋体" w:hAnsi="宋体" w:cs="宋体"/>
          <w:b/>
          <w:sz w:val="36"/>
          <w:highlight w:val="none"/>
        </w:rPr>
      </w:pPr>
    </w:p>
    <w:p w14:paraId="35E1C93D">
      <w:pPr>
        <w:spacing w:line="360" w:lineRule="auto"/>
        <w:ind w:left="547" w:firstLine="720"/>
        <w:jc w:val="center"/>
        <w:rPr>
          <w:rFonts w:hint="eastAsia" w:ascii="宋体" w:hAnsi="宋体" w:cs="宋体"/>
          <w:b/>
          <w:sz w:val="36"/>
          <w:highlight w:val="none"/>
        </w:rPr>
      </w:pPr>
    </w:p>
    <w:p w14:paraId="31F1E94D">
      <w:pPr>
        <w:pStyle w:val="41"/>
        <w:ind w:left="547" w:firstLine="482"/>
        <w:rPr>
          <w:rFonts w:hint="eastAsia" w:ascii="宋体" w:hAnsi="宋体" w:cs="宋体"/>
          <w:highlight w:val="none"/>
        </w:rPr>
      </w:pPr>
    </w:p>
    <w:p w14:paraId="288FF508">
      <w:pPr>
        <w:spacing w:line="360" w:lineRule="auto"/>
        <w:ind w:left="547" w:firstLine="720"/>
        <w:jc w:val="center"/>
        <w:rPr>
          <w:rFonts w:hint="eastAsia" w:ascii="宋体" w:hAnsi="宋体" w:cs="宋体"/>
          <w:b/>
          <w:sz w:val="36"/>
          <w:highlight w:val="none"/>
        </w:rPr>
      </w:pPr>
    </w:p>
    <w:p w14:paraId="35B80761">
      <w:pPr>
        <w:pStyle w:val="23"/>
        <w:rPr>
          <w:highlight w:val="none"/>
        </w:rPr>
      </w:pPr>
    </w:p>
    <w:p w14:paraId="6FFFD50C">
      <w:pPr>
        <w:spacing w:line="360" w:lineRule="auto"/>
        <w:ind w:firstLine="602"/>
        <w:jc w:val="center"/>
        <w:rPr>
          <w:rFonts w:hint="eastAsia" w:ascii="宋体" w:hAnsi="宋体" w:cs="宋体"/>
          <w:b/>
          <w:sz w:val="30"/>
          <w:szCs w:val="30"/>
          <w:highlight w:val="none"/>
        </w:rPr>
      </w:pPr>
      <w:r>
        <w:rPr>
          <w:rFonts w:hint="eastAsia" w:ascii="宋体" w:hAnsi="宋体" w:cs="宋体"/>
          <w:b/>
          <w:sz w:val="30"/>
          <w:szCs w:val="30"/>
          <w:highlight w:val="none"/>
        </w:rPr>
        <w:t>采购单位：南通市图书馆</w:t>
      </w:r>
    </w:p>
    <w:p w14:paraId="449D3222">
      <w:pPr>
        <w:spacing w:line="360" w:lineRule="auto"/>
        <w:ind w:firstLine="602"/>
        <w:jc w:val="center"/>
        <w:rPr>
          <w:rFonts w:hint="eastAsia" w:ascii="宋体" w:hAnsi="宋体" w:cs="宋体"/>
          <w:b/>
          <w:sz w:val="30"/>
          <w:szCs w:val="30"/>
          <w:highlight w:val="none"/>
        </w:rPr>
      </w:pPr>
      <w:r>
        <w:rPr>
          <w:rFonts w:hint="eastAsia" w:ascii="宋体" w:hAnsi="宋体" w:cs="宋体"/>
          <w:b/>
          <w:sz w:val="30"/>
          <w:szCs w:val="30"/>
          <w:highlight w:val="none"/>
        </w:rPr>
        <w:t>采购代理机构：南通通城建设工程项目管理有限公司</w:t>
      </w:r>
    </w:p>
    <w:p w14:paraId="5D991718">
      <w:pPr>
        <w:spacing w:line="360" w:lineRule="auto"/>
        <w:ind w:firstLine="602"/>
        <w:jc w:val="center"/>
        <w:rPr>
          <w:rFonts w:hint="eastAsia" w:ascii="宋体" w:hAnsi="宋体" w:cs="宋体"/>
          <w:b/>
          <w:sz w:val="30"/>
          <w:szCs w:val="30"/>
          <w:highlight w:val="none"/>
        </w:rPr>
      </w:pPr>
      <w:r>
        <w:rPr>
          <w:rFonts w:hint="eastAsia" w:ascii="宋体" w:hAnsi="宋体" w:cs="宋体"/>
          <w:b/>
          <w:sz w:val="30"/>
          <w:szCs w:val="30"/>
          <w:highlight w:val="none"/>
        </w:rPr>
        <w:t>2024年12月</w:t>
      </w:r>
    </w:p>
    <w:p w14:paraId="5517DE44">
      <w:pPr>
        <w:pStyle w:val="12"/>
        <w:ind w:left="547" w:firstLine="883"/>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br w:type="page" w:clear="all"/>
      </w:r>
      <w:r>
        <w:rPr>
          <w:rFonts w:hint="eastAsia" w:ascii="宋体" w:hAnsi="宋体" w:eastAsia="宋体" w:cs="宋体"/>
          <w:b/>
          <w:sz w:val="44"/>
          <w:szCs w:val="44"/>
          <w:highlight w:val="none"/>
        </w:rPr>
        <w:t>目  录</w:t>
      </w:r>
    </w:p>
    <w:p w14:paraId="0FB6BBC9">
      <w:pPr>
        <w:pStyle w:val="12"/>
        <w:ind w:left="547" w:firstLine="602"/>
        <w:jc w:val="center"/>
        <w:rPr>
          <w:rFonts w:hint="eastAsia" w:ascii="宋体" w:hAnsi="宋体" w:eastAsia="宋体" w:cs="宋体"/>
          <w:sz w:val="30"/>
          <w:highlight w:val="none"/>
        </w:rPr>
      </w:pPr>
    </w:p>
    <w:p w14:paraId="704EC2C4">
      <w:pPr>
        <w:pStyle w:val="28"/>
        <w:tabs>
          <w:tab w:val="right" w:leader="dot" w:pos="9528"/>
        </w:tabs>
        <w:spacing w:line="1200" w:lineRule="exact"/>
        <w:ind w:left="547" w:firstLine="720"/>
        <w:rPr>
          <w:rFonts w:hint="eastAsia" w:ascii="宋体" w:hAnsi="宋体" w:eastAsia="宋体" w:cs="宋体"/>
          <w:sz w:val="32"/>
          <w:szCs w:val="32"/>
          <w:highlight w:val="none"/>
        </w:rPr>
      </w:pPr>
      <w:r>
        <w:rPr>
          <w:rFonts w:hint="eastAsia" w:ascii="宋体" w:hAnsi="宋体" w:eastAsia="宋体" w:cs="宋体"/>
          <w:b/>
          <w:bCs/>
          <w:sz w:val="36"/>
          <w:szCs w:val="36"/>
          <w:highlight w:val="none"/>
        </w:rPr>
        <w:fldChar w:fldCharType="begin"/>
      </w:r>
      <w:r>
        <w:rPr>
          <w:rFonts w:hint="eastAsia" w:ascii="宋体" w:hAnsi="宋体" w:eastAsia="宋体" w:cs="宋体"/>
          <w:b/>
          <w:bCs/>
          <w:sz w:val="36"/>
          <w:szCs w:val="36"/>
          <w:highlight w:val="none"/>
        </w:rPr>
        <w:instrText xml:space="preserve"> TOC \o "1-1" </w:instrText>
      </w:r>
      <w:r>
        <w:rPr>
          <w:rFonts w:hint="eastAsia" w:ascii="宋体" w:hAnsi="宋体" w:eastAsia="宋体" w:cs="宋体"/>
          <w:b/>
          <w:bCs/>
          <w:sz w:val="36"/>
          <w:szCs w:val="36"/>
          <w:highlight w:val="none"/>
        </w:rPr>
        <w:fldChar w:fldCharType="separate"/>
      </w:r>
      <w:r>
        <w:rPr>
          <w:rFonts w:hint="eastAsia" w:ascii="宋体" w:hAnsi="宋体" w:eastAsia="宋体" w:cs="宋体"/>
          <w:sz w:val="32"/>
          <w:szCs w:val="32"/>
          <w:highlight w:val="none"/>
        </w:rPr>
        <w:t>第一章 磋商邀请</w:t>
      </w:r>
    </w:p>
    <w:p w14:paraId="1892D49D">
      <w:pPr>
        <w:pStyle w:val="28"/>
        <w:tabs>
          <w:tab w:val="right" w:leader="dot" w:pos="9528"/>
        </w:tabs>
        <w:spacing w:line="1200" w:lineRule="exact"/>
        <w:ind w:left="547" w:firstLine="643"/>
        <w:rPr>
          <w:rFonts w:hint="eastAsia" w:ascii="宋体" w:hAnsi="宋体" w:eastAsia="宋体" w:cs="宋体"/>
          <w:sz w:val="32"/>
          <w:szCs w:val="32"/>
          <w:highlight w:val="none"/>
        </w:rPr>
      </w:pPr>
      <w:r>
        <w:rPr>
          <w:rFonts w:hint="eastAsia" w:ascii="宋体" w:hAnsi="宋体" w:eastAsia="宋体" w:cs="宋体"/>
          <w:sz w:val="32"/>
          <w:szCs w:val="32"/>
          <w:highlight w:val="none"/>
        </w:rPr>
        <w:t>第二章 供应商须知</w:t>
      </w:r>
    </w:p>
    <w:p w14:paraId="53F344CE">
      <w:pPr>
        <w:pStyle w:val="28"/>
        <w:tabs>
          <w:tab w:val="right" w:leader="dot" w:pos="9528"/>
        </w:tabs>
        <w:spacing w:line="1200" w:lineRule="exact"/>
        <w:ind w:left="547" w:firstLine="643"/>
        <w:rPr>
          <w:rFonts w:hint="eastAsia" w:ascii="宋体" w:hAnsi="宋体" w:eastAsia="宋体" w:cs="宋体"/>
          <w:sz w:val="32"/>
          <w:szCs w:val="32"/>
          <w:highlight w:val="none"/>
        </w:rPr>
      </w:pPr>
      <w:r>
        <w:rPr>
          <w:rFonts w:hint="eastAsia" w:ascii="宋体" w:hAnsi="宋体" w:eastAsia="宋体" w:cs="宋体"/>
          <w:sz w:val="32"/>
          <w:szCs w:val="32"/>
          <w:highlight w:val="none"/>
        </w:rPr>
        <w:t>第三章 项目需求</w:t>
      </w:r>
    </w:p>
    <w:p w14:paraId="36A36E66">
      <w:pPr>
        <w:pStyle w:val="28"/>
        <w:tabs>
          <w:tab w:val="right" w:leader="dot" w:pos="9528"/>
        </w:tabs>
        <w:spacing w:line="1200" w:lineRule="exact"/>
        <w:ind w:left="547" w:firstLine="643"/>
        <w:rPr>
          <w:rFonts w:hint="eastAsia" w:ascii="宋体" w:hAnsi="宋体" w:eastAsia="宋体" w:cs="宋体"/>
          <w:sz w:val="32"/>
          <w:szCs w:val="32"/>
          <w:highlight w:val="none"/>
        </w:rPr>
      </w:pPr>
      <w:r>
        <w:rPr>
          <w:rFonts w:hint="eastAsia" w:ascii="宋体" w:hAnsi="宋体" w:eastAsia="宋体" w:cs="宋体"/>
          <w:sz w:val="32"/>
          <w:szCs w:val="32"/>
          <w:highlight w:val="none"/>
        </w:rPr>
        <w:t>第四章 评审方法和程序</w:t>
      </w:r>
    </w:p>
    <w:p w14:paraId="36CF178C">
      <w:pPr>
        <w:spacing w:line="1200" w:lineRule="exact"/>
        <w:ind w:left="547" w:firstLine="643"/>
        <w:rPr>
          <w:rFonts w:hint="eastAsia" w:ascii="宋体" w:hAnsi="宋体" w:cs="宋体"/>
          <w:b/>
          <w:bCs/>
          <w:sz w:val="36"/>
          <w:szCs w:val="36"/>
          <w:highlight w:val="none"/>
        </w:rPr>
      </w:pPr>
      <w:r>
        <w:rPr>
          <w:rFonts w:hint="eastAsia" w:ascii="宋体" w:hAnsi="宋体" w:cs="宋体"/>
          <w:sz w:val="32"/>
          <w:szCs w:val="32"/>
          <w:highlight w:val="none"/>
        </w:rPr>
        <w:t>第五章 响应文件组成</w:t>
      </w:r>
      <w:r>
        <w:rPr>
          <w:rFonts w:hint="eastAsia" w:ascii="宋体" w:hAnsi="宋体" w:cs="宋体"/>
          <w:b/>
          <w:bCs/>
          <w:sz w:val="36"/>
          <w:szCs w:val="36"/>
          <w:highlight w:val="none"/>
        </w:rPr>
        <w:fldChar w:fldCharType="end"/>
      </w:r>
    </w:p>
    <w:p w14:paraId="41C71D31">
      <w:pPr>
        <w:ind w:left="547" w:firstLine="720"/>
        <w:rPr>
          <w:rFonts w:hint="eastAsia" w:ascii="宋体" w:hAnsi="宋体" w:cs="宋体"/>
          <w:b/>
          <w:bCs/>
          <w:sz w:val="36"/>
          <w:szCs w:val="36"/>
          <w:highlight w:val="none"/>
        </w:rPr>
      </w:pPr>
    </w:p>
    <w:p w14:paraId="0EB7B7A5">
      <w:pPr>
        <w:ind w:left="547" w:firstLine="720"/>
        <w:rPr>
          <w:rFonts w:hint="eastAsia" w:ascii="宋体" w:hAnsi="宋体" w:cs="宋体"/>
          <w:b/>
          <w:bCs/>
          <w:sz w:val="36"/>
          <w:szCs w:val="36"/>
          <w:highlight w:val="none"/>
        </w:rPr>
      </w:pPr>
    </w:p>
    <w:p w14:paraId="390CFC6C">
      <w:pPr>
        <w:ind w:left="547" w:firstLine="720"/>
        <w:rPr>
          <w:rFonts w:hint="eastAsia" w:ascii="宋体" w:hAnsi="宋体" w:cs="宋体"/>
          <w:b/>
          <w:bCs/>
          <w:sz w:val="36"/>
          <w:szCs w:val="36"/>
          <w:highlight w:val="none"/>
        </w:rPr>
      </w:pPr>
    </w:p>
    <w:p w14:paraId="423CA003">
      <w:pPr>
        <w:spacing w:line="360" w:lineRule="auto"/>
        <w:ind w:firstLine="420"/>
        <w:rPr>
          <w:rFonts w:hint="eastAsia" w:ascii="宋体" w:hAnsi="宋体" w:cs="宋体"/>
          <w:b/>
          <w:sz w:val="22"/>
          <w:szCs w:val="22"/>
          <w:highlight w:val="none"/>
        </w:rPr>
      </w:pPr>
      <w:r>
        <w:rPr>
          <w:rFonts w:hint="eastAsia" w:ascii="宋体" w:hAnsi="宋体" w:cs="宋体"/>
          <w:szCs w:val="44"/>
          <w:highlight w:val="none"/>
        </w:rPr>
        <w:br w:type="page" w:clear="all"/>
      </w:r>
      <w:r>
        <w:rPr>
          <w:rFonts w:hint="eastAsia" w:ascii="宋体" w:hAnsi="宋体" w:cs="宋体"/>
          <w:b/>
          <w:sz w:val="22"/>
          <w:szCs w:val="22"/>
          <w:highlight w:val="none"/>
        </w:rPr>
        <w:t>尊敬的供应商：</w:t>
      </w:r>
    </w:p>
    <w:p w14:paraId="2AD378B2">
      <w:pPr>
        <w:pStyle w:val="88"/>
        <w:keepNext w:val="0"/>
        <w:keepLines w:val="0"/>
        <w:spacing w:before="0" w:after="0" w:line="360" w:lineRule="auto"/>
        <w:ind w:firstLine="442"/>
        <w:jc w:val="left"/>
        <w:rPr>
          <w:rFonts w:hint="eastAsia" w:ascii="宋体" w:hAnsi="宋体" w:eastAsia="宋体" w:cs="宋体"/>
          <w:szCs w:val="44"/>
          <w:highlight w:val="none"/>
        </w:rPr>
      </w:pPr>
      <w:r>
        <w:rPr>
          <w:rFonts w:hint="eastAsia" w:ascii="宋体" w:hAnsi="宋体" w:eastAsia="宋体" w:cs="宋体"/>
          <w:sz w:val="22"/>
          <w:szCs w:val="22"/>
          <w:highlight w:val="none"/>
        </w:rPr>
        <w:t>欢迎参加本采购项目的竞争性磋商。为了保证本次磋商项目顺利进行，请在制作响应文件之前，仔细阅读本竞争性磋商文件的各项条款，并按要求制作和递交响应文件。谢谢合作！</w:t>
      </w:r>
    </w:p>
    <w:p w14:paraId="0DCA03D5">
      <w:pPr>
        <w:pStyle w:val="88"/>
        <w:keepNext w:val="0"/>
        <w:keepLines w:val="0"/>
        <w:spacing w:before="0" w:after="0" w:line="800" w:lineRule="exact"/>
        <w:ind w:left="547" w:firstLine="883"/>
        <w:jc w:val="center"/>
        <w:rPr>
          <w:rFonts w:hint="eastAsia" w:ascii="宋体" w:hAnsi="宋体" w:eastAsia="宋体" w:cs="宋体"/>
          <w:szCs w:val="44"/>
          <w:highlight w:val="none"/>
        </w:rPr>
      </w:pPr>
      <w:r>
        <w:rPr>
          <w:rFonts w:hint="eastAsia" w:ascii="宋体" w:hAnsi="宋体" w:eastAsia="宋体" w:cs="宋体"/>
          <w:szCs w:val="44"/>
          <w:highlight w:val="none"/>
        </w:rPr>
        <w:t>第一章  磋商邀请</w:t>
      </w:r>
    </w:p>
    <w:p w14:paraId="1A01BA94">
      <w:pPr>
        <w:ind w:left="547" w:firstLine="482"/>
        <w:rPr>
          <w:rFonts w:hint="eastAsia" w:ascii="宋体" w:hAnsi="宋体" w:cs="宋体"/>
          <w:highlight w:val="none"/>
        </w:rPr>
      </w:pPr>
    </w:p>
    <w:p w14:paraId="4F5F7C15">
      <w:pPr>
        <w:pBdr>
          <w:top w:val="single" w:color="auto" w:sz="4" w:space="1"/>
          <w:left w:val="single" w:color="auto" w:sz="4" w:space="4"/>
          <w:bottom w:val="single" w:color="auto" w:sz="4" w:space="1"/>
          <w:right w:val="single" w:color="auto" w:sz="4" w:space="4"/>
        </w:pBdr>
        <w:spacing w:line="460" w:lineRule="exact"/>
        <w:ind w:left="547" w:firstLine="482"/>
        <w:jc w:val="left"/>
        <w:rPr>
          <w:rFonts w:hint="eastAsia" w:ascii="宋体" w:hAnsi="宋体" w:cs="宋体"/>
          <w:sz w:val="24"/>
          <w:szCs w:val="24"/>
          <w:highlight w:val="none"/>
        </w:rPr>
      </w:pPr>
      <w:r>
        <w:rPr>
          <w:rFonts w:hint="eastAsia" w:ascii="宋体" w:hAnsi="宋体" w:cs="宋体"/>
          <w:sz w:val="24"/>
          <w:szCs w:val="24"/>
          <w:highlight w:val="none"/>
        </w:rPr>
        <w:t>项目概况</w:t>
      </w:r>
    </w:p>
    <w:p w14:paraId="1D2813F0">
      <w:pPr>
        <w:pBdr>
          <w:top w:val="single" w:color="auto" w:sz="4" w:space="1"/>
          <w:left w:val="single" w:color="auto" w:sz="4" w:space="4"/>
          <w:bottom w:val="single" w:color="auto" w:sz="4" w:space="1"/>
          <w:right w:val="single" w:color="auto" w:sz="4" w:space="4"/>
        </w:pBdr>
        <w:spacing w:line="460" w:lineRule="exact"/>
        <w:ind w:left="547" w:firstLine="482"/>
        <w:jc w:val="left"/>
        <w:rPr>
          <w:rFonts w:hint="eastAsia" w:ascii="宋体" w:hAnsi="宋体" w:cs="宋体"/>
          <w:sz w:val="24"/>
          <w:szCs w:val="24"/>
          <w:highlight w:val="none"/>
        </w:rPr>
      </w:pPr>
      <w:r>
        <w:rPr>
          <w:rFonts w:hint="eastAsia" w:ascii="宋体" w:hAnsi="宋体" w:cs="宋体"/>
          <w:sz w:val="24"/>
          <w:szCs w:val="24"/>
          <w:highlight w:val="none"/>
          <w:u w:val="single"/>
        </w:rPr>
        <w:t>2024年全国智慧图书馆体系建设江苏古籍数字化(南通市图书馆古籍数字化加工)</w:t>
      </w:r>
      <w:r>
        <w:rPr>
          <w:rFonts w:hint="eastAsia" w:ascii="宋体" w:hAnsi="宋体" w:cs="宋体"/>
          <w:sz w:val="24"/>
          <w:szCs w:val="24"/>
          <w:highlight w:val="none"/>
        </w:rPr>
        <w:t>的潜在供应商应在</w:t>
      </w:r>
      <w:r>
        <w:rPr>
          <w:rFonts w:hint="eastAsia" w:ascii="宋体" w:hAnsi="宋体" w:cs="宋体"/>
          <w:sz w:val="24"/>
          <w:szCs w:val="24"/>
          <w:highlight w:val="none"/>
          <w:u w:val="single"/>
        </w:rPr>
        <w:t>苏采云系统内免费下载磋商文件</w:t>
      </w:r>
      <w:r>
        <w:rPr>
          <w:rFonts w:hint="eastAsia" w:ascii="宋体" w:hAnsi="宋体" w:cs="宋体"/>
          <w:sz w:val="24"/>
          <w:szCs w:val="24"/>
          <w:highlight w:val="none"/>
        </w:rPr>
        <w:t>，并于</w:t>
      </w:r>
      <w:r>
        <w:rPr>
          <w:rFonts w:hint="eastAsia" w:ascii="宋体" w:hAnsi="宋体" w:cs="宋体"/>
          <w:sz w:val="24"/>
          <w:szCs w:val="24"/>
          <w:highlight w:val="none"/>
          <w:u w:val="single"/>
        </w:rPr>
        <w:t>202</w:t>
      </w:r>
      <w:r>
        <w:rPr>
          <w:rFonts w:hint="eastAsia" w:ascii="宋体" w:hAnsi="宋体" w:cs="宋体"/>
          <w:sz w:val="24"/>
          <w:szCs w:val="24"/>
          <w:highlight w:val="none"/>
          <w:u w:val="single"/>
          <w:lang w:val="en-US" w:eastAsia="zh-CN"/>
        </w:rPr>
        <w:t>5</w:t>
      </w:r>
      <w:r>
        <w:rPr>
          <w:rFonts w:hint="eastAsia" w:ascii="宋体" w:hAnsi="宋体" w:cs="宋体"/>
          <w:sz w:val="24"/>
          <w:szCs w:val="24"/>
          <w:highlight w:val="none"/>
          <w:u w:val="single"/>
        </w:rPr>
        <w:t>年</w:t>
      </w:r>
      <w:r>
        <w:rPr>
          <w:rFonts w:hint="eastAsia" w:ascii="宋体" w:hAnsi="宋体" w:cs="宋体"/>
          <w:sz w:val="24"/>
          <w:szCs w:val="24"/>
          <w:highlight w:val="none"/>
          <w:u w:val="single"/>
          <w:lang w:val="en-US" w:eastAsia="zh-CN"/>
        </w:rPr>
        <w:t>1</w:t>
      </w:r>
      <w:r>
        <w:rPr>
          <w:rFonts w:hint="eastAsia" w:ascii="宋体" w:hAnsi="宋体" w:cs="宋体"/>
          <w:sz w:val="24"/>
          <w:szCs w:val="24"/>
          <w:highlight w:val="none"/>
          <w:u w:val="single"/>
        </w:rPr>
        <w:t>月</w:t>
      </w:r>
      <w:r>
        <w:rPr>
          <w:rFonts w:hint="eastAsia" w:ascii="宋体" w:hAnsi="宋体" w:cs="宋体"/>
          <w:sz w:val="24"/>
          <w:szCs w:val="24"/>
          <w:highlight w:val="none"/>
          <w:u w:val="single"/>
          <w:lang w:val="en-US" w:eastAsia="zh-CN"/>
        </w:rPr>
        <w:t>6</w:t>
      </w:r>
      <w:r>
        <w:rPr>
          <w:rFonts w:hint="eastAsia" w:ascii="宋体" w:hAnsi="宋体" w:cs="宋体"/>
          <w:sz w:val="24"/>
          <w:szCs w:val="24"/>
          <w:highlight w:val="none"/>
          <w:u w:val="single"/>
        </w:rPr>
        <w:t>日09时30分</w:t>
      </w:r>
      <w:r>
        <w:rPr>
          <w:rFonts w:hint="eastAsia" w:ascii="宋体" w:hAnsi="宋体" w:cs="宋体"/>
          <w:bCs/>
          <w:sz w:val="24"/>
          <w:szCs w:val="24"/>
          <w:highlight w:val="none"/>
        </w:rPr>
        <w:t>（北京时间）前提交响应文件</w:t>
      </w:r>
      <w:r>
        <w:rPr>
          <w:rFonts w:hint="eastAsia" w:ascii="宋体" w:hAnsi="宋体" w:cs="宋体"/>
          <w:sz w:val="24"/>
          <w:szCs w:val="24"/>
          <w:highlight w:val="none"/>
        </w:rPr>
        <w:t>。</w:t>
      </w:r>
    </w:p>
    <w:p w14:paraId="25919DA7">
      <w:pPr>
        <w:ind w:left="547" w:firstLine="482"/>
        <w:jc w:val="left"/>
        <w:rPr>
          <w:rFonts w:hint="eastAsia" w:ascii="宋体" w:hAnsi="宋体" w:cs="宋体"/>
          <w:highlight w:val="none"/>
        </w:rPr>
      </w:pPr>
    </w:p>
    <w:p w14:paraId="5E59E3BC">
      <w:pPr>
        <w:spacing w:line="440" w:lineRule="exact"/>
        <w:ind w:firstLine="480"/>
        <w:jc w:val="left"/>
        <w:rPr>
          <w:rFonts w:hint="eastAsia" w:cs="宋体" w:asciiTheme="minorEastAsia" w:hAnsiTheme="minorEastAsia" w:eastAsiaTheme="minorEastAsia"/>
          <w:sz w:val="24"/>
          <w:szCs w:val="24"/>
          <w:highlight w:val="none"/>
        </w:rPr>
      </w:pPr>
      <w:bookmarkStart w:id="0" w:name="_Hlk176532966"/>
      <w:r>
        <w:rPr>
          <w:rFonts w:hint="eastAsia" w:cs="宋体" w:asciiTheme="minorEastAsia" w:hAnsiTheme="minorEastAsia" w:eastAsiaTheme="minorEastAsia"/>
          <w:sz w:val="24"/>
          <w:szCs w:val="24"/>
          <w:highlight w:val="none"/>
        </w:rPr>
        <w:t>南通通城建设工程项目管理有限公司（以下简称代理机构）受南通市图书馆（以下简称采购单位）的委托，对2024年全国智慧图书馆体系建设江苏古籍数字化(南通市图书馆古籍数字化加工)采用竞争性磋商采购，诚邀符合条件的供应商参加该项目的竞争性磋商。</w:t>
      </w:r>
      <w:bookmarkStart w:id="1" w:name="_Toc35393798"/>
      <w:bookmarkStart w:id="2" w:name="_Toc28359012"/>
      <w:bookmarkStart w:id="3" w:name="_Toc35393629"/>
      <w:bookmarkStart w:id="4" w:name="_Toc28359089"/>
    </w:p>
    <w:p w14:paraId="39829BDB">
      <w:pPr>
        <w:spacing w:line="440" w:lineRule="exact"/>
        <w:ind w:firstLine="482"/>
        <w:jc w:val="left"/>
        <w:rPr>
          <w:rFonts w:hint="eastAsia" w:cs="宋体" w:asciiTheme="minorEastAsia" w:hAnsiTheme="minorEastAsia" w:eastAsiaTheme="minorEastAsia"/>
          <w:b/>
          <w:sz w:val="24"/>
          <w:szCs w:val="24"/>
          <w:highlight w:val="none"/>
        </w:rPr>
      </w:pPr>
      <w:r>
        <w:rPr>
          <w:rFonts w:hint="eastAsia" w:cs="宋体" w:asciiTheme="minorEastAsia" w:hAnsiTheme="minorEastAsia" w:eastAsiaTheme="minorEastAsia"/>
          <w:b/>
          <w:sz w:val="24"/>
          <w:szCs w:val="24"/>
          <w:highlight w:val="none"/>
        </w:rPr>
        <w:t>一、项目基本情况</w:t>
      </w:r>
      <w:bookmarkEnd w:id="1"/>
      <w:bookmarkEnd w:id="2"/>
      <w:bookmarkEnd w:id="3"/>
      <w:bookmarkEnd w:id="4"/>
    </w:p>
    <w:p w14:paraId="62A2045C">
      <w:pPr>
        <w:pStyle w:val="250"/>
        <w:spacing w:line="440" w:lineRule="exact"/>
        <w:ind w:firstLine="48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1.项目编号：JSZC-320600-TCZJ-C2024-0037 </w:t>
      </w:r>
    </w:p>
    <w:p w14:paraId="7C8E3B86">
      <w:pPr>
        <w:pStyle w:val="250"/>
        <w:spacing w:line="440" w:lineRule="exact"/>
        <w:ind w:firstLine="48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2.项目名称：2024年全国智慧图书馆体系建设江苏古籍数字化(南通市图书馆古籍数字化加工)</w:t>
      </w:r>
    </w:p>
    <w:p w14:paraId="778E786A">
      <w:pPr>
        <w:pStyle w:val="250"/>
        <w:spacing w:line="440" w:lineRule="exact"/>
        <w:ind w:firstLine="48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3.项目类型：服务</w:t>
      </w:r>
    </w:p>
    <w:p w14:paraId="2FAE7AB6">
      <w:pPr>
        <w:pStyle w:val="250"/>
        <w:spacing w:line="440" w:lineRule="exact"/>
        <w:ind w:firstLine="48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4.所属行业：租赁和商务服务业</w:t>
      </w:r>
    </w:p>
    <w:p w14:paraId="53A669DD">
      <w:pPr>
        <w:pStyle w:val="250"/>
        <w:spacing w:line="440" w:lineRule="exact"/>
        <w:ind w:firstLine="480"/>
        <w:rPr>
          <w:rFonts w:hint="eastAsia" w:asciiTheme="minorEastAsia" w:hAnsiTheme="minorEastAsia" w:eastAsiaTheme="minorEastAsia"/>
          <w:sz w:val="24"/>
          <w:highlight w:val="none"/>
          <w:u w:val="double"/>
        </w:rPr>
      </w:pPr>
      <w:r>
        <w:rPr>
          <w:rFonts w:hint="eastAsia" w:asciiTheme="minorEastAsia" w:hAnsiTheme="minorEastAsia" w:eastAsiaTheme="minorEastAsia"/>
          <w:sz w:val="24"/>
          <w:highlight w:val="none"/>
          <w:u w:val="double"/>
        </w:rPr>
        <w:t>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23823A5">
      <w:pPr>
        <w:pStyle w:val="250"/>
        <w:spacing w:line="440" w:lineRule="exact"/>
        <w:ind w:firstLine="48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5.预算金额：150万元；</w:t>
      </w:r>
    </w:p>
    <w:p w14:paraId="2EBC3B0C">
      <w:pPr>
        <w:pStyle w:val="250"/>
        <w:spacing w:line="440" w:lineRule="exact"/>
        <w:ind w:firstLine="48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6.最高限价：150万元；</w:t>
      </w:r>
    </w:p>
    <w:p w14:paraId="0632077E">
      <w:pPr>
        <w:pStyle w:val="250"/>
        <w:spacing w:line="440" w:lineRule="exact"/>
        <w:ind w:firstLine="48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7.采购需求：详见采购文件第三章，请仔细研究；</w:t>
      </w:r>
    </w:p>
    <w:p w14:paraId="48560EDE">
      <w:pPr>
        <w:pStyle w:val="250"/>
        <w:spacing w:line="440" w:lineRule="exact"/>
        <w:ind w:firstLine="48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8.合同履行期限：合同签订后120日历天内完成加工任务；</w:t>
      </w:r>
    </w:p>
    <w:p w14:paraId="288526ED">
      <w:pPr>
        <w:pStyle w:val="250"/>
        <w:spacing w:line="440" w:lineRule="exact"/>
        <w:ind w:firstLine="48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9.本项目不接受联合体参与磋商；</w:t>
      </w:r>
    </w:p>
    <w:p w14:paraId="1733287E">
      <w:pPr>
        <w:pStyle w:val="250"/>
        <w:spacing w:line="440" w:lineRule="exact"/>
        <w:ind w:firstLine="48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10.本项目不接受分包</w:t>
      </w:r>
      <w:bookmarkStart w:id="5" w:name="_Toc35393630"/>
      <w:bookmarkStart w:id="6" w:name="_Toc28359090"/>
      <w:bookmarkStart w:id="7" w:name="_Toc35393799"/>
      <w:bookmarkStart w:id="8" w:name="_Toc28359013"/>
      <w:r>
        <w:rPr>
          <w:rFonts w:hint="eastAsia" w:asciiTheme="minorEastAsia" w:hAnsiTheme="minorEastAsia" w:eastAsiaTheme="minorEastAsia"/>
          <w:sz w:val="24"/>
          <w:highlight w:val="none"/>
        </w:rPr>
        <w:t>；</w:t>
      </w:r>
    </w:p>
    <w:p w14:paraId="20A52DD0">
      <w:pPr>
        <w:spacing w:line="440" w:lineRule="exact"/>
        <w:ind w:firstLine="482"/>
        <w:jc w:val="left"/>
        <w:rPr>
          <w:rFonts w:hint="eastAsia" w:cs="宋体" w:asciiTheme="minorEastAsia" w:hAnsiTheme="minorEastAsia" w:eastAsiaTheme="minorEastAsia"/>
          <w:b/>
          <w:sz w:val="24"/>
          <w:szCs w:val="24"/>
          <w:highlight w:val="none"/>
        </w:rPr>
      </w:pPr>
      <w:r>
        <w:rPr>
          <w:rFonts w:hint="eastAsia" w:cs="宋体" w:asciiTheme="minorEastAsia" w:hAnsiTheme="minorEastAsia" w:eastAsiaTheme="minorEastAsia"/>
          <w:b/>
          <w:sz w:val="24"/>
          <w:szCs w:val="24"/>
          <w:highlight w:val="none"/>
        </w:rPr>
        <w:t>二、</w:t>
      </w:r>
      <w:bookmarkEnd w:id="5"/>
      <w:bookmarkEnd w:id="6"/>
      <w:bookmarkEnd w:id="7"/>
      <w:bookmarkEnd w:id="8"/>
      <w:r>
        <w:rPr>
          <w:rFonts w:hint="eastAsia" w:cs="宋体" w:asciiTheme="minorEastAsia" w:hAnsiTheme="minorEastAsia" w:eastAsiaTheme="minorEastAsia"/>
          <w:b/>
          <w:sz w:val="24"/>
          <w:szCs w:val="24"/>
          <w:highlight w:val="none"/>
        </w:rPr>
        <w:t>申请人的资格要求</w:t>
      </w:r>
    </w:p>
    <w:p w14:paraId="7BDB3556">
      <w:pPr>
        <w:spacing w:line="440" w:lineRule="exact"/>
        <w:ind w:firstLine="480"/>
        <w:jc w:val="left"/>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1.满足《中华人民共和国政府采购法》第二十二条规定。</w:t>
      </w:r>
    </w:p>
    <w:p w14:paraId="239A2DF6">
      <w:pPr>
        <w:spacing w:line="440" w:lineRule="exact"/>
        <w:ind w:firstLine="480"/>
        <w:jc w:val="left"/>
        <w:rPr>
          <w:rFonts w:hint="eastAsia" w:cs="宋体" w:asciiTheme="minorEastAsia" w:hAnsiTheme="minorEastAsia" w:eastAsiaTheme="minorEastAsia"/>
          <w:sz w:val="24"/>
          <w:szCs w:val="24"/>
          <w:highlight w:val="none"/>
          <w:u w:val="single"/>
        </w:rPr>
      </w:pPr>
      <w:r>
        <w:rPr>
          <w:rFonts w:hint="eastAsia" w:cs="宋体" w:asciiTheme="minorEastAsia" w:hAnsiTheme="minorEastAsia" w:eastAsiaTheme="minorEastAsia"/>
          <w:sz w:val="24"/>
          <w:szCs w:val="24"/>
          <w:highlight w:val="none"/>
        </w:rPr>
        <w:t>2.落实政府采购政策需满足的资格要求：</w:t>
      </w:r>
      <w:r>
        <w:rPr>
          <w:rFonts w:hint="eastAsia" w:cs="宋体" w:asciiTheme="minorEastAsia" w:hAnsiTheme="minorEastAsia" w:eastAsiaTheme="minorEastAsia"/>
          <w:sz w:val="24"/>
          <w:szCs w:val="24"/>
          <w:highlight w:val="none"/>
          <w:u w:val="single"/>
        </w:rPr>
        <w:t>本项目属于专门面向中小企业采购的项目,供应商应为中小微企业、监狱企业或残疾人福利性单位，并按照采购文件要求提供《中小企业声明函》或《残疾人福利性单位声明函》或监狱和戒毒企业证明材料；</w:t>
      </w:r>
    </w:p>
    <w:p w14:paraId="6CE20ACF">
      <w:pPr>
        <w:spacing w:line="440" w:lineRule="exact"/>
        <w:ind w:firstLine="480"/>
        <w:jc w:val="left"/>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3.本项目的特定资格要求：无</w:t>
      </w:r>
      <w:r>
        <w:rPr>
          <w:rFonts w:hint="eastAsia" w:asciiTheme="minorEastAsia" w:hAnsiTheme="minorEastAsia" w:eastAsiaTheme="minorEastAsia"/>
          <w:bCs/>
          <w:color w:val="000000"/>
          <w:sz w:val="24"/>
          <w:szCs w:val="24"/>
          <w:highlight w:val="none"/>
        </w:rPr>
        <w:t>。</w:t>
      </w:r>
    </w:p>
    <w:p w14:paraId="36C59C3D">
      <w:pPr>
        <w:spacing w:line="440" w:lineRule="exact"/>
        <w:ind w:firstLine="480"/>
        <w:jc w:val="left"/>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4.未被“信用中国”网站（www.creditchina.gov.cn）列入失信被执行人、重大税收违法失信主体名单、政府采购严重违法失信行为记录名单、经营异常名录；</w:t>
      </w:r>
    </w:p>
    <w:p w14:paraId="56079F82">
      <w:pPr>
        <w:spacing w:line="440" w:lineRule="exact"/>
        <w:ind w:firstLine="480"/>
        <w:jc w:val="left"/>
        <w:rPr>
          <w:rFonts w:hint="eastAsia" w:cs="宋体" w:asciiTheme="minorEastAsia" w:hAnsiTheme="minorEastAsia" w:eastAsiaTheme="minorEastAsia"/>
          <w:sz w:val="24"/>
          <w:szCs w:val="24"/>
          <w:highlight w:val="none"/>
          <w:lang w:val="zh-CN"/>
        </w:rPr>
      </w:pPr>
      <w:r>
        <w:rPr>
          <w:rFonts w:hint="eastAsia" w:cs="宋体" w:asciiTheme="minorEastAsia" w:hAnsiTheme="minorEastAsia" w:eastAsiaTheme="minorEastAsia"/>
          <w:sz w:val="24"/>
          <w:szCs w:val="24"/>
          <w:highlight w:val="none"/>
        </w:rPr>
        <w:t>5.供应商单位负责人为同一人或者存在直接控股、管理关系的不同供应商，不得同时参加同一合同项下的政府采购活动。</w:t>
      </w:r>
    </w:p>
    <w:p w14:paraId="7D7F25C6">
      <w:pPr>
        <w:spacing w:line="440" w:lineRule="exact"/>
        <w:ind w:firstLine="482"/>
        <w:jc w:val="left"/>
        <w:rPr>
          <w:rFonts w:hint="eastAsia" w:cs="宋体" w:asciiTheme="minorEastAsia" w:hAnsiTheme="minorEastAsia" w:eastAsiaTheme="minorEastAsia"/>
          <w:b/>
          <w:sz w:val="24"/>
          <w:szCs w:val="24"/>
          <w:highlight w:val="none"/>
        </w:rPr>
      </w:pPr>
      <w:bookmarkStart w:id="9" w:name="_Toc35393801"/>
      <w:bookmarkStart w:id="10" w:name="_Toc28359015"/>
      <w:bookmarkStart w:id="11" w:name="_Toc28359092"/>
      <w:bookmarkStart w:id="12" w:name="_Toc35393632"/>
      <w:r>
        <w:rPr>
          <w:rFonts w:hint="eastAsia" w:cs="宋体" w:asciiTheme="minorEastAsia" w:hAnsiTheme="minorEastAsia" w:eastAsiaTheme="minorEastAsia"/>
          <w:b/>
          <w:sz w:val="24"/>
          <w:szCs w:val="24"/>
          <w:highlight w:val="none"/>
        </w:rPr>
        <w:t>三、获取采购文件</w:t>
      </w:r>
    </w:p>
    <w:p w14:paraId="11D91E2F">
      <w:pPr>
        <w:widowControl/>
        <w:spacing w:line="440" w:lineRule="exact"/>
        <w:ind w:firstLine="480"/>
        <w:jc w:val="left"/>
        <w:rPr>
          <w:rStyle w:val="252"/>
          <w:rFonts w:hint="eastAsia" w:cs="宋体" w:asciiTheme="minorEastAsia" w:hAnsiTheme="minorEastAsia" w:eastAsiaTheme="minorEastAsia"/>
          <w:bCs/>
          <w:sz w:val="24"/>
          <w:szCs w:val="24"/>
          <w:highlight w:val="none"/>
        </w:rPr>
      </w:pPr>
      <w:r>
        <w:rPr>
          <w:rStyle w:val="252"/>
          <w:rFonts w:hint="eastAsia" w:cs="宋体" w:asciiTheme="minorEastAsia" w:hAnsiTheme="minorEastAsia" w:eastAsiaTheme="minorEastAsia"/>
          <w:bCs/>
          <w:sz w:val="24"/>
          <w:szCs w:val="24"/>
          <w:highlight w:val="none"/>
        </w:rPr>
        <w:t>1.时间：自公告发布之日起至202</w:t>
      </w:r>
      <w:r>
        <w:rPr>
          <w:rStyle w:val="252"/>
          <w:rFonts w:hint="eastAsia" w:cs="宋体" w:asciiTheme="minorEastAsia" w:hAnsiTheme="minorEastAsia" w:eastAsiaTheme="minorEastAsia"/>
          <w:bCs/>
          <w:sz w:val="24"/>
          <w:szCs w:val="24"/>
          <w:highlight w:val="none"/>
          <w:lang w:val="en-US" w:eastAsia="zh-CN"/>
        </w:rPr>
        <w:t>5</w:t>
      </w:r>
      <w:r>
        <w:rPr>
          <w:rStyle w:val="252"/>
          <w:rFonts w:hint="eastAsia" w:cs="宋体" w:asciiTheme="minorEastAsia" w:hAnsiTheme="minorEastAsia" w:eastAsiaTheme="minorEastAsia"/>
          <w:bCs/>
          <w:sz w:val="24"/>
          <w:szCs w:val="24"/>
          <w:highlight w:val="none"/>
        </w:rPr>
        <w:t>年</w:t>
      </w:r>
      <w:r>
        <w:rPr>
          <w:rStyle w:val="252"/>
          <w:rFonts w:hint="eastAsia" w:cs="宋体" w:asciiTheme="minorEastAsia" w:hAnsiTheme="minorEastAsia" w:eastAsiaTheme="minorEastAsia"/>
          <w:bCs/>
          <w:sz w:val="24"/>
          <w:szCs w:val="24"/>
          <w:highlight w:val="none"/>
          <w:lang w:val="en-US" w:eastAsia="zh-CN"/>
        </w:rPr>
        <w:t>1</w:t>
      </w:r>
      <w:r>
        <w:rPr>
          <w:rStyle w:val="252"/>
          <w:rFonts w:hint="eastAsia" w:cs="宋体" w:asciiTheme="minorEastAsia" w:hAnsiTheme="minorEastAsia" w:eastAsiaTheme="minorEastAsia"/>
          <w:bCs/>
          <w:sz w:val="24"/>
          <w:szCs w:val="24"/>
          <w:highlight w:val="none"/>
        </w:rPr>
        <w:t>月</w:t>
      </w:r>
      <w:r>
        <w:rPr>
          <w:rStyle w:val="252"/>
          <w:rFonts w:hint="eastAsia" w:cs="宋体" w:asciiTheme="minorEastAsia" w:hAnsiTheme="minorEastAsia" w:eastAsiaTheme="minorEastAsia"/>
          <w:bCs/>
          <w:sz w:val="24"/>
          <w:szCs w:val="24"/>
          <w:highlight w:val="none"/>
          <w:lang w:val="en-US" w:eastAsia="zh-CN"/>
        </w:rPr>
        <w:t>3</w:t>
      </w:r>
      <w:r>
        <w:rPr>
          <w:rStyle w:val="252"/>
          <w:rFonts w:hint="eastAsia" w:cs="宋体" w:asciiTheme="minorEastAsia" w:hAnsiTheme="minorEastAsia" w:eastAsiaTheme="minorEastAsia"/>
          <w:bCs/>
          <w:sz w:val="24"/>
          <w:szCs w:val="24"/>
          <w:highlight w:val="none"/>
        </w:rPr>
        <w:t>日09点30分（北京时间）</w:t>
      </w:r>
    </w:p>
    <w:p w14:paraId="5167B149">
      <w:pPr>
        <w:widowControl/>
        <w:spacing w:line="440" w:lineRule="exact"/>
        <w:ind w:firstLine="480"/>
        <w:jc w:val="left"/>
        <w:rPr>
          <w:rStyle w:val="252"/>
          <w:rFonts w:hint="eastAsia" w:cs="宋体" w:asciiTheme="minorEastAsia" w:hAnsiTheme="minorEastAsia" w:eastAsiaTheme="minorEastAsia"/>
          <w:bCs/>
          <w:sz w:val="24"/>
          <w:szCs w:val="24"/>
          <w:highlight w:val="none"/>
        </w:rPr>
      </w:pPr>
      <w:r>
        <w:rPr>
          <w:rStyle w:val="252"/>
          <w:rFonts w:hint="eastAsia" w:cs="宋体" w:asciiTheme="minorEastAsia" w:hAnsiTheme="minorEastAsia" w:eastAsiaTheme="minorEastAsia"/>
          <w:bCs/>
          <w:sz w:val="24"/>
          <w:szCs w:val="24"/>
          <w:highlight w:val="none"/>
        </w:rPr>
        <w:t>2.地点：网上注册登记成功后系统内免费下载</w:t>
      </w:r>
    </w:p>
    <w:p w14:paraId="120930EA">
      <w:pPr>
        <w:widowControl/>
        <w:spacing w:line="440" w:lineRule="exact"/>
        <w:ind w:firstLine="480"/>
        <w:jc w:val="left"/>
        <w:rPr>
          <w:rStyle w:val="252"/>
          <w:rFonts w:hint="eastAsia" w:cs="宋体" w:asciiTheme="minorEastAsia" w:hAnsiTheme="minorEastAsia" w:eastAsiaTheme="minorEastAsia"/>
          <w:bCs/>
          <w:sz w:val="24"/>
          <w:szCs w:val="24"/>
          <w:highlight w:val="none"/>
        </w:rPr>
      </w:pPr>
      <w:r>
        <w:rPr>
          <w:rStyle w:val="252"/>
          <w:rFonts w:hint="eastAsia" w:cs="宋体" w:asciiTheme="minorEastAsia" w:hAnsiTheme="minorEastAsia" w:eastAsiaTheme="minorEastAsia"/>
          <w:bCs/>
          <w:sz w:val="24"/>
          <w:szCs w:val="24"/>
          <w:highlight w:val="none"/>
        </w:rPr>
        <w:t>3.获取方式：本项目采用网上注册登记方式。</w:t>
      </w:r>
    </w:p>
    <w:p w14:paraId="05A629FF">
      <w:pPr>
        <w:widowControl/>
        <w:spacing w:line="440" w:lineRule="exact"/>
        <w:ind w:firstLine="480"/>
        <w:jc w:val="left"/>
        <w:rPr>
          <w:rStyle w:val="252"/>
          <w:rFonts w:hint="eastAsia" w:cs="宋体" w:asciiTheme="minorEastAsia" w:hAnsiTheme="minorEastAsia" w:eastAsiaTheme="minorEastAsia"/>
          <w:bCs/>
          <w:sz w:val="24"/>
          <w:szCs w:val="24"/>
          <w:highlight w:val="none"/>
        </w:rPr>
      </w:pPr>
      <w:r>
        <w:rPr>
          <w:rStyle w:val="252"/>
          <w:rFonts w:hint="eastAsia" w:cs="宋体" w:asciiTheme="minorEastAsia" w:hAnsiTheme="minorEastAsia" w:eastAsiaTheme="minorEastAsia"/>
          <w:bCs/>
          <w:sz w:val="24"/>
          <w:szCs w:val="24"/>
          <w:highlight w:val="none"/>
        </w:rPr>
        <w:t>3.1潜在供应商访问电子招标响应交易平台的网络地址和方法：</w:t>
      </w:r>
    </w:p>
    <w:p w14:paraId="52A5DCD3">
      <w:pPr>
        <w:widowControl/>
        <w:spacing w:line="440" w:lineRule="exact"/>
        <w:ind w:firstLine="480"/>
        <w:jc w:val="left"/>
        <w:rPr>
          <w:rStyle w:val="252"/>
          <w:rFonts w:hint="eastAsia" w:cs="宋体" w:asciiTheme="minorEastAsia" w:hAnsiTheme="minorEastAsia" w:eastAsiaTheme="minorEastAsia"/>
          <w:bCs/>
          <w:sz w:val="24"/>
          <w:szCs w:val="24"/>
          <w:highlight w:val="none"/>
        </w:rPr>
      </w:pPr>
      <w:r>
        <w:rPr>
          <w:rStyle w:val="252"/>
          <w:rFonts w:hint="eastAsia" w:cs="宋体" w:asciiTheme="minorEastAsia" w:hAnsiTheme="minorEastAsia" w:eastAsiaTheme="minorEastAsia"/>
          <w:bCs/>
          <w:sz w:val="24"/>
          <w:szCs w:val="24"/>
          <w:highlight w:val="none"/>
        </w:rPr>
        <w:t>“苏采云”系统用户注册--获取“CA数字证书”--CA绑定与登录--网上报名--下载采购文件（后缀名为“.kedt”）--将后缀名为“.kedt”的采购文件导入政府采购客户端工具--制作响应文件--导出加密的响应文件（后缀名为zip）--通过“苏采云”系统上传响应文件。具体见《江苏省政府采购管理交易系统（苏采云）供应商操作手册》。</w:t>
      </w:r>
    </w:p>
    <w:p w14:paraId="4015658A">
      <w:pPr>
        <w:widowControl/>
        <w:spacing w:line="440" w:lineRule="exact"/>
        <w:ind w:firstLine="480"/>
        <w:jc w:val="left"/>
        <w:rPr>
          <w:rStyle w:val="252"/>
          <w:rFonts w:hint="eastAsia" w:cs="宋体" w:asciiTheme="minorEastAsia" w:hAnsiTheme="minorEastAsia" w:eastAsiaTheme="minorEastAsia"/>
          <w:bCs/>
          <w:sz w:val="24"/>
          <w:szCs w:val="24"/>
          <w:highlight w:val="none"/>
          <w:lang w:eastAsia="en-US"/>
        </w:rPr>
      </w:pPr>
      <w:r>
        <w:rPr>
          <w:rStyle w:val="252"/>
          <w:rFonts w:hint="eastAsia" w:cs="宋体" w:asciiTheme="minorEastAsia" w:hAnsiTheme="minorEastAsia" w:eastAsiaTheme="minorEastAsia"/>
          <w:bCs/>
          <w:sz w:val="24"/>
          <w:szCs w:val="24"/>
          <w:highlight w:val="none"/>
          <w:lang w:eastAsia="en-US"/>
        </w:rPr>
        <w:t>3.2潜在供应商访问“苏采云”系统的网络地址和方法：“苏采云”系统的网址：http://jszfcg.jsczt.cn/。</w:t>
      </w:r>
    </w:p>
    <w:p w14:paraId="0FE545A3">
      <w:pPr>
        <w:widowControl/>
        <w:spacing w:line="440" w:lineRule="exact"/>
        <w:ind w:firstLine="480"/>
        <w:jc w:val="left"/>
        <w:rPr>
          <w:rStyle w:val="252"/>
          <w:rFonts w:hint="eastAsia" w:cs="宋体" w:asciiTheme="minorEastAsia" w:hAnsiTheme="minorEastAsia" w:eastAsiaTheme="minorEastAsia"/>
          <w:bCs/>
          <w:sz w:val="24"/>
          <w:szCs w:val="24"/>
          <w:highlight w:val="none"/>
        </w:rPr>
      </w:pPr>
      <w:r>
        <w:rPr>
          <w:rStyle w:val="252"/>
          <w:rFonts w:hint="eastAsia" w:cs="宋体" w:asciiTheme="minorEastAsia" w:hAnsiTheme="minorEastAsia" w:eastAsiaTheme="minorEastAsia"/>
          <w:bCs/>
          <w:sz w:val="24"/>
          <w:szCs w:val="24"/>
          <w:highlight w:val="none"/>
        </w:rPr>
        <w:t>3.3“CA数字证书”的获取：</w:t>
      </w:r>
    </w:p>
    <w:p w14:paraId="69AD4445">
      <w:pPr>
        <w:widowControl/>
        <w:spacing w:line="440" w:lineRule="exact"/>
        <w:ind w:firstLine="480"/>
        <w:jc w:val="left"/>
        <w:rPr>
          <w:rStyle w:val="252"/>
          <w:rFonts w:hint="eastAsia" w:cs="宋体" w:asciiTheme="minorEastAsia" w:hAnsiTheme="minorEastAsia" w:eastAsiaTheme="minorEastAsia"/>
          <w:bCs/>
          <w:sz w:val="24"/>
          <w:szCs w:val="24"/>
          <w:highlight w:val="none"/>
        </w:rPr>
      </w:pPr>
      <w:r>
        <w:rPr>
          <w:rStyle w:val="252"/>
          <w:rFonts w:hint="eastAsia" w:cs="宋体" w:asciiTheme="minorEastAsia" w:hAnsiTheme="minorEastAsia" w:eastAsiaTheme="minorEastAsia"/>
          <w:bCs/>
          <w:sz w:val="24"/>
          <w:szCs w:val="24"/>
          <w:highlight w:val="none"/>
        </w:rPr>
        <w:t>响应供应商需办理“CA 数字证书”，CA办理指南及“苏采云”操作手册可至江苏省政府采购网―办事指南-资料下载中心下载。</w:t>
      </w:r>
    </w:p>
    <w:p w14:paraId="372104E7">
      <w:pPr>
        <w:widowControl/>
        <w:spacing w:line="440" w:lineRule="exact"/>
        <w:ind w:firstLine="480"/>
        <w:jc w:val="left"/>
        <w:rPr>
          <w:rStyle w:val="252"/>
          <w:rFonts w:hint="eastAsia" w:cs="宋体" w:asciiTheme="minorEastAsia" w:hAnsiTheme="minorEastAsia" w:eastAsiaTheme="minorEastAsia"/>
          <w:bCs/>
          <w:sz w:val="24"/>
          <w:szCs w:val="24"/>
          <w:highlight w:val="none"/>
          <w:lang w:eastAsia="en-US"/>
        </w:rPr>
      </w:pPr>
      <w:r>
        <w:rPr>
          <w:rStyle w:val="252"/>
          <w:rFonts w:hint="eastAsia" w:cs="宋体" w:asciiTheme="minorEastAsia" w:hAnsiTheme="minorEastAsia" w:eastAsiaTheme="minorEastAsia"/>
          <w:bCs/>
          <w:sz w:val="24"/>
          <w:szCs w:val="24"/>
          <w:highlight w:val="none"/>
          <w:lang w:eastAsia="en-US"/>
        </w:rPr>
        <w:t>通过苏采云系统首页（http://jszfcg.jscz.gov.cn/）的“苏采云控件驱动下载”，选择“政务CA、方正签章控件驱动安装包及安装说明”下载安装，具体安装方法详见下载文件内的《安装说明》。</w:t>
      </w:r>
    </w:p>
    <w:p w14:paraId="08C5D2BC">
      <w:pPr>
        <w:widowControl/>
        <w:spacing w:line="440" w:lineRule="exact"/>
        <w:ind w:firstLine="480"/>
        <w:jc w:val="left"/>
        <w:rPr>
          <w:rStyle w:val="252"/>
          <w:rFonts w:hint="eastAsia" w:cs="宋体" w:asciiTheme="minorEastAsia" w:hAnsiTheme="minorEastAsia" w:eastAsiaTheme="minorEastAsia"/>
          <w:bCs/>
          <w:sz w:val="24"/>
          <w:szCs w:val="24"/>
          <w:highlight w:val="none"/>
        </w:rPr>
      </w:pPr>
      <w:r>
        <w:rPr>
          <w:rStyle w:val="252"/>
          <w:rFonts w:hint="eastAsia" w:cs="宋体" w:asciiTheme="minorEastAsia" w:hAnsiTheme="minorEastAsia" w:eastAsiaTheme="minorEastAsia"/>
          <w:bCs/>
          <w:sz w:val="24"/>
          <w:szCs w:val="24"/>
          <w:highlight w:val="none"/>
        </w:rPr>
        <w:t>3.4采购文件（后缀名为“.kedt”）、供应商操作手册及政府采购客户端工具可通过“苏采云”系统--已报名项目--报名详情页面内相应链接进行下载。</w:t>
      </w:r>
    </w:p>
    <w:p w14:paraId="28322E58">
      <w:pPr>
        <w:widowControl/>
        <w:spacing w:line="440" w:lineRule="exact"/>
        <w:ind w:firstLine="480"/>
        <w:jc w:val="left"/>
        <w:rPr>
          <w:rStyle w:val="252"/>
          <w:rFonts w:hint="eastAsia" w:cs="宋体" w:asciiTheme="minorEastAsia" w:hAnsiTheme="minorEastAsia" w:eastAsiaTheme="minorEastAsia"/>
          <w:bCs/>
          <w:sz w:val="24"/>
          <w:szCs w:val="24"/>
          <w:highlight w:val="none"/>
        </w:rPr>
      </w:pPr>
      <w:r>
        <w:rPr>
          <w:rStyle w:val="252"/>
          <w:rFonts w:hint="eastAsia" w:cs="宋体" w:asciiTheme="minorEastAsia" w:hAnsiTheme="minorEastAsia" w:eastAsiaTheme="minorEastAsia"/>
          <w:bCs/>
          <w:sz w:val="24"/>
          <w:szCs w:val="24"/>
          <w:highlight w:val="none"/>
        </w:rPr>
        <w:t>3.5采购人或采购代理机构将数据电文形式的采购文件加载至“苏采云”系统，供潜在供应商下载或者查阅。</w:t>
      </w:r>
    </w:p>
    <w:p w14:paraId="2828BAB7">
      <w:pPr>
        <w:widowControl/>
        <w:spacing w:line="440" w:lineRule="exact"/>
        <w:ind w:firstLine="480"/>
        <w:jc w:val="left"/>
        <w:rPr>
          <w:rStyle w:val="252"/>
          <w:rFonts w:hint="eastAsia" w:cs="宋体" w:asciiTheme="minorEastAsia" w:hAnsiTheme="minorEastAsia" w:eastAsiaTheme="minorEastAsia"/>
          <w:bCs/>
          <w:sz w:val="24"/>
          <w:szCs w:val="24"/>
          <w:highlight w:val="none"/>
        </w:rPr>
      </w:pPr>
      <w:r>
        <w:rPr>
          <w:rStyle w:val="252"/>
          <w:rFonts w:hint="eastAsia" w:cs="宋体" w:asciiTheme="minorEastAsia" w:hAnsiTheme="minorEastAsia" w:eastAsiaTheme="minorEastAsia"/>
          <w:bCs/>
          <w:sz w:val="24"/>
          <w:szCs w:val="24"/>
          <w:highlight w:val="none"/>
        </w:rPr>
        <w:t>3.6请潜在供应商提前安装相应的控件（详见《江苏省政府采购管理交易系统（苏采云）供应商操作手册》）并使用谷歌浏览器登录“苏采云”系统参与不见面开评标。</w:t>
      </w:r>
    </w:p>
    <w:p w14:paraId="3D8FC2AA">
      <w:pPr>
        <w:widowControl/>
        <w:spacing w:line="440" w:lineRule="exact"/>
        <w:ind w:firstLine="480"/>
        <w:jc w:val="left"/>
        <w:rPr>
          <w:rStyle w:val="252"/>
          <w:rFonts w:hint="eastAsia" w:cs="宋体" w:asciiTheme="minorEastAsia" w:hAnsiTheme="minorEastAsia" w:eastAsiaTheme="minorEastAsia"/>
          <w:bCs/>
          <w:sz w:val="24"/>
          <w:szCs w:val="24"/>
          <w:highlight w:val="none"/>
        </w:rPr>
      </w:pPr>
      <w:r>
        <w:rPr>
          <w:rStyle w:val="252"/>
          <w:rFonts w:hint="eastAsia" w:cs="宋体" w:asciiTheme="minorEastAsia" w:hAnsiTheme="minorEastAsia" w:eastAsiaTheme="minorEastAsia"/>
          <w:bCs/>
          <w:sz w:val="24"/>
          <w:szCs w:val="24"/>
          <w:highlight w:val="none"/>
        </w:rPr>
        <w:t>3.7开评标全过程中，磋商供应商一端参与交互的人员将均被视为是磋商供应商的授权委托人或法定代表人，磋商供应商不得以不承认交互人员的资格或身份等为借口抵赖推脱，磋商供应商自行承担随意更换人员所导致的一切后果。为顺利实现本项目开评标的远程交互，建议磋商供应商配置的硬件设施有：电脑或手机、高速稳定的网络、电源（不间断）、音视频设备（话筒、耳麦、高清摄像头、音响）等。为保证交互效果，建议磋商供应商选择封闭安静的地点参与远程交互。因磋商供应商自身软硬件问题而导致在交互过程中出现不稳定或中断等情况的，由磋商供应商自身承担一切后果。</w:t>
      </w:r>
    </w:p>
    <w:p w14:paraId="4F2BD8D6">
      <w:pPr>
        <w:widowControl/>
        <w:spacing w:line="440" w:lineRule="exact"/>
        <w:ind w:firstLine="482"/>
        <w:jc w:val="left"/>
        <w:rPr>
          <w:rStyle w:val="252"/>
          <w:rFonts w:hint="eastAsia" w:cs="宋体" w:asciiTheme="minorEastAsia" w:hAnsiTheme="minorEastAsia" w:eastAsiaTheme="minorEastAsia"/>
          <w:b/>
          <w:sz w:val="24"/>
          <w:szCs w:val="24"/>
          <w:highlight w:val="none"/>
        </w:rPr>
      </w:pPr>
      <w:r>
        <w:rPr>
          <w:rStyle w:val="252"/>
          <w:rFonts w:hint="eastAsia" w:cs="宋体" w:asciiTheme="minorEastAsia" w:hAnsiTheme="minorEastAsia" w:eastAsiaTheme="minorEastAsia"/>
          <w:b/>
          <w:sz w:val="24"/>
          <w:szCs w:val="24"/>
          <w:highlight w:val="none"/>
        </w:rPr>
        <w:t>注：如潜在供应商未按上述要求操作，将自行承担所产生的风险。</w:t>
      </w:r>
    </w:p>
    <w:p w14:paraId="602A64DA">
      <w:pPr>
        <w:spacing w:line="440" w:lineRule="exact"/>
        <w:ind w:firstLine="482"/>
        <w:jc w:val="left"/>
        <w:rPr>
          <w:rFonts w:hint="eastAsia" w:cs="宋体" w:asciiTheme="minorEastAsia" w:hAnsiTheme="minorEastAsia" w:eastAsiaTheme="minorEastAsia"/>
          <w:b/>
          <w:sz w:val="24"/>
          <w:szCs w:val="24"/>
          <w:highlight w:val="none"/>
        </w:rPr>
      </w:pPr>
      <w:r>
        <w:rPr>
          <w:rFonts w:hint="eastAsia" w:cs="宋体" w:asciiTheme="minorEastAsia" w:hAnsiTheme="minorEastAsia" w:eastAsiaTheme="minorEastAsia"/>
          <w:b/>
          <w:sz w:val="24"/>
          <w:szCs w:val="24"/>
          <w:highlight w:val="none"/>
        </w:rPr>
        <w:t>四、响应文件提交</w:t>
      </w:r>
      <w:bookmarkEnd w:id="9"/>
      <w:bookmarkEnd w:id="10"/>
      <w:bookmarkEnd w:id="11"/>
      <w:bookmarkEnd w:id="12"/>
    </w:p>
    <w:p w14:paraId="556BFA9A">
      <w:pPr>
        <w:spacing w:line="440" w:lineRule="exact"/>
        <w:ind w:firstLine="480"/>
        <w:jc w:val="left"/>
        <w:rPr>
          <w:rFonts w:hint="eastAsia" w:cs="宋体" w:asciiTheme="minorEastAsia" w:hAnsiTheme="minorEastAsia" w:eastAsiaTheme="minorEastAsia"/>
          <w:sz w:val="24"/>
          <w:szCs w:val="24"/>
          <w:highlight w:val="none"/>
        </w:rPr>
      </w:pPr>
      <w:bookmarkStart w:id="13" w:name="_Toc28359093"/>
      <w:bookmarkStart w:id="14" w:name="_Toc35393802"/>
      <w:bookmarkStart w:id="15" w:name="_Toc35393633"/>
      <w:bookmarkStart w:id="16" w:name="_Toc28359016"/>
      <w:r>
        <w:rPr>
          <w:rFonts w:hint="eastAsia" w:cs="宋体" w:asciiTheme="minorEastAsia" w:hAnsiTheme="minorEastAsia" w:eastAsiaTheme="minorEastAsia"/>
          <w:sz w:val="24"/>
          <w:szCs w:val="24"/>
          <w:highlight w:val="none"/>
        </w:rPr>
        <w:t>1.响应文件提交截止时间：</w:t>
      </w:r>
      <w:r>
        <w:rPr>
          <w:rFonts w:hint="eastAsia" w:cs="宋体" w:asciiTheme="minorEastAsia" w:hAnsiTheme="minorEastAsia" w:eastAsiaTheme="minorEastAsia"/>
          <w:b/>
          <w:bCs/>
          <w:sz w:val="24"/>
          <w:szCs w:val="24"/>
          <w:highlight w:val="none"/>
        </w:rPr>
        <w:t>202</w:t>
      </w:r>
      <w:r>
        <w:rPr>
          <w:rFonts w:hint="eastAsia" w:cs="宋体" w:asciiTheme="minorEastAsia" w:hAnsiTheme="minorEastAsia" w:eastAsiaTheme="minorEastAsia"/>
          <w:b/>
          <w:bCs/>
          <w:sz w:val="24"/>
          <w:szCs w:val="24"/>
          <w:highlight w:val="none"/>
          <w:lang w:val="en-US" w:eastAsia="zh-CN"/>
        </w:rPr>
        <w:t>5</w:t>
      </w:r>
      <w:r>
        <w:rPr>
          <w:rFonts w:hint="eastAsia" w:cs="宋体" w:asciiTheme="minorEastAsia" w:hAnsiTheme="minorEastAsia" w:eastAsiaTheme="minorEastAsia"/>
          <w:b/>
          <w:bCs/>
          <w:sz w:val="24"/>
          <w:szCs w:val="24"/>
          <w:highlight w:val="none"/>
        </w:rPr>
        <w:t>年</w:t>
      </w:r>
      <w:r>
        <w:rPr>
          <w:rFonts w:hint="eastAsia" w:cs="宋体" w:asciiTheme="minorEastAsia" w:hAnsiTheme="minorEastAsia" w:eastAsiaTheme="minorEastAsia"/>
          <w:b/>
          <w:bCs/>
          <w:sz w:val="24"/>
          <w:szCs w:val="24"/>
          <w:highlight w:val="none"/>
          <w:lang w:val="en-US" w:eastAsia="zh-CN"/>
        </w:rPr>
        <w:t>1</w:t>
      </w:r>
      <w:r>
        <w:rPr>
          <w:rFonts w:hint="eastAsia" w:cs="宋体" w:asciiTheme="minorEastAsia" w:hAnsiTheme="minorEastAsia" w:eastAsiaTheme="minorEastAsia"/>
          <w:b/>
          <w:bCs/>
          <w:sz w:val="24"/>
          <w:szCs w:val="24"/>
          <w:highlight w:val="none"/>
        </w:rPr>
        <w:t>月</w:t>
      </w:r>
      <w:r>
        <w:rPr>
          <w:rFonts w:hint="eastAsia" w:cs="宋体" w:asciiTheme="minorEastAsia" w:hAnsiTheme="minorEastAsia" w:eastAsiaTheme="minorEastAsia"/>
          <w:b/>
          <w:bCs/>
          <w:sz w:val="24"/>
          <w:szCs w:val="24"/>
          <w:highlight w:val="none"/>
          <w:lang w:val="en-US" w:eastAsia="zh-CN"/>
        </w:rPr>
        <w:t>6</w:t>
      </w:r>
      <w:r>
        <w:rPr>
          <w:rFonts w:hint="eastAsia" w:cs="宋体" w:asciiTheme="minorEastAsia" w:hAnsiTheme="minorEastAsia" w:eastAsiaTheme="minorEastAsia"/>
          <w:b/>
          <w:bCs/>
          <w:sz w:val="24"/>
          <w:szCs w:val="24"/>
          <w:highlight w:val="none"/>
        </w:rPr>
        <w:t>日09时30分（北京时间）</w:t>
      </w:r>
      <w:r>
        <w:rPr>
          <w:rFonts w:hint="eastAsia" w:cs="宋体" w:asciiTheme="minorEastAsia" w:hAnsiTheme="minorEastAsia" w:eastAsiaTheme="minorEastAsia"/>
          <w:sz w:val="24"/>
          <w:szCs w:val="24"/>
          <w:highlight w:val="none"/>
        </w:rPr>
        <w:t>。逾时，“苏采云”系统将拒绝接受上传响应文件电子文档。</w:t>
      </w:r>
    </w:p>
    <w:p w14:paraId="2A79C601">
      <w:pPr>
        <w:spacing w:line="440" w:lineRule="exact"/>
        <w:ind w:firstLine="480"/>
        <w:jc w:val="left"/>
        <w:rPr>
          <w:rFonts w:hint="eastAsia" w:cs="宋体" w:asciiTheme="minorEastAsia" w:hAnsiTheme="minorEastAsia" w:eastAsiaTheme="minorEastAsia"/>
          <w:sz w:val="24"/>
          <w:szCs w:val="24"/>
          <w:highlight w:val="none"/>
          <w:lang w:eastAsia="en-US"/>
        </w:rPr>
      </w:pPr>
      <w:r>
        <w:rPr>
          <w:rFonts w:hint="eastAsia" w:cs="宋体" w:asciiTheme="minorEastAsia" w:hAnsiTheme="minorEastAsia" w:eastAsiaTheme="minorEastAsia"/>
          <w:sz w:val="24"/>
          <w:szCs w:val="24"/>
          <w:highlight w:val="none"/>
        </w:rPr>
        <w:t>2.</w:t>
      </w:r>
      <w:r>
        <w:rPr>
          <w:rFonts w:hint="eastAsia" w:cs="宋体" w:asciiTheme="minorEastAsia" w:hAnsiTheme="minorEastAsia" w:eastAsiaTheme="minorEastAsia"/>
          <w:sz w:val="24"/>
          <w:szCs w:val="24"/>
          <w:highlight w:val="none"/>
          <w:lang w:eastAsia="en-US"/>
        </w:rPr>
        <w:t>地点：“苏采云”系统（网址：http://jszfcg.jsczt.cn/）</w:t>
      </w:r>
    </w:p>
    <w:p w14:paraId="1CADE8F6">
      <w:pPr>
        <w:spacing w:line="440" w:lineRule="exact"/>
        <w:ind w:firstLine="482"/>
        <w:jc w:val="left"/>
        <w:rPr>
          <w:rFonts w:hint="eastAsia" w:cs="宋体" w:asciiTheme="minorEastAsia" w:hAnsiTheme="minorEastAsia" w:eastAsiaTheme="minorEastAsia"/>
          <w:b/>
          <w:bCs/>
          <w:sz w:val="24"/>
          <w:szCs w:val="24"/>
          <w:highlight w:val="none"/>
        </w:rPr>
      </w:pPr>
      <w:r>
        <w:rPr>
          <w:rFonts w:hint="eastAsia" w:cs="宋体" w:asciiTheme="minorEastAsia" w:hAnsiTheme="minorEastAsia" w:eastAsiaTheme="minorEastAsia"/>
          <w:b/>
          <w:bCs/>
          <w:sz w:val="24"/>
          <w:szCs w:val="24"/>
          <w:highlight w:val="none"/>
        </w:rPr>
        <w:t>五、开启</w:t>
      </w:r>
    </w:p>
    <w:p w14:paraId="56CEDB9D">
      <w:pPr>
        <w:spacing w:line="440" w:lineRule="exact"/>
        <w:ind w:firstLine="480"/>
        <w:jc w:val="left"/>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1.时间：</w:t>
      </w:r>
      <w:r>
        <w:rPr>
          <w:rFonts w:hint="eastAsia" w:cs="宋体" w:asciiTheme="minorEastAsia" w:hAnsiTheme="minorEastAsia" w:eastAsiaTheme="minorEastAsia"/>
          <w:b/>
          <w:bCs/>
          <w:sz w:val="24"/>
          <w:szCs w:val="24"/>
          <w:highlight w:val="none"/>
        </w:rPr>
        <w:t>202</w:t>
      </w:r>
      <w:r>
        <w:rPr>
          <w:rFonts w:hint="eastAsia" w:cs="宋体" w:asciiTheme="minorEastAsia" w:hAnsiTheme="minorEastAsia" w:eastAsiaTheme="minorEastAsia"/>
          <w:b/>
          <w:bCs/>
          <w:sz w:val="24"/>
          <w:szCs w:val="24"/>
          <w:highlight w:val="none"/>
          <w:lang w:val="en-US" w:eastAsia="zh-CN"/>
        </w:rPr>
        <w:t>5</w:t>
      </w:r>
      <w:r>
        <w:rPr>
          <w:rFonts w:hint="eastAsia" w:cs="宋体" w:asciiTheme="minorEastAsia" w:hAnsiTheme="minorEastAsia" w:eastAsiaTheme="minorEastAsia"/>
          <w:b/>
          <w:bCs/>
          <w:sz w:val="24"/>
          <w:szCs w:val="24"/>
          <w:highlight w:val="none"/>
        </w:rPr>
        <w:t>年</w:t>
      </w:r>
      <w:r>
        <w:rPr>
          <w:rFonts w:hint="eastAsia" w:cs="宋体" w:asciiTheme="minorEastAsia" w:hAnsiTheme="minorEastAsia" w:eastAsiaTheme="minorEastAsia"/>
          <w:b/>
          <w:bCs/>
          <w:sz w:val="24"/>
          <w:szCs w:val="24"/>
          <w:highlight w:val="none"/>
          <w:lang w:val="en-US" w:eastAsia="zh-CN"/>
        </w:rPr>
        <w:t>1</w:t>
      </w:r>
      <w:r>
        <w:rPr>
          <w:rFonts w:hint="eastAsia" w:cs="宋体" w:asciiTheme="minorEastAsia" w:hAnsiTheme="minorEastAsia" w:eastAsiaTheme="minorEastAsia"/>
          <w:b/>
          <w:bCs/>
          <w:sz w:val="24"/>
          <w:szCs w:val="24"/>
          <w:highlight w:val="none"/>
        </w:rPr>
        <w:t>月</w:t>
      </w:r>
      <w:r>
        <w:rPr>
          <w:rFonts w:hint="eastAsia" w:cs="宋体" w:asciiTheme="minorEastAsia" w:hAnsiTheme="minorEastAsia" w:eastAsiaTheme="minorEastAsia"/>
          <w:b/>
          <w:bCs/>
          <w:sz w:val="24"/>
          <w:szCs w:val="24"/>
          <w:highlight w:val="none"/>
          <w:lang w:val="en-US" w:eastAsia="zh-CN"/>
        </w:rPr>
        <w:t>6</w:t>
      </w:r>
      <w:r>
        <w:rPr>
          <w:rFonts w:hint="eastAsia" w:cs="宋体" w:asciiTheme="minorEastAsia" w:hAnsiTheme="minorEastAsia" w:eastAsiaTheme="minorEastAsia"/>
          <w:b/>
          <w:bCs/>
          <w:sz w:val="24"/>
          <w:szCs w:val="24"/>
          <w:highlight w:val="none"/>
        </w:rPr>
        <w:t>日09时30分（北京时间）</w:t>
      </w:r>
    </w:p>
    <w:p w14:paraId="58CC035B">
      <w:pPr>
        <w:spacing w:line="440" w:lineRule="exact"/>
        <w:ind w:firstLine="480"/>
        <w:jc w:val="left"/>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2.地点：</w:t>
      </w:r>
      <w:r>
        <w:rPr>
          <w:rFonts w:hint="eastAsia" w:cs="宋体" w:asciiTheme="minorEastAsia" w:hAnsiTheme="minorEastAsia" w:eastAsiaTheme="minorEastAsia"/>
          <w:sz w:val="24"/>
          <w:szCs w:val="24"/>
          <w:highlight w:val="none"/>
          <w:lang w:eastAsia="en-US"/>
        </w:rPr>
        <w:t>“苏采云”系统（网址：http://jszfcg.jsczt.cn/）“开标大厅”</w:t>
      </w:r>
    </w:p>
    <w:p w14:paraId="25A9946D">
      <w:pPr>
        <w:spacing w:line="440" w:lineRule="exact"/>
        <w:ind w:firstLine="480"/>
        <w:jc w:val="left"/>
        <w:rPr>
          <w:rFonts w:hint="eastAsia" w:cs="宋体" w:asciiTheme="minorEastAsia" w:hAnsiTheme="minorEastAsia" w:eastAsiaTheme="minorEastAsia"/>
          <w:sz w:val="24"/>
          <w:szCs w:val="24"/>
          <w:highlight w:val="none"/>
          <w:u w:val="single"/>
        </w:rPr>
      </w:pPr>
      <w:r>
        <w:rPr>
          <w:rFonts w:hint="eastAsia" w:cs="宋体" w:asciiTheme="minorEastAsia" w:hAnsiTheme="minorEastAsia" w:eastAsiaTheme="minorEastAsia"/>
          <w:sz w:val="24"/>
          <w:szCs w:val="24"/>
          <w:highlight w:val="none"/>
        </w:rPr>
        <w:t>3.响应文件的解密：开标当天各供应商及时登录不见面开标大厅，响应文件递交截止时间后，采购人将在系统内公布供应商名单，然后通过开标会议区发出响应文件解密的指令，投标供应商在开标室按规定时间自行实施远程解密，</w:t>
      </w:r>
      <w:r>
        <w:rPr>
          <w:rFonts w:hint="eastAsia" w:cs="宋体" w:asciiTheme="minorEastAsia" w:hAnsiTheme="minorEastAsia" w:eastAsiaTheme="minorEastAsia"/>
          <w:b/>
          <w:sz w:val="24"/>
          <w:szCs w:val="24"/>
          <w:highlight w:val="none"/>
        </w:rPr>
        <w:t>投标供应商解密限定在开标后30分钟之内完成</w:t>
      </w:r>
      <w:r>
        <w:rPr>
          <w:rFonts w:hint="eastAsia" w:cs="宋体" w:asciiTheme="minorEastAsia" w:hAnsiTheme="minorEastAsia" w:eastAsiaTheme="minorEastAsia"/>
          <w:sz w:val="24"/>
          <w:szCs w:val="24"/>
          <w:highlight w:val="none"/>
        </w:rPr>
        <w:t>。</w:t>
      </w:r>
      <w:r>
        <w:rPr>
          <w:rFonts w:hint="eastAsia" w:cs="宋体" w:asciiTheme="minorEastAsia" w:hAnsiTheme="minorEastAsia" w:eastAsiaTheme="minorEastAsia"/>
          <w:sz w:val="24"/>
          <w:szCs w:val="24"/>
          <w:highlight w:val="none"/>
          <w:u w:val="single"/>
        </w:rPr>
        <w:t>因投标供应商网络与电源不稳定、未按操作手册要求配置软硬件、解密锁发生故障或用错、故意不在要求时限内完成解密等自身原因，导致响应文件在规定时间内未能解密、解密失败或解密超时，视为投标供应商撤销其响应文件，系统内响应文件将被退回；因采购人（或采购代理机构）原因或网上招投标平台发生故障，导致无法按时完成响应文件解密或开、评标工作无法进行的，可根据实际情况相应延迟解密时间或调整开、评标时间。</w:t>
      </w:r>
    </w:p>
    <w:p w14:paraId="75AFCF51">
      <w:pPr>
        <w:spacing w:line="440" w:lineRule="exact"/>
        <w:ind w:firstLine="482"/>
        <w:jc w:val="left"/>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b/>
          <w:bCs/>
          <w:sz w:val="24"/>
          <w:szCs w:val="24"/>
          <w:highlight w:val="none"/>
        </w:rPr>
        <w:t>注：</w:t>
      </w:r>
      <w:r>
        <w:rPr>
          <w:rFonts w:hint="eastAsia" w:cs="宋体" w:asciiTheme="minorEastAsia" w:hAnsiTheme="minorEastAsia" w:eastAsiaTheme="minorEastAsia"/>
          <w:sz w:val="24"/>
          <w:szCs w:val="24"/>
          <w:highlight w:val="none"/>
        </w:rPr>
        <w:t>各供应商请关注开标大厅交流区，在开标结束后，请勿离开开标大厅。采购人或采购代理机构通知最后报价填报后，所有的响应供应商须在15分钟内填写并提交最后报价，未在规定时间内提交最后报价的，视作无效响应处理。</w:t>
      </w:r>
      <w:bookmarkEnd w:id="13"/>
      <w:bookmarkEnd w:id="14"/>
      <w:bookmarkEnd w:id="15"/>
      <w:bookmarkEnd w:id="16"/>
    </w:p>
    <w:p w14:paraId="74B15FB1">
      <w:pPr>
        <w:spacing w:line="440" w:lineRule="exact"/>
        <w:ind w:firstLine="482"/>
        <w:jc w:val="left"/>
        <w:outlineLvl w:val="1"/>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
          <w:bCs/>
          <w:sz w:val="24"/>
          <w:szCs w:val="24"/>
          <w:highlight w:val="none"/>
        </w:rPr>
        <w:t>六、公告期限：</w:t>
      </w:r>
      <w:r>
        <w:rPr>
          <w:rFonts w:hint="eastAsia" w:cs="宋体" w:asciiTheme="minorEastAsia" w:hAnsiTheme="minorEastAsia" w:eastAsiaTheme="minorEastAsia"/>
          <w:sz w:val="24"/>
          <w:szCs w:val="24"/>
          <w:highlight w:val="none"/>
        </w:rPr>
        <w:t>自</w:t>
      </w:r>
      <w:r>
        <w:rPr>
          <w:rFonts w:hint="eastAsia" w:cs="宋体" w:asciiTheme="minorEastAsia" w:hAnsiTheme="minorEastAsia" w:eastAsiaTheme="minorEastAsia"/>
          <w:bCs/>
          <w:sz w:val="24"/>
          <w:szCs w:val="24"/>
          <w:highlight w:val="none"/>
        </w:rPr>
        <w:t>本公告发布之日起3个工作日。</w:t>
      </w:r>
      <w:bookmarkStart w:id="17" w:name="_Toc35393635"/>
      <w:bookmarkEnd w:id="17"/>
      <w:bookmarkStart w:id="18" w:name="_Toc35393804"/>
      <w:bookmarkEnd w:id="18"/>
    </w:p>
    <w:p w14:paraId="53B10083">
      <w:pPr>
        <w:spacing w:line="440" w:lineRule="exact"/>
        <w:ind w:firstLine="482"/>
        <w:jc w:val="left"/>
        <w:outlineLvl w:val="1"/>
        <w:rPr>
          <w:rFonts w:hint="eastAsia" w:cs="宋体" w:asciiTheme="minorEastAsia" w:hAnsiTheme="minorEastAsia" w:eastAsiaTheme="minorEastAsia"/>
          <w:b/>
          <w:bCs/>
          <w:sz w:val="24"/>
          <w:szCs w:val="24"/>
          <w:highlight w:val="none"/>
        </w:rPr>
      </w:pPr>
      <w:r>
        <w:rPr>
          <w:rFonts w:hint="eastAsia" w:cs="宋体" w:asciiTheme="minorEastAsia" w:hAnsiTheme="minorEastAsia" w:eastAsiaTheme="minorEastAsia"/>
          <w:b/>
          <w:bCs/>
          <w:sz w:val="24"/>
          <w:szCs w:val="24"/>
          <w:highlight w:val="none"/>
        </w:rPr>
        <w:t>七、其他补充事宜</w:t>
      </w:r>
    </w:p>
    <w:p w14:paraId="486D7B21">
      <w:pPr>
        <w:spacing w:line="440" w:lineRule="exact"/>
        <w:ind w:firstLine="480"/>
        <w:jc w:val="left"/>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1.磋商保证金：免收。</w:t>
      </w:r>
    </w:p>
    <w:p w14:paraId="2B197D27">
      <w:pPr>
        <w:spacing w:line="440" w:lineRule="exact"/>
        <w:ind w:firstLine="480"/>
        <w:jc w:val="left"/>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 xml:space="preserve">2.项目磋商活动模式：不见面远程磋商模式，供应商在各自地点通过不见面交易系统参加开标会。 </w:t>
      </w:r>
    </w:p>
    <w:p w14:paraId="0BE304AF">
      <w:pPr>
        <w:spacing w:line="440" w:lineRule="exact"/>
        <w:ind w:firstLine="480"/>
        <w:jc w:val="left"/>
        <w:rPr>
          <w:rFonts w:hint="eastAsia" w:cs="宋体" w:asciiTheme="minorEastAsia" w:hAnsiTheme="minorEastAsia" w:eastAsiaTheme="minorEastAsia"/>
          <w:b/>
          <w:bCs/>
          <w:color w:val="FF0000"/>
          <w:sz w:val="24"/>
          <w:szCs w:val="24"/>
          <w:highlight w:val="none"/>
          <w:u w:val="double"/>
        </w:rPr>
      </w:pPr>
      <w:r>
        <w:rPr>
          <w:rFonts w:hint="eastAsia" w:cs="宋体" w:asciiTheme="minorEastAsia" w:hAnsiTheme="minorEastAsia" w:eastAsiaTheme="minorEastAsia"/>
          <w:sz w:val="24"/>
          <w:szCs w:val="24"/>
          <w:highlight w:val="none"/>
        </w:rPr>
        <w:t>3.项目演示、样品、答辩等（如有请描述）：</w:t>
      </w:r>
      <w:r>
        <w:rPr>
          <w:rFonts w:hint="eastAsia" w:cs="宋体" w:asciiTheme="minorEastAsia" w:hAnsiTheme="minorEastAsia" w:eastAsiaTheme="minorEastAsia"/>
          <w:b/>
          <w:bCs/>
          <w:color w:val="FF0000"/>
          <w:sz w:val="24"/>
          <w:szCs w:val="24"/>
          <w:highlight w:val="none"/>
          <w:u w:val="double"/>
        </w:rPr>
        <w:t>本项目有演示环节，详见第四章评审标准；</w:t>
      </w:r>
    </w:p>
    <w:p w14:paraId="1F3753F1">
      <w:pPr>
        <w:spacing w:line="440" w:lineRule="exact"/>
        <w:ind w:firstLine="480"/>
        <w:jc w:val="left"/>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4.供应商应依照规定提交各类声明函、承诺函，不再同时提供原件备查或提供有关部门出具的相关证明文件。但成交供应商应做好提交声明函、承诺函、业绩、认证相应原件的核查准备；核查后发现虚假或违背承诺的，依照相关法律法规规定处理。</w:t>
      </w:r>
    </w:p>
    <w:p w14:paraId="289BF807">
      <w:pPr>
        <w:spacing w:line="440" w:lineRule="exact"/>
        <w:ind w:firstLine="482"/>
        <w:jc w:val="left"/>
        <w:rPr>
          <w:rFonts w:hint="eastAsia" w:cs="宋体" w:asciiTheme="minorEastAsia" w:hAnsiTheme="minorEastAsia" w:eastAsiaTheme="minorEastAsia"/>
          <w:b/>
          <w:bCs/>
          <w:sz w:val="24"/>
          <w:szCs w:val="24"/>
          <w:highlight w:val="none"/>
        </w:rPr>
      </w:pPr>
      <w:r>
        <w:rPr>
          <w:rFonts w:hint="eastAsia" w:cs="宋体" w:asciiTheme="minorEastAsia" w:hAnsiTheme="minorEastAsia" w:eastAsiaTheme="minorEastAsia"/>
          <w:b/>
          <w:bCs/>
          <w:sz w:val="24"/>
          <w:szCs w:val="24"/>
          <w:highlight w:val="none"/>
        </w:rPr>
        <w:t>5.本项目属于非招标方式，不存在唱标环节。按照政府采购法律制度规定，在磋商中任何一方不得透露与磋商有关的其他供应商的技术资料、价格和其他信息，因此不公开唱标。最终成交供应商名称和成交金额可通过江苏省政府采购网站发布成交结果公告获得。</w:t>
      </w:r>
    </w:p>
    <w:p w14:paraId="0286F638">
      <w:pPr>
        <w:spacing w:line="440" w:lineRule="exact"/>
        <w:ind w:firstLine="482"/>
        <w:jc w:val="left"/>
        <w:outlineLvl w:val="1"/>
        <w:rPr>
          <w:rFonts w:hint="eastAsia" w:cs="宋体" w:asciiTheme="minorEastAsia" w:hAnsiTheme="minorEastAsia" w:eastAsiaTheme="minorEastAsia"/>
          <w:b/>
          <w:bCs/>
          <w:sz w:val="24"/>
          <w:szCs w:val="24"/>
          <w:highlight w:val="none"/>
        </w:rPr>
      </w:pPr>
      <w:r>
        <w:rPr>
          <w:rFonts w:hint="eastAsia" w:cs="宋体" w:asciiTheme="minorEastAsia" w:hAnsiTheme="minorEastAsia" w:eastAsiaTheme="minorEastAsia"/>
          <w:b/>
          <w:bCs/>
          <w:sz w:val="24"/>
          <w:szCs w:val="24"/>
          <w:highlight w:val="none"/>
        </w:rPr>
        <w:t>八、凡对本次采购提出询问，请按以下方式联系</w:t>
      </w:r>
    </w:p>
    <w:p w14:paraId="0EA07560">
      <w:pPr>
        <w:spacing w:line="440" w:lineRule="exact"/>
        <w:ind w:firstLine="480"/>
        <w:jc w:val="left"/>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1.采购人信息</w:t>
      </w:r>
    </w:p>
    <w:p w14:paraId="3CC38BBD">
      <w:pPr>
        <w:pStyle w:val="23"/>
        <w:spacing w:line="440" w:lineRule="exact"/>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名  称：南通市图书馆</w:t>
      </w:r>
    </w:p>
    <w:p w14:paraId="34D4B46B">
      <w:pPr>
        <w:pStyle w:val="23"/>
        <w:spacing w:line="440" w:lineRule="exact"/>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地  址：南通市崇川区崇文路2号</w:t>
      </w:r>
    </w:p>
    <w:p w14:paraId="5F1A2FC8">
      <w:pPr>
        <w:pStyle w:val="23"/>
        <w:spacing w:line="440" w:lineRule="exact"/>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联系方式：</w:t>
      </w:r>
      <w:r>
        <w:rPr>
          <w:rFonts w:hint="eastAsia" w:ascii="宋体" w:hAnsi="宋体" w:cs="Arial"/>
          <w:color w:val="000000"/>
          <w:sz w:val="24"/>
          <w:szCs w:val="24"/>
          <w:highlight w:val="none"/>
        </w:rPr>
        <w:t>0513-59003809</w:t>
      </w:r>
    </w:p>
    <w:p w14:paraId="0AA7ED5E">
      <w:pPr>
        <w:spacing w:line="440" w:lineRule="exact"/>
        <w:ind w:firstLine="480"/>
        <w:jc w:val="left"/>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2.采购代理机构信息</w:t>
      </w:r>
    </w:p>
    <w:p w14:paraId="6749DD3A">
      <w:pPr>
        <w:spacing w:line="440" w:lineRule="exact"/>
        <w:ind w:firstLine="480"/>
        <w:jc w:val="left"/>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名称：南通通城建设工程项目管理有限公司</w:t>
      </w:r>
    </w:p>
    <w:p w14:paraId="17B8EF1C">
      <w:pPr>
        <w:spacing w:line="440" w:lineRule="exact"/>
        <w:ind w:firstLine="480"/>
        <w:jc w:val="left"/>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地址：南通市崇川区工农南路156号鑫乾广场A座22楼2202室</w:t>
      </w:r>
    </w:p>
    <w:p w14:paraId="2CB9D45F">
      <w:pPr>
        <w:spacing w:line="440" w:lineRule="exact"/>
        <w:ind w:firstLine="480"/>
        <w:jc w:val="left"/>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联系方式：缪婷婷    18906296216</w:t>
      </w:r>
    </w:p>
    <w:p w14:paraId="70151A20">
      <w:pPr>
        <w:spacing w:line="440" w:lineRule="exact"/>
        <w:ind w:firstLine="480"/>
        <w:jc w:val="left"/>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3.软件技术支持：0519-86722801。</w:t>
      </w:r>
    </w:p>
    <w:p w14:paraId="749820C1">
      <w:pPr>
        <w:pStyle w:val="89"/>
        <w:spacing w:line="440" w:lineRule="exact"/>
        <w:rPr>
          <w:rFonts w:hint="eastAsia"/>
          <w:highlight w:val="none"/>
        </w:rPr>
      </w:pPr>
      <w:r>
        <w:rPr>
          <w:rFonts w:hint="eastAsia"/>
          <w:highlight w:val="none"/>
        </w:rPr>
        <w:t>附件:</w:t>
      </w:r>
    </w:p>
    <w:p w14:paraId="0B2D71F2">
      <w:pPr>
        <w:pStyle w:val="89"/>
        <w:spacing w:line="440" w:lineRule="exact"/>
        <w:rPr>
          <w:rFonts w:hint="eastAsia"/>
          <w:highlight w:val="none"/>
        </w:rPr>
      </w:pPr>
      <w:r>
        <w:rPr>
          <w:rFonts w:hint="eastAsia"/>
          <w:highlight w:val="none"/>
        </w:rPr>
        <w:t>1.竞争性磋商文件</w:t>
      </w:r>
    </w:p>
    <w:p w14:paraId="6978FEB1">
      <w:pPr>
        <w:pStyle w:val="89"/>
        <w:spacing w:line="440" w:lineRule="exact"/>
        <w:rPr>
          <w:rFonts w:hint="eastAsia"/>
          <w:highlight w:val="none"/>
        </w:rPr>
      </w:pPr>
      <w:r>
        <w:rPr>
          <w:rFonts w:hint="eastAsia"/>
          <w:highlight w:val="none"/>
        </w:rPr>
        <w:t>2.采购人信用承诺书</w:t>
      </w:r>
    </w:p>
    <w:p w14:paraId="61CFCBD4">
      <w:pPr>
        <w:pStyle w:val="89"/>
        <w:spacing w:line="440" w:lineRule="exact"/>
        <w:rPr>
          <w:rFonts w:hint="eastAsia"/>
          <w:highlight w:val="none"/>
        </w:rPr>
      </w:pPr>
      <w:r>
        <w:rPr>
          <w:rFonts w:hint="eastAsia"/>
          <w:highlight w:val="none"/>
        </w:rPr>
        <w:t>3.公平竞争审查二维码</w:t>
      </w:r>
    </w:p>
    <w:p w14:paraId="7BCB63B2">
      <w:pPr>
        <w:pStyle w:val="89"/>
        <w:spacing w:line="440" w:lineRule="exact"/>
        <w:rPr>
          <w:rFonts w:hint="eastAsia"/>
          <w:highlight w:val="none"/>
        </w:rPr>
      </w:pPr>
      <w:r>
        <w:rPr>
          <w:rFonts w:hint="eastAsia"/>
          <w:highlight w:val="none"/>
        </w:rPr>
        <w:t>4.“苏采云”系统供应商操作手册</w:t>
      </w:r>
    </w:p>
    <w:bookmarkEnd w:id="0"/>
    <w:p w14:paraId="44BCA225">
      <w:pPr>
        <w:pStyle w:val="88"/>
        <w:keepNext w:val="0"/>
        <w:keepLines w:val="0"/>
        <w:spacing w:before="0" w:after="0" w:line="800" w:lineRule="exact"/>
        <w:ind w:left="547" w:firstLine="883"/>
        <w:jc w:val="center"/>
        <w:rPr>
          <w:rFonts w:hint="eastAsia" w:ascii="宋体" w:hAnsi="宋体" w:eastAsia="宋体" w:cs="宋体"/>
          <w:szCs w:val="44"/>
          <w:highlight w:val="none"/>
        </w:rPr>
      </w:pPr>
    </w:p>
    <w:p w14:paraId="13A5304C">
      <w:pPr>
        <w:pStyle w:val="88"/>
        <w:keepNext w:val="0"/>
        <w:keepLines w:val="0"/>
        <w:spacing w:before="0" w:after="0" w:line="800" w:lineRule="exact"/>
        <w:ind w:left="547" w:firstLine="883"/>
        <w:jc w:val="center"/>
        <w:rPr>
          <w:rFonts w:hint="eastAsia" w:ascii="宋体" w:hAnsi="宋体" w:eastAsia="宋体" w:cs="宋体"/>
          <w:szCs w:val="44"/>
          <w:highlight w:val="none"/>
        </w:rPr>
      </w:pPr>
    </w:p>
    <w:p w14:paraId="433A98B2">
      <w:pPr>
        <w:pStyle w:val="88"/>
        <w:keepNext w:val="0"/>
        <w:keepLines w:val="0"/>
        <w:spacing w:before="0" w:after="0" w:line="800" w:lineRule="exact"/>
        <w:ind w:left="547" w:firstLine="883"/>
        <w:jc w:val="center"/>
        <w:rPr>
          <w:rFonts w:hint="eastAsia" w:ascii="宋体" w:hAnsi="宋体" w:eastAsia="宋体" w:cs="宋体"/>
          <w:szCs w:val="44"/>
          <w:highlight w:val="none"/>
        </w:rPr>
      </w:pPr>
    </w:p>
    <w:p w14:paraId="3A00AA46">
      <w:pPr>
        <w:rPr>
          <w:highlight w:val="none"/>
        </w:rPr>
      </w:pPr>
    </w:p>
    <w:p w14:paraId="46910F74">
      <w:pPr>
        <w:pStyle w:val="23"/>
        <w:rPr>
          <w:highlight w:val="none"/>
        </w:rPr>
      </w:pPr>
    </w:p>
    <w:p w14:paraId="460AAEAE">
      <w:pPr>
        <w:pStyle w:val="88"/>
        <w:keepNext w:val="0"/>
        <w:keepLines w:val="0"/>
        <w:spacing w:before="0" w:after="0" w:line="800" w:lineRule="exact"/>
        <w:ind w:left="547" w:firstLine="883"/>
        <w:jc w:val="center"/>
        <w:rPr>
          <w:rFonts w:hint="eastAsia" w:ascii="宋体" w:hAnsi="宋体" w:eastAsia="宋体" w:cs="宋体"/>
          <w:szCs w:val="44"/>
          <w:highlight w:val="none"/>
        </w:rPr>
      </w:pPr>
      <w:r>
        <w:rPr>
          <w:rFonts w:hint="eastAsia" w:ascii="宋体" w:hAnsi="宋体" w:eastAsia="宋体" w:cs="宋体"/>
          <w:szCs w:val="44"/>
          <w:highlight w:val="none"/>
        </w:rPr>
        <w:t>第二章  供应商须知</w:t>
      </w:r>
    </w:p>
    <w:p w14:paraId="22DC2560">
      <w:pPr>
        <w:keepNext/>
        <w:keepLines/>
        <w:spacing w:line="360" w:lineRule="auto"/>
        <w:ind w:firstLine="482"/>
        <w:outlineLvl w:val="2"/>
        <w:rPr>
          <w:rFonts w:hint="eastAsia" w:cs="宋体" w:asciiTheme="minorEastAsia" w:hAnsiTheme="minorEastAsia" w:eastAsiaTheme="minorEastAsia"/>
          <w:b/>
          <w:bCs/>
          <w:sz w:val="24"/>
          <w:szCs w:val="24"/>
          <w:highlight w:val="none"/>
        </w:rPr>
      </w:pPr>
      <w:bookmarkStart w:id="19" w:name="_Toc513029203"/>
      <w:bookmarkStart w:id="20" w:name="_Toc20823275"/>
      <w:bookmarkStart w:id="21" w:name="_Toc16938519"/>
      <w:bookmarkStart w:id="22" w:name="_Toc120614214"/>
      <w:bookmarkStart w:id="23" w:name="_Toc432763305"/>
      <w:r>
        <w:rPr>
          <w:rFonts w:hint="eastAsia" w:cs="宋体" w:asciiTheme="minorEastAsia" w:hAnsiTheme="minorEastAsia" w:eastAsiaTheme="minorEastAsia"/>
          <w:b/>
          <w:bCs/>
          <w:sz w:val="24"/>
          <w:szCs w:val="24"/>
          <w:highlight w:val="none"/>
        </w:rPr>
        <w:t>（一）总则</w:t>
      </w:r>
      <w:bookmarkEnd w:id="19"/>
      <w:bookmarkEnd w:id="20"/>
      <w:bookmarkEnd w:id="21"/>
      <w:bookmarkEnd w:id="22"/>
    </w:p>
    <w:p w14:paraId="72929762">
      <w:pPr>
        <w:keepNext/>
        <w:spacing w:line="360" w:lineRule="auto"/>
        <w:ind w:firstLine="480"/>
        <w:outlineLvl w:val="3"/>
        <w:rPr>
          <w:rFonts w:hint="eastAsia" w:cs="宋体" w:asciiTheme="minorEastAsia" w:hAnsiTheme="minorEastAsia" w:eastAsiaTheme="minorEastAsia"/>
          <w:b/>
          <w:bCs/>
          <w:sz w:val="24"/>
          <w:szCs w:val="24"/>
          <w:highlight w:val="none"/>
        </w:rPr>
      </w:pPr>
      <w:bookmarkStart w:id="24" w:name="_Hlt16619475"/>
      <w:bookmarkEnd w:id="24"/>
      <w:bookmarkStart w:id="25" w:name="_Toc458694821"/>
      <w:bookmarkStart w:id="26" w:name="_Toc20823276"/>
      <w:bookmarkStart w:id="27" w:name="_Toc16938520"/>
      <w:bookmarkStart w:id="28" w:name="_Toc513029204"/>
      <w:r>
        <w:rPr>
          <w:rFonts w:hint="eastAsia" w:cs="宋体" w:asciiTheme="minorEastAsia" w:hAnsiTheme="minorEastAsia" w:eastAsiaTheme="minorEastAsia"/>
          <w:sz w:val="24"/>
          <w:szCs w:val="24"/>
          <w:highlight w:val="none"/>
        </w:rPr>
        <w:t>1</w:t>
      </w:r>
      <w:bookmarkEnd w:id="25"/>
      <w:r>
        <w:rPr>
          <w:rFonts w:hint="eastAsia" w:cs="宋体" w:asciiTheme="minorEastAsia" w:hAnsiTheme="minorEastAsia" w:eastAsiaTheme="minorEastAsia"/>
          <w:sz w:val="24"/>
          <w:szCs w:val="24"/>
          <w:highlight w:val="none"/>
        </w:rPr>
        <w:t>.采购方式</w:t>
      </w:r>
      <w:bookmarkEnd w:id="26"/>
      <w:bookmarkEnd w:id="27"/>
      <w:bookmarkEnd w:id="28"/>
    </w:p>
    <w:p w14:paraId="7CC67DB0">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1.1 本次政府采购活动采取竞争性磋商(以下简称磋商)方式，本磋商文件仅适用于磋商公告中所述项目。</w:t>
      </w:r>
    </w:p>
    <w:p w14:paraId="65D0C923">
      <w:pPr>
        <w:keepNext/>
        <w:spacing w:line="360" w:lineRule="auto"/>
        <w:ind w:firstLine="480"/>
        <w:outlineLvl w:val="3"/>
        <w:rPr>
          <w:rFonts w:hint="eastAsia" w:cs="宋体" w:asciiTheme="minorEastAsia" w:hAnsiTheme="minorEastAsia" w:eastAsiaTheme="minorEastAsia"/>
          <w:b/>
          <w:bCs/>
          <w:sz w:val="24"/>
          <w:szCs w:val="24"/>
          <w:highlight w:val="none"/>
        </w:rPr>
      </w:pPr>
      <w:bookmarkStart w:id="29" w:name="_Toc513029205"/>
      <w:bookmarkStart w:id="30" w:name="_Toc16938521"/>
      <w:bookmarkStart w:id="31" w:name="_Toc20823277"/>
      <w:r>
        <w:rPr>
          <w:rFonts w:hint="eastAsia" w:cs="宋体" w:asciiTheme="minorEastAsia" w:hAnsiTheme="minorEastAsia" w:eastAsiaTheme="minorEastAsia"/>
          <w:sz w:val="24"/>
          <w:szCs w:val="24"/>
          <w:highlight w:val="none"/>
        </w:rPr>
        <w:t>2.合格的</w:t>
      </w:r>
      <w:bookmarkEnd w:id="29"/>
      <w:bookmarkEnd w:id="30"/>
      <w:bookmarkEnd w:id="31"/>
      <w:r>
        <w:rPr>
          <w:rFonts w:hint="eastAsia" w:cs="宋体" w:asciiTheme="minorEastAsia" w:hAnsiTheme="minorEastAsia" w:eastAsiaTheme="minorEastAsia"/>
          <w:sz w:val="24"/>
          <w:szCs w:val="24"/>
          <w:highlight w:val="none"/>
        </w:rPr>
        <w:t>供应商</w:t>
      </w:r>
    </w:p>
    <w:p w14:paraId="15C13BD4">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2.1满足磋商公告中供应商的资格要求的规定。</w:t>
      </w:r>
    </w:p>
    <w:p w14:paraId="3120EE03">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2.2 满足本磋商文件实质性要求和条件的规定。</w:t>
      </w:r>
    </w:p>
    <w:p w14:paraId="5757B331">
      <w:pPr>
        <w:keepNext/>
        <w:spacing w:line="360" w:lineRule="auto"/>
        <w:ind w:firstLine="480"/>
        <w:outlineLvl w:val="3"/>
        <w:rPr>
          <w:rFonts w:hint="eastAsia" w:cs="宋体" w:asciiTheme="minorEastAsia" w:hAnsiTheme="minorEastAsia" w:eastAsiaTheme="minorEastAsia"/>
          <w:b/>
          <w:bCs/>
          <w:sz w:val="24"/>
          <w:szCs w:val="24"/>
          <w:highlight w:val="none"/>
        </w:rPr>
      </w:pPr>
      <w:bookmarkStart w:id="32" w:name="_Toc16938522"/>
      <w:bookmarkStart w:id="33" w:name="_Toc513029206"/>
      <w:bookmarkStart w:id="34" w:name="_Toc20823278"/>
      <w:r>
        <w:rPr>
          <w:rFonts w:hint="eastAsia" w:cs="宋体" w:asciiTheme="minorEastAsia" w:hAnsiTheme="minorEastAsia" w:eastAsiaTheme="minorEastAsia"/>
          <w:sz w:val="24"/>
          <w:szCs w:val="24"/>
          <w:highlight w:val="none"/>
        </w:rPr>
        <w:t>3.适用法律</w:t>
      </w:r>
      <w:bookmarkEnd w:id="32"/>
      <w:bookmarkEnd w:id="33"/>
      <w:bookmarkEnd w:id="34"/>
    </w:p>
    <w:p w14:paraId="5A82514A">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3.1 本次磋商及由此产生的合同受中华人民共和国有关的法律法规制约和保护。</w:t>
      </w:r>
    </w:p>
    <w:p w14:paraId="547572B3">
      <w:pPr>
        <w:keepNext/>
        <w:spacing w:line="360" w:lineRule="auto"/>
        <w:ind w:firstLine="480"/>
        <w:outlineLvl w:val="3"/>
        <w:rPr>
          <w:rFonts w:hint="eastAsia" w:cs="宋体" w:asciiTheme="minorEastAsia" w:hAnsiTheme="minorEastAsia" w:eastAsiaTheme="minorEastAsia"/>
          <w:b/>
          <w:bCs/>
          <w:sz w:val="24"/>
          <w:szCs w:val="24"/>
          <w:highlight w:val="none"/>
        </w:rPr>
      </w:pPr>
      <w:bookmarkStart w:id="35" w:name="_Toc462564067"/>
      <w:bookmarkStart w:id="36" w:name="_Toc513029207"/>
      <w:bookmarkStart w:id="37" w:name="_Toc16938523"/>
      <w:bookmarkStart w:id="38" w:name="_Toc20823279"/>
      <w:r>
        <w:rPr>
          <w:rFonts w:hint="eastAsia" w:cs="宋体" w:asciiTheme="minorEastAsia" w:hAnsiTheme="minorEastAsia" w:eastAsiaTheme="minorEastAsia"/>
          <w:sz w:val="24"/>
          <w:szCs w:val="24"/>
          <w:highlight w:val="none"/>
        </w:rPr>
        <w:t>4.磋商费用</w:t>
      </w:r>
      <w:bookmarkEnd w:id="35"/>
      <w:bookmarkEnd w:id="36"/>
      <w:bookmarkEnd w:id="37"/>
      <w:bookmarkEnd w:id="38"/>
    </w:p>
    <w:p w14:paraId="38BE2FAB">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4.1 供应商应自行承担所有与参加磋商有关的费用，无论磋商过程中的做法和结果如何，采购人及代理机构在任何情况下均无义务和责任承担这些费用。</w:t>
      </w:r>
    </w:p>
    <w:p w14:paraId="73378983">
      <w:pPr>
        <w:keepNext/>
        <w:spacing w:line="360" w:lineRule="auto"/>
        <w:ind w:firstLine="480"/>
        <w:outlineLvl w:val="3"/>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4.2本项目招标代理费按成交金额的1.2%计收,不足2000元按2000元计，由成交供应商支付；以上费用请投标供应商报价时应综合考虑在报价内（不单列）。</w:t>
      </w:r>
    </w:p>
    <w:p w14:paraId="34A350FD">
      <w:pPr>
        <w:keepNext/>
        <w:spacing w:line="360" w:lineRule="auto"/>
        <w:ind w:firstLine="480"/>
        <w:outlineLvl w:val="3"/>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代理费定标后由成交人支付给代理机构。因成交人原因导致中标结果变更或取消中标资格等，代理费不予退还。</w:t>
      </w:r>
    </w:p>
    <w:p w14:paraId="7866D10C">
      <w:pPr>
        <w:keepNext/>
        <w:spacing w:line="360" w:lineRule="auto"/>
        <w:ind w:firstLine="480"/>
        <w:outlineLvl w:val="3"/>
        <w:rPr>
          <w:rFonts w:hint="eastAsia" w:cs="宋体" w:asciiTheme="minorEastAsia" w:hAnsiTheme="minorEastAsia" w:eastAsiaTheme="minorEastAsia"/>
          <w:b/>
          <w:bCs/>
          <w:sz w:val="24"/>
          <w:szCs w:val="24"/>
          <w:highlight w:val="none"/>
        </w:rPr>
      </w:pPr>
      <w:r>
        <w:rPr>
          <w:rFonts w:hint="eastAsia" w:cs="宋体" w:asciiTheme="minorEastAsia" w:hAnsiTheme="minorEastAsia" w:eastAsiaTheme="minorEastAsia"/>
          <w:sz w:val="24"/>
          <w:szCs w:val="24"/>
          <w:highlight w:val="none"/>
        </w:rPr>
        <w:t>5.磋商文件的约束力</w:t>
      </w:r>
    </w:p>
    <w:p w14:paraId="1B6EC315">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bCs/>
          <w:sz w:val="24"/>
          <w:szCs w:val="24"/>
          <w:highlight w:val="none"/>
        </w:rPr>
        <w:t>5.1</w:t>
      </w:r>
      <w:r>
        <w:rPr>
          <w:rFonts w:hint="eastAsia" w:cs="宋体" w:asciiTheme="minorEastAsia" w:hAnsiTheme="minorEastAsia" w:eastAsiaTheme="minorEastAsia"/>
          <w:sz w:val="24"/>
          <w:szCs w:val="24"/>
          <w:highlight w:val="none"/>
        </w:rPr>
        <w:t xml:space="preserve"> 供应商一旦参加本项目采购活动，即被认为接受了本磋商文件的规定和约束。</w:t>
      </w:r>
    </w:p>
    <w:p w14:paraId="033EAAB7">
      <w:pPr>
        <w:keepNext/>
        <w:spacing w:line="360" w:lineRule="auto"/>
        <w:ind w:firstLine="480"/>
        <w:outlineLvl w:val="3"/>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6.磋商文件的解释</w:t>
      </w:r>
    </w:p>
    <w:p w14:paraId="1627D6CB">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bCs/>
          <w:sz w:val="24"/>
          <w:szCs w:val="24"/>
          <w:highlight w:val="none"/>
        </w:rPr>
        <w:t>6.1</w:t>
      </w:r>
      <w:r>
        <w:rPr>
          <w:rFonts w:hint="eastAsia" w:cs="宋体" w:asciiTheme="minorEastAsia" w:hAnsiTheme="minorEastAsia" w:eastAsiaTheme="minorEastAsia"/>
          <w:sz w:val="24"/>
          <w:szCs w:val="24"/>
          <w:highlight w:val="none"/>
        </w:rPr>
        <w:t>磋商文件需求部分（供应商资格要求、项目需求、商务技术评分标准）由采购人解释，其它部分由采购代理机构解释。</w:t>
      </w:r>
    </w:p>
    <w:p w14:paraId="1167F8F3">
      <w:pPr>
        <w:keepNext/>
        <w:keepLines/>
        <w:spacing w:line="360" w:lineRule="auto"/>
        <w:ind w:firstLine="482"/>
        <w:outlineLvl w:val="2"/>
        <w:rPr>
          <w:rFonts w:hint="eastAsia" w:cs="宋体" w:asciiTheme="minorEastAsia" w:hAnsiTheme="minorEastAsia" w:eastAsiaTheme="minorEastAsia"/>
          <w:b/>
          <w:bCs/>
          <w:sz w:val="24"/>
          <w:szCs w:val="24"/>
          <w:highlight w:val="none"/>
        </w:rPr>
      </w:pPr>
      <w:bookmarkStart w:id="39" w:name="_Toc16938525"/>
      <w:bookmarkStart w:id="40" w:name="_Toc20823281"/>
      <w:bookmarkStart w:id="41" w:name="_Toc120614215"/>
      <w:bookmarkStart w:id="42" w:name="_Toc513029209"/>
      <w:r>
        <w:rPr>
          <w:rFonts w:hint="eastAsia" w:cs="宋体" w:asciiTheme="minorEastAsia" w:hAnsiTheme="minorEastAsia" w:eastAsiaTheme="minorEastAsia"/>
          <w:b/>
          <w:bCs/>
          <w:sz w:val="24"/>
          <w:szCs w:val="24"/>
          <w:highlight w:val="none"/>
        </w:rPr>
        <w:t>（二）磋商文件</w:t>
      </w:r>
      <w:bookmarkEnd w:id="39"/>
      <w:bookmarkEnd w:id="40"/>
      <w:bookmarkEnd w:id="41"/>
      <w:bookmarkEnd w:id="42"/>
    </w:p>
    <w:p w14:paraId="5CC64C88">
      <w:pPr>
        <w:keepNext/>
        <w:spacing w:line="360" w:lineRule="auto"/>
        <w:ind w:firstLine="480"/>
        <w:outlineLvl w:val="3"/>
        <w:rPr>
          <w:rFonts w:hint="eastAsia" w:cs="宋体" w:asciiTheme="minorEastAsia" w:hAnsiTheme="minorEastAsia" w:eastAsiaTheme="minorEastAsia"/>
          <w:b/>
          <w:bCs/>
          <w:sz w:val="24"/>
          <w:szCs w:val="24"/>
          <w:highlight w:val="none"/>
        </w:rPr>
      </w:pPr>
      <w:bookmarkStart w:id="43" w:name="_Toc16938526"/>
      <w:bookmarkStart w:id="44" w:name="_Toc20823282"/>
      <w:bookmarkStart w:id="45" w:name="_Toc513029210"/>
      <w:r>
        <w:rPr>
          <w:rFonts w:hint="eastAsia" w:cs="宋体" w:asciiTheme="minorEastAsia" w:hAnsiTheme="minorEastAsia" w:eastAsiaTheme="minorEastAsia"/>
          <w:sz w:val="24"/>
          <w:szCs w:val="24"/>
          <w:highlight w:val="none"/>
        </w:rPr>
        <w:t>1.磋商文件构成</w:t>
      </w:r>
      <w:bookmarkEnd w:id="43"/>
      <w:bookmarkEnd w:id="44"/>
      <w:bookmarkEnd w:id="45"/>
    </w:p>
    <w:p w14:paraId="3E72D778">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bCs/>
          <w:sz w:val="24"/>
          <w:szCs w:val="24"/>
          <w:highlight w:val="none"/>
        </w:rPr>
        <w:t>1.1</w:t>
      </w:r>
      <w:r>
        <w:rPr>
          <w:rFonts w:hint="eastAsia" w:cs="宋体" w:asciiTheme="minorEastAsia" w:hAnsiTheme="minorEastAsia" w:eastAsiaTheme="minorEastAsia"/>
          <w:sz w:val="24"/>
          <w:szCs w:val="24"/>
          <w:highlight w:val="none"/>
        </w:rPr>
        <w:t xml:space="preserve"> 磋商文件由以下部分组成：</w:t>
      </w:r>
    </w:p>
    <w:p w14:paraId="56C0FD2B">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（1）磋商邀请</w:t>
      </w:r>
    </w:p>
    <w:p w14:paraId="44BD4E03">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（2）供应商须知</w:t>
      </w:r>
    </w:p>
    <w:p w14:paraId="2D669871">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（3）项目需求</w:t>
      </w:r>
    </w:p>
    <w:p w14:paraId="53F2E83D">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（4）评审方法和评审标准</w:t>
      </w:r>
    </w:p>
    <w:p w14:paraId="28C4470D">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（5）响应文件组成</w:t>
      </w:r>
    </w:p>
    <w:p w14:paraId="0CE67DDD">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请仔细检查磋商文件是否齐全，如有缺漏请立即与</w:t>
      </w:r>
      <w:r>
        <w:rPr>
          <w:rFonts w:hint="eastAsia" w:cs="宋体" w:asciiTheme="minorEastAsia" w:hAnsiTheme="minorEastAsia" w:eastAsiaTheme="minorEastAsia"/>
          <w:bCs/>
          <w:sz w:val="24"/>
          <w:szCs w:val="24"/>
          <w:highlight w:val="none"/>
        </w:rPr>
        <w:t>采购人或采购代理机构</w:t>
      </w:r>
      <w:r>
        <w:rPr>
          <w:rFonts w:hint="eastAsia" w:cs="宋体" w:asciiTheme="minorEastAsia" w:hAnsiTheme="minorEastAsia" w:eastAsiaTheme="minorEastAsia"/>
          <w:sz w:val="24"/>
          <w:szCs w:val="24"/>
          <w:highlight w:val="none"/>
        </w:rPr>
        <w:t>联系解决。</w:t>
      </w:r>
    </w:p>
    <w:p w14:paraId="01774D59">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bCs/>
          <w:sz w:val="24"/>
          <w:szCs w:val="24"/>
          <w:highlight w:val="none"/>
        </w:rPr>
        <w:t>1.2</w:t>
      </w:r>
      <w:r>
        <w:rPr>
          <w:rFonts w:hint="eastAsia" w:cs="宋体" w:asciiTheme="minorEastAsia" w:hAnsiTheme="minorEastAsia" w:eastAsiaTheme="minorEastAsia"/>
          <w:sz w:val="24"/>
          <w:szCs w:val="24"/>
          <w:highlight w:val="none"/>
        </w:rPr>
        <w:t>供应商应认真阅读磋商文件中所有的事项、格式、条款和规范等要求。按磋商文件要求和规定编制响应文件，并保证所提供的全部资料的真实性，以使其响应文件对磋商文件作出实质性响应，否则其风险由供应商自行承担。</w:t>
      </w:r>
    </w:p>
    <w:p w14:paraId="58DEFC70">
      <w:pPr>
        <w:keepNext/>
        <w:spacing w:line="360" w:lineRule="auto"/>
        <w:ind w:firstLine="480"/>
        <w:outlineLvl w:val="3"/>
        <w:rPr>
          <w:rFonts w:hint="eastAsia" w:cs="宋体" w:asciiTheme="minorEastAsia" w:hAnsiTheme="minorEastAsia" w:eastAsiaTheme="minorEastAsia"/>
          <w:b/>
          <w:bCs/>
          <w:sz w:val="24"/>
          <w:szCs w:val="24"/>
          <w:highlight w:val="none"/>
        </w:rPr>
      </w:pPr>
      <w:bookmarkStart w:id="46" w:name="_Toc462564070"/>
      <w:bookmarkStart w:id="47" w:name="_Toc513029211"/>
      <w:bookmarkStart w:id="48" w:name="_Toc20823283"/>
      <w:bookmarkStart w:id="49" w:name="_Toc16938527"/>
      <w:r>
        <w:rPr>
          <w:rFonts w:hint="eastAsia" w:cs="宋体" w:asciiTheme="minorEastAsia" w:hAnsiTheme="minorEastAsia" w:eastAsiaTheme="minorEastAsia"/>
          <w:sz w:val="24"/>
          <w:szCs w:val="24"/>
          <w:highlight w:val="none"/>
        </w:rPr>
        <w:t>2.磋商文件的澄清</w:t>
      </w:r>
      <w:bookmarkEnd w:id="46"/>
      <w:bookmarkEnd w:id="47"/>
      <w:bookmarkEnd w:id="48"/>
      <w:bookmarkEnd w:id="49"/>
    </w:p>
    <w:p w14:paraId="7D873BDD">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bCs/>
          <w:sz w:val="24"/>
          <w:szCs w:val="24"/>
          <w:highlight w:val="none"/>
        </w:rPr>
        <w:t>2.1</w:t>
      </w:r>
      <w:r>
        <w:rPr>
          <w:rFonts w:hint="eastAsia" w:cs="宋体" w:asciiTheme="minorEastAsia" w:hAnsiTheme="minorEastAsia" w:eastAsiaTheme="minorEastAsia"/>
          <w:sz w:val="24"/>
          <w:szCs w:val="24"/>
          <w:highlight w:val="none"/>
        </w:rPr>
        <w:t>任何要求对磋商文件进行澄清的供应商，应在提交首次响应文件截止时间五日前按磋商公告中的通讯地址，以书面形式通知采购人或采购代理机构。采购人或采购代理机构有权对发出的磋商文件进行必要的澄清或修改。</w:t>
      </w:r>
    </w:p>
    <w:p w14:paraId="48107729">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2.2</w:t>
      </w:r>
      <w:r>
        <w:rPr>
          <w:rFonts w:hint="eastAsia" w:cs="宋体" w:asciiTheme="minorEastAsia" w:hAnsiTheme="minorEastAsia" w:eastAsiaTheme="minorEastAsia"/>
          <w:bCs/>
          <w:sz w:val="24"/>
          <w:szCs w:val="24"/>
          <w:highlight w:val="none"/>
        </w:rPr>
        <w:t>采购人</w:t>
      </w:r>
      <w:r>
        <w:rPr>
          <w:rFonts w:hint="eastAsia" w:cs="宋体" w:asciiTheme="minorEastAsia" w:hAnsiTheme="minorEastAsia" w:eastAsiaTheme="minorEastAsia"/>
          <w:sz w:val="24"/>
          <w:szCs w:val="24"/>
          <w:highlight w:val="none"/>
        </w:rPr>
        <w:t>可以视采购项目的具体情况，组织供应商进行现场考察或召开磋商前答疑会，但不单独或分别组织只有一个供应商参加的现场考察和答疑会。</w:t>
      </w:r>
    </w:p>
    <w:p w14:paraId="3AB82CB2">
      <w:pPr>
        <w:keepNext/>
        <w:spacing w:line="360" w:lineRule="auto"/>
        <w:ind w:firstLine="480"/>
        <w:outlineLvl w:val="3"/>
        <w:rPr>
          <w:rFonts w:hint="eastAsia" w:cs="宋体" w:asciiTheme="minorEastAsia" w:hAnsiTheme="minorEastAsia" w:eastAsiaTheme="minorEastAsia"/>
          <w:b/>
          <w:bCs/>
          <w:sz w:val="24"/>
          <w:szCs w:val="24"/>
          <w:highlight w:val="none"/>
        </w:rPr>
      </w:pPr>
      <w:bookmarkStart w:id="50" w:name="_Toc513029212"/>
      <w:bookmarkStart w:id="51" w:name="_Toc462564071"/>
      <w:bookmarkStart w:id="52" w:name="_Toc16938528"/>
      <w:bookmarkStart w:id="53" w:name="_Toc20823284"/>
      <w:r>
        <w:rPr>
          <w:rFonts w:hint="eastAsia" w:cs="宋体" w:asciiTheme="minorEastAsia" w:hAnsiTheme="minorEastAsia" w:eastAsiaTheme="minorEastAsia"/>
          <w:sz w:val="24"/>
          <w:szCs w:val="24"/>
          <w:highlight w:val="none"/>
        </w:rPr>
        <w:t>3.磋商文件的修改</w:t>
      </w:r>
      <w:bookmarkEnd w:id="50"/>
      <w:bookmarkEnd w:id="51"/>
      <w:bookmarkEnd w:id="52"/>
      <w:bookmarkEnd w:id="53"/>
    </w:p>
    <w:p w14:paraId="46978979">
      <w:pPr>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3.1 在响应文件提交截止时间前，采购人或采购代理机构可以对磋商文件进行修改</w:t>
      </w:r>
      <w:r>
        <w:rPr>
          <w:rFonts w:hint="eastAsia" w:cs="宋体" w:asciiTheme="minorEastAsia" w:hAnsiTheme="minorEastAsia" w:eastAsiaTheme="minorEastAsia"/>
          <w:sz w:val="24"/>
          <w:szCs w:val="24"/>
          <w:highlight w:val="none"/>
        </w:rPr>
        <w:t>, 澄清或者修改的内容作为磋商文件的组成部分。</w:t>
      </w:r>
    </w:p>
    <w:p w14:paraId="3E81B482">
      <w:pPr>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3.2 采购人或采购代理机构有权按照法定的要求推迟响应文件提交截止日期和磋商日期。</w:t>
      </w:r>
    </w:p>
    <w:p w14:paraId="10F6B8FE">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bCs/>
          <w:sz w:val="24"/>
          <w:szCs w:val="24"/>
          <w:highlight w:val="none"/>
        </w:rPr>
        <w:t>3.3 磋商文件的修改将在江苏政府采购网公布，补充文件将作为磋商文件的组成部分，并对供应商具有约束力</w:t>
      </w:r>
      <w:r>
        <w:rPr>
          <w:rFonts w:hint="eastAsia" w:cs="宋体" w:asciiTheme="minorEastAsia" w:hAnsiTheme="minorEastAsia" w:eastAsiaTheme="minorEastAsia"/>
          <w:sz w:val="24"/>
          <w:szCs w:val="24"/>
          <w:highlight w:val="none"/>
        </w:rPr>
        <w:t>。</w:t>
      </w:r>
    </w:p>
    <w:p w14:paraId="6423B2FA">
      <w:pPr>
        <w:spacing w:line="360" w:lineRule="auto"/>
        <w:ind w:firstLine="482"/>
        <w:rPr>
          <w:rFonts w:hint="eastAsia" w:cs="宋体" w:asciiTheme="minorEastAsia" w:hAnsiTheme="minorEastAsia" w:eastAsiaTheme="minorEastAsia"/>
          <w:b/>
          <w:bCs/>
          <w:sz w:val="24"/>
          <w:szCs w:val="24"/>
          <w:highlight w:val="none"/>
          <w:u w:val="single"/>
        </w:rPr>
      </w:pPr>
      <w:r>
        <w:rPr>
          <w:rFonts w:hint="eastAsia" w:cs="宋体" w:asciiTheme="minorEastAsia" w:hAnsiTheme="minorEastAsia" w:eastAsiaTheme="minorEastAsia"/>
          <w:b/>
          <w:bCs/>
          <w:sz w:val="24"/>
          <w:szCs w:val="24"/>
          <w:highlight w:val="none"/>
          <w:u w:val="single"/>
        </w:rPr>
        <w:t>4.在投标响应截止日期前，采购单位对采购文件进行澄清或者修改的，通过“苏采云”系统发布澄清公告或者修改的内容。澄清或者修改的内容以所发布的本项目的“更正（澄清）公告”的形式通知所有获取采购文件的潜在供应商。发布本项目的“更正（澄清）公告”后采购代理机构已尽通知义务。敬请各潜在供应商关注本项目的“更正（澄清）公告”，并通过“苏采云”系统重新下载更正（澄清）后的采购文件（后缀名为“.kedt”），离线编制响应文件，否则，将自行承担相应的风险。</w:t>
      </w:r>
    </w:p>
    <w:p w14:paraId="4895FE55">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5.供应商对采购人提供的采购文件所做出的推论、解释和结论，采购人概不负责。供应商由于对采购文件的任何推论和误解以及采购人对有关问题的口头解释所造成的后果，均由各潜在供应商自负。</w:t>
      </w:r>
    </w:p>
    <w:p w14:paraId="3D4AD0BB">
      <w:pPr>
        <w:keepNext/>
        <w:keepLines/>
        <w:spacing w:line="360" w:lineRule="auto"/>
        <w:ind w:firstLine="482"/>
        <w:outlineLvl w:val="2"/>
        <w:rPr>
          <w:rFonts w:hint="eastAsia" w:cs="宋体" w:asciiTheme="minorEastAsia" w:hAnsiTheme="minorEastAsia" w:eastAsiaTheme="minorEastAsia"/>
          <w:b/>
          <w:bCs/>
          <w:sz w:val="24"/>
          <w:szCs w:val="24"/>
          <w:highlight w:val="none"/>
        </w:rPr>
      </w:pPr>
      <w:bookmarkStart w:id="54" w:name="_Toc16938529"/>
      <w:bookmarkStart w:id="55" w:name="_Toc513029213"/>
      <w:bookmarkStart w:id="56" w:name="_Toc20823285"/>
      <w:bookmarkStart w:id="57" w:name="_Toc120614216"/>
      <w:bookmarkStart w:id="58" w:name="_Toc462564072"/>
      <w:r>
        <w:rPr>
          <w:rFonts w:hint="eastAsia" w:cs="宋体" w:asciiTheme="minorEastAsia" w:hAnsiTheme="minorEastAsia" w:eastAsiaTheme="minorEastAsia"/>
          <w:b/>
          <w:bCs/>
          <w:sz w:val="24"/>
          <w:szCs w:val="24"/>
          <w:highlight w:val="none"/>
        </w:rPr>
        <w:t>（三）响应文件的编制</w:t>
      </w:r>
      <w:bookmarkEnd w:id="54"/>
      <w:bookmarkEnd w:id="55"/>
      <w:bookmarkEnd w:id="56"/>
      <w:bookmarkEnd w:id="57"/>
      <w:bookmarkEnd w:id="58"/>
    </w:p>
    <w:p w14:paraId="7A366534">
      <w:pPr>
        <w:keepNext/>
        <w:spacing w:line="360" w:lineRule="auto"/>
        <w:ind w:firstLine="480"/>
        <w:outlineLvl w:val="3"/>
        <w:rPr>
          <w:rFonts w:hint="eastAsia" w:cs="宋体" w:asciiTheme="minorEastAsia" w:hAnsiTheme="minorEastAsia" w:eastAsiaTheme="minorEastAsia"/>
          <w:bCs/>
          <w:sz w:val="24"/>
          <w:szCs w:val="24"/>
          <w:highlight w:val="none"/>
        </w:rPr>
      </w:pPr>
      <w:bookmarkStart w:id="59" w:name="_Toc20823286"/>
      <w:bookmarkStart w:id="60" w:name="_Toc16938530"/>
      <w:bookmarkStart w:id="61" w:name="_Toc513029214"/>
      <w:bookmarkStart w:id="62" w:name="_Toc462564073"/>
      <w:r>
        <w:rPr>
          <w:rFonts w:hint="eastAsia" w:cs="宋体" w:asciiTheme="minorEastAsia" w:hAnsiTheme="minorEastAsia" w:eastAsiaTheme="minorEastAsia"/>
          <w:sz w:val="24"/>
          <w:szCs w:val="24"/>
          <w:highlight w:val="none"/>
        </w:rPr>
        <w:t>1.响应文件的语言及度量衡单位</w:t>
      </w:r>
      <w:bookmarkEnd w:id="59"/>
      <w:bookmarkEnd w:id="60"/>
      <w:bookmarkEnd w:id="61"/>
      <w:bookmarkEnd w:id="62"/>
    </w:p>
    <w:p w14:paraId="13D582D7">
      <w:pPr>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1.1供应商提交的响应文件以及供应商与采购人或采购代理机构就有关磋商的所有来往通知、函件和文件均应使用简体中文。</w:t>
      </w:r>
    </w:p>
    <w:p w14:paraId="01092AD5">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bCs/>
          <w:sz w:val="24"/>
          <w:szCs w:val="24"/>
          <w:highlight w:val="none"/>
        </w:rPr>
        <w:t>1.2 除技术性能另有规定外，响应文件所使用的度量衡单位，均须采用国家法定计量单位</w:t>
      </w:r>
      <w:r>
        <w:rPr>
          <w:rFonts w:hint="eastAsia" w:cs="宋体" w:asciiTheme="minorEastAsia" w:hAnsiTheme="minorEastAsia" w:eastAsiaTheme="minorEastAsia"/>
          <w:sz w:val="24"/>
          <w:szCs w:val="24"/>
          <w:highlight w:val="none"/>
        </w:rPr>
        <w:t>。</w:t>
      </w:r>
    </w:p>
    <w:p w14:paraId="57BCCDBF">
      <w:pPr>
        <w:keepNext/>
        <w:spacing w:line="360" w:lineRule="auto"/>
        <w:ind w:firstLine="480"/>
        <w:outlineLvl w:val="3"/>
        <w:rPr>
          <w:rFonts w:hint="eastAsia" w:cs="宋体" w:asciiTheme="minorEastAsia" w:hAnsiTheme="minorEastAsia" w:eastAsiaTheme="minorEastAsia"/>
          <w:b/>
          <w:bCs/>
          <w:sz w:val="24"/>
          <w:szCs w:val="24"/>
          <w:highlight w:val="none"/>
        </w:rPr>
      </w:pPr>
      <w:bookmarkStart w:id="63" w:name="_Toc513029215"/>
      <w:bookmarkStart w:id="64" w:name="_Toc462564074"/>
      <w:bookmarkStart w:id="65" w:name="_Toc16938531"/>
      <w:bookmarkStart w:id="66" w:name="_Toc20823287"/>
      <w:r>
        <w:rPr>
          <w:rFonts w:hint="eastAsia" w:cs="宋体" w:asciiTheme="minorEastAsia" w:hAnsiTheme="minorEastAsia" w:eastAsiaTheme="minorEastAsia"/>
          <w:sz w:val="24"/>
          <w:szCs w:val="24"/>
          <w:highlight w:val="none"/>
        </w:rPr>
        <w:t>2.响应文件构成</w:t>
      </w:r>
      <w:bookmarkEnd w:id="63"/>
      <w:bookmarkEnd w:id="64"/>
      <w:bookmarkEnd w:id="65"/>
      <w:bookmarkEnd w:id="66"/>
    </w:p>
    <w:p w14:paraId="012E0437">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bCs/>
          <w:sz w:val="24"/>
          <w:szCs w:val="24"/>
          <w:highlight w:val="none"/>
        </w:rPr>
        <w:t>2.1 供应商编写的响应文件应包括资格审查文件、商务技术响应文件、报价响应文件。供应商按“第五部分 响应文件组成”要求编写响应文件</w:t>
      </w:r>
      <w:r>
        <w:rPr>
          <w:rFonts w:hint="eastAsia" w:cs="宋体" w:asciiTheme="minorEastAsia" w:hAnsiTheme="minorEastAsia" w:eastAsiaTheme="minorEastAsia"/>
          <w:sz w:val="24"/>
          <w:szCs w:val="24"/>
          <w:highlight w:val="none"/>
        </w:rPr>
        <w:t>。</w:t>
      </w:r>
    </w:p>
    <w:p w14:paraId="5D64592B">
      <w:pPr>
        <w:keepNext/>
        <w:spacing w:line="360" w:lineRule="auto"/>
        <w:ind w:firstLine="480"/>
        <w:outlineLvl w:val="3"/>
        <w:rPr>
          <w:rFonts w:hint="eastAsia" w:cs="宋体" w:asciiTheme="minorEastAsia" w:hAnsiTheme="minorEastAsia" w:eastAsiaTheme="minorEastAsia"/>
          <w:b/>
          <w:bCs/>
          <w:sz w:val="24"/>
          <w:szCs w:val="24"/>
          <w:highlight w:val="none"/>
        </w:rPr>
      </w:pPr>
      <w:bookmarkStart w:id="67" w:name="_Hlt26668975"/>
      <w:bookmarkEnd w:id="67"/>
      <w:bookmarkStart w:id="68" w:name="_Hlt26670360"/>
      <w:bookmarkEnd w:id="68"/>
      <w:bookmarkStart w:id="69" w:name="_Hlt26954838"/>
      <w:bookmarkEnd w:id="69"/>
      <w:bookmarkStart w:id="70" w:name="_Toc14577360"/>
      <w:bookmarkStart w:id="71" w:name="_Toc49090511"/>
      <w:r>
        <w:rPr>
          <w:rFonts w:hint="eastAsia" w:cs="宋体" w:asciiTheme="minorEastAsia" w:hAnsiTheme="minorEastAsia" w:eastAsiaTheme="minorEastAsia"/>
          <w:sz w:val="24"/>
          <w:szCs w:val="24"/>
          <w:highlight w:val="none"/>
        </w:rPr>
        <w:t>3.</w:t>
      </w:r>
      <w:bookmarkEnd w:id="70"/>
      <w:bookmarkEnd w:id="71"/>
      <w:r>
        <w:rPr>
          <w:rFonts w:hint="eastAsia" w:cs="宋体" w:asciiTheme="minorEastAsia" w:hAnsiTheme="minorEastAsia" w:eastAsiaTheme="minorEastAsia"/>
          <w:sz w:val="24"/>
          <w:szCs w:val="24"/>
          <w:highlight w:val="none"/>
        </w:rPr>
        <w:t>磋商响应有效期</w:t>
      </w:r>
    </w:p>
    <w:p w14:paraId="6DBDA062">
      <w:pPr>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3.1磋商响应有效期为采购文件规定的响应文件</w:t>
      </w:r>
      <w:r>
        <w:rPr>
          <w:rFonts w:hint="eastAsia" w:cs="宋体" w:asciiTheme="minorEastAsia" w:hAnsiTheme="minorEastAsia" w:eastAsiaTheme="minorEastAsia"/>
          <w:sz w:val="24"/>
          <w:szCs w:val="24"/>
          <w:highlight w:val="none"/>
        </w:rPr>
        <w:t>提交</w:t>
      </w:r>
      <w:r>
        <w:rPr>
          <w:rFonts w:hint="eastAsia" w:cs="宋体" w:asciiTheme="minorEastAsia" w:hAnsiTheme="minorEastAsia" w:eastAsiaTheme="minorEastAsia"/>
          <w:bCs/>
          <w:sz w:val="24"/>
          <w:szCs w:val="24"/>
          <w:highlight w:val="none"/>
        </w:rPr>
        <w:t>截止时间后</w:t>
      </w:r>
      <w:r>
        <w:rPr>
          <w:rFonts w:hint="eastAsia" w:cs="宋体" w:asciiTheme="minorEastAsia" w:hAnsiTheme="minorEastAsia" w:eastAsiaTheme="minorEastAsia"/>
          <w:b/>
          <w:sz w:val="24"/>
          <w:szCs w:val="24"/>
          <w:highlight w:val="none"/>
          <w:u w:val="single"/>
        </w:rPr>
        <w:t>六十（60）天</w:t>
      </w:r>
      <w:r>
        <w:rPr>
          <w:rFonts w:hint="eastAsia" w:cs="宋体" w:asciiTheme="minorEastAsia" w:hAnsiTheme="minorEastAsia" w:eastAsiaTheme="minorEastAsia"/>
          <w:bCs/>
          <w:sz w:val="24"/>
          <w:szCs w:val="24"/>
          <w:highlight w:val="none"/>
        </w:rPr>
        <w:t>。磋商响应有效期比规定短的将被视为非实质性响应而予以拒绝。</w:t>
      </w:r>
    </w:p>
    <w:p w14:paraId="1EBECC22">
      <w:pPr>
        <w:keepNext/>
        <w:spacing w:line="360" w:lineRule="auto"/>
        <w:ind w:firstLine="480"/>
        <w:outlineLvl w:val="3"/>
        <w:rPr>
          <w:rFonts w:hint="eastAsia" w:cs="宋体" w:asciiTheme="minorEastAsia" w:hAnsiTheme="minorEastAsia" w:eastAsiaTheme="minorEastAsia"/>
          <w:b/>
          <w:bCs/>
          <w:sz w:val="24"/>
          <w:szCs w:val="24"/>
          <w:highlight w:val="none"/>
        </w:rPr>
      </w:pPr>
      <w:r>
        <w:rPr>
          <w:rFonts w:hint="eastAsia" w:cs="宋体" w:asciiTheme="minorEastAsia" w:hAnsiTheme="minorEastAsia" w:eastAsiaTheme="minorEastAsia"/>
          <w:sz w:val="24"/>
          <w:szCs w:val="24"/>
          <w:highlight w:val="none"/>
        </w:rPr>
        <w:t>4. 磋商响应有效期的延长</w:t>
      </w:r>
    </w:p>
    <w:p w14:paraId="18AA09FF">
      <w:pPr>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4.1在特殊情况下，采购人或采购代理机构于原磋商响应有效期满之前，可向磋商供应商提出延长磋商响应有效期的要求。这种要求与答复均应采用书面形式。供应商可以拒绝采购人或采购代理机构的这一要求而放弃磋商响应，同意延长磋商响应有效期的供应商既不能要求也不允许修改其响应文件。受磋商响应有效期约束的所有权利与义务均延长至新的有效期。</w:t>
      </w:r>
    </w:p>
    <w:p w14:paraId="4E4E46B7">
      <w:pPr>
        <w:spacing w:line="360" w:lineRule="auto"/>
        <w:ind w:firstLine="480"/>
        <w:rPr>
          <w:rFonts w:hint="eastAsia" w:cs="宋体" w:asciiTheme="minorEastAsia" w:hAnsiTheme="minorEastAsia" w:eastAsiaTheme="minorEastAsia"/>
          <w:bCs/>
          <w:sz w:val="24"/>
          <w:szCs w:val="24"/>
          <w:highlight w:val="none"/>
        </w:rPr>
      </w:pPr>
      <w:bookmarkStart w:id="72" w:name="_Hlt26954739"/>
      <w:bookmarkEnd w:id="72"/>
      <w:bookmarkStart w:id="73" w:name="_Hlt26954852"/>
      <w:bookmarkEnd w:id="73"/>
      <w:bookmarkStart w:id="74" w:name="_Toc120614217"/>
      <w:bookmarkStart w:id="75" w:name="_Toc20823296"/>
      <w:bookmarkStart w:id="76" w:name="_Toc513029224"/>
      <w:bookmarkStart w:id="77" w:name="_Toc16938540"/>
      <w:r>
        <w:rPr>
          <w:rFonts w:hint="eastAsia" w:cs="宋体" w:asciiTheme="minorEastAsia" w:hAnsiTheme="minorEastAsia" w:eastAsiaTheme="minorEastAsia"/>
          <w:bCs/>
          <w:sz w:val="24"/>
          <w:szCs w:val="24"/>
          <w:highlight w:val="none"/>
        </w:rPr>
        <w:t>5.电子响应文件其他要求</w:t>
      </w:r>
    </w:p>
    <w:p w14:paraId="2BFBB479">
      <w:pPr>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5.1电子招标投标交易平台（即“苏采云”系统）相关要求是本采购文件的组成部分。</w:t>
      </w:r>
    </w:p>
    <w:p w14:paraId="72473F33">
      <w:pPr>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5.2供应商应对CA证书妥善保管，如被他人盗用投标，因此带来的结果均由供应商自行承担。</w:t>
      </w:r>
    </w:p>
    <w:p w14:paraId="32507F0A">
      <w:pPr>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5.3供应商应当对采购文件提出的实质性要求和条件作出实质性响应，并在电子投标系统逐条应答。</w:t>
      </w:r>
    </w:p>
    <w:p w14:paraId="552671AE">
      <w:pPr>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 xml:space="preserve">5.4供应商应对要求提供的资格证明文件（如资质证书、资格证书）、技术资料（如白皮书、彩页、手册、检测报告等）扫描上传至投标系统。 </w:t>
      </w:r>
    </w:p>
    <w:p w14:paraId="3EE41241">
      <w:pPr>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6.供应商应当在采购文件要求提交响应文件的截止时间前，将响应文件提交至“苏采云”系统，逾期提交的响应文件，“苏采云”系统将自动拒收。各供应商应在规定时间内凭CA证书进行网上解密。</w:t>
      </w:r>
    </w:p>
    <w:p w14:paraId="4E9D0C9F">
      <w:pPr>
        <w:keepNext/>
        <w:keepLines/>
        <w:spacing w:line="360" w:lineRule="auto"/>
        <w:ind w:firstLine="482"/>
        <w:outlineLvl w:val="2"/>
        <w:rPr>
          <w:rFonts w:hint="eastAsia" w:cs="宋体" w:asciiTheme="minorEastAsia" w:hAnsiTheme="minorEastAsia" w:eastAsiaTheme="minorEastAsia"/>
          <w:b/>
          <w:bCs/>
          <w:sz w:val="24"/>
          <w:szCs w:val="24"/>
          <w:highlight w:val="none"/>
        </w:rPr>
      </w:pPr>
      <w:r>
        <w:rPr>
          <w:rFonts w:hint="eastAsia" w:cs="宋体" w:asciiTheme="minorEastAsia" w:hAnsiTheme="minorEastAsia" w:eastAsiaTheme="minorEastAsia"/>
          <w:b/>
          <w:bCs/>
          <w:sz w:val="24"/>
          <w:szCs w:val="24"/>
          <w:highlight w:val="none"/>
        </w:rPr>
        <w:t>（四）响应文件的提交</w:t>
      </w:r>
      <w:bookmarkEnd w:id="74"/>
      <w:bookmarkEnd w:id="75"/>
      <w:bookmarkEnd w:id="76"/>
      <w:bookmarkEnd w:id="77"/>
    </w:p>
    <w:p w14:paraId="79FA14C3">
      <w:pPr>
        <w:keepNext/>
        <w:spacing w:line="360" w:lineRule="auto"/>
        <w:ind w:firstLine="480"/>
        <w:outlineLvl w:val="3"/>
        <w:rPr>
          <w:rFonts w:hint="eastAsia" w:cs="宋体" w:asciiTheme="minorEastAsia" w:hAnsiTheme="minorEastAsia" w:eastAsiaTheme="minorEastAsia"/>
          <w:b/>
          <w:bCs/>
          <w:sz w:val="24"/>
          <w:szCs w:val="24"/>
          <w:highlight w:val="none"/>
        </w:rPr>
      </w:pPr>
      <w:bookmarkStart w:id="78" w:name="_Toc20823297"/>
      <w:bookmarkStart w:id="79" w:name="_Toc462564084"/>
      <w:bookmarkStart w:id="80" w:name="_Toc16938541"/>
      <w:bookmarkStart w:id="81" w:name="_Toc513029225"/>
      <w:bookmarkStart w:id="82" w:name="_Toc120614218"/>
      <w:bookmarkStart w:id="83" w:name="_Toc20823301"/>
      <w:bookmarkStart w:id="84" w:name="_Toc16938545"/>
      <w:bookmarkStart w:id="85" w:name="_Toc513029229"/>
      <w:r>
        <w:rPr>
          <w:rFonts w:hint="eastAsia" w:cs="宋体" w:asciiTheme="minorEastAsia" w:hAnsiTheme="minorEastAsia" w:eastAsiaTheme="minorEastAsia"/>
          <w:sz w:val="24"/>
          <w:szCs w:val="24"/>
          <w:highlight w:val="none"/>
        </w:rPr>
        <w:t>1.响应文件</w:t>
      </w:r>
      <w:bookmarkEnd w:id="78"/>
      <w:bookmarkEnd w:id="79"/>
      <w:bookmarkEnd w:id="80"/>
      <w:bookmarkEnd w:id="81"/>
      <w:r>
        <w:rPr>
          <w:rFonts w:hint="eastAsia" w:cs="宋体" w:asciiTheme="minorEastAsia" w:hAnsiTheme="minorEastAsia" w:eastAsiaTheme="minorEastAsia"/>
          <w:sz w:val="24"/>
          <w:szCs w:val="24"/>
          <w:highlight w:val="none"/>
        </w:rPr>
        <w:t>的提交</w:t>
      </w:r>
    </w:p>
    <w:p w14:paraId="09FB775A">
      <w:pPr>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1.1线上提交与接收地点：供应商应当通过“苏采云”系统提交数据电文形式的响应文件（即电子投标），“苏采云”系统自动接收。</w:t>
      </w:r>
    </w:p>
    <w:p w14:paraId="0F1E6A93">
      <w:pPr>
        <w:spacing w:line="360" w:lineRule="auto"/>
        <w:ind w:firstLine="482"/>
        <w:rPr>
          <w:rFonts w:hint="eastAsia" w:cs="宋体" w:asciiTheme="minorEastAsia" w:hAnsiTheme="minorEastAsia" w:eastAsiaTheme="minorEastAsia"/>
          <w:b/>
          <w:bCs/>
          <w:sz w:val="24"/>
          <w:szCs w:val="24"/>
          <w:highlight w:val="none"/>
        </w:rPr>
      </w:pPr>
      <w:r>
        <w:rPr>
          <w:rFonts w:hint="eastAsia" w:cs="宋体" w:asciiTheme="minorEastAsia" w:hAnsiTheme="minorEastAsia" w:eastAsiaTheme="minorEastAsia"/>
          <w:b/>
          <w:bCs/>
          <w:sz w:val="24"/>
          <w:szCs w:val="24"/>
          <w:highlight w:val="none"/>
        </w:rPr>
        <w:t>说明：电子响应文件应由其法定代表人或被授权人在规定的网上投标时间内，凭CA证书登录“苏采云”系统在线编制响应文件（电子数据），并在投标截止时间之前上传磋商响应文件。供应商应在达到开标时间后，使用CA数字证书解密各自磋商响应文件。</w:t>
      </w:r>
    </w:p>
    <w:p w14:paraId="1CEB49B1">
      <w:pPr>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2.提交响应文件截止日期</w:t>
      </w:r>
    </w:p>
    <w:p w14:paraId="0976DF4D">
      <w:pPr>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2.1 供应商上传电子响应文件的时间不得迟于竞争性磋商公告中规定的响应文件提交截止时间。</w:t>
      </w:r>
    </w:p>
    <w:p w14:paraId="306131D7">
      <w:pPr>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供应商应充分考虑到网络环境、网络带宽等风险因素，如因供应商自身原因造成的电子响应文件上传不成功由供应商自行承担全部责任。</w:t>
      </w:r>
    </w:p>
    <w:p w14:paraId="1BC1C6AC">
      <w:pPr>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2.2 采购人或采购代理机构可以按照规定，通过修改响应文件酌情延长响应文件提交截止日期，在此情况下，供应商的所有权利和义务以及供应商受制的截止日期均应以延长后新的截止日期为准。</w:t>
      </w:r>
    </w:p>
    <w:p w14:paraId="73EF657C">
      <w:pPr>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3.响应文件的密封（加密）要求：</w:t>
      </w:r>
    </w:p>
    <w:p w14:paraId="42153E4F">
      <w:pPr>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3.1供应商应当按照采购文件和“苏采云”系统的要求编制并加密响应文件。本项目供应商须通过“苏采云”系统提供的政府采购客户端工具（使用“CA数字证书”）对其数据电文形式的响应文件加密。</w:t>
      </w:r>
    </w:p>
    <w:p w14:paraId="440424B5">
      <w:pPr>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3.2供应商须通过“苏采云”系统提供的政府采购客户端工具（使用“CA数字证书”）加盖电子签章。</w:t>
      </w:r>
    </w:p>
    <w:p w14:paraId="6E00FC95">
      <w:pPr>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说明：供应商应在用CA数字证书以及自备的能够登录“苏采云”系统的电脑，在达到开标时间后，使用CA数字证书解密各自响应文件。</w:t>
      </w:r>
    </w:p>
    <w:p w14:paraId="36E6CF40">
      <w:pPr>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3.3供应商未按规定加密的响应文件，“苏采云”系统将拒收并提示。</w:t>
      </w:r>
    </w:p>
    <w:p w14:paraId="4FA98C1D">
      <w:pPr>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4.响应文件的拒收</w:t>
      </w:r>
    </w:p>
    <w:p w14:paraId="3671016A">
      <w:pPr>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4.1 “苏采云”系统拒绝接收在规定的响应文件提交截止时间后上传的任何响应文件。</w:t>
      </w:r>
    </w:p>
    <w:p w14:paraId="285000EC">
      <w:pPr>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5. 响应文件的撤回和修改</w:t>
      </w:r>
    </w:p>
    <w:p w14:paraId="2040272B">
      <w:pPr>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5.1 响应文件的撤回</w:t>
      </w:r>
    </w:p>
    <w:p w14:paraId="582B5065">
      <w:pPr>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5.1.1 电子响应文件的撤回</w:t>
      </w:r>
    </w:p>
    <w:p w14:paraId="10B8203D">
      <w:pPr>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供应商可在响应文件提交截止时间前，撤回其电子响应文件，具体操作方法见“苏采云”系统供应商操作手册。</w:t>
      </w:r>
    </w:p>
    <w:p w14:paraId="02B98D12">
      <w:pPr>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5.1.2 供应商撤回电子响应文件，则认为其不再参与本项目竞争性磋商活动。</w:t>
      </w:r>
    </w:p>
    <w:p w14:paraId="236594E7">
      <w:pPr>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5.2 响应文件的修改</w:t>
      </w:r>
    </w:p>
    <w:p w14:paraId="0B0E1F97">
      <w:pPr>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供应商可在响应文件提交截止时间前，对其电子响应文件进行修改。具体操作方法见“苏采云”系统供应商操作手册。</w:t>
      </w:r>
    </w:p>
    <w:p w14:paraId="37DE9AC7">
      <w:pPr>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5.3 在响应文件提交截止时间之后，供应商不得对其电子响应文件作任何修改。</w:t>
      </w:r>
    </w:p>
    <w:p w14:paraId="71E4A399">
      <w:pPr>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5.4 在响应文件提交截止时间至磋商文件中规定的磋商响应有效期满之间的这段时间内，供应商不得撤回其响应文件。</w:t>
      </w:r>
    </w:p>
    <w:p w14:paraId="6B652695">
      <w:pPr>
        <w:spacing w:line="360" w:lineRule="auto"/>
        <w:ind w:firstLine="482"/>
        <w:rPr>
          <w:rFonts w:hint="eastAsia" w:cs="宋体" w:asciiTheme="minorEastAsia" w:hAnsiTheme="minorEastAsia" w:eastAsiaTheme="minorEastAsia"/>
          <w:b/>
          <w:bCs/>
          <w:sz w:val="24"/>
          <w:szCs w:val="24"/>
          <w:highlight w:val="none"/>
        </w:rPr>
      </w:pPr>
      <w:r>
        <w:rPr>
          <w:rFonts w:hint="eastAsia" w:cs="宋体" w:asciiTheme="minorEastAsia" w:hAnsiTheme="minorEastAsia" w:eastAsiaTheme="minorEastAsia"/>
          <w:b/>
          <w:bCs/>
          <w:sz w:val="24"/>
          <w:szCs w:val="24"/>
          <w:highlight w:val="none"/>
        </w:rPr>
        <w:t>（五）</w:t>
      </w:r>
      <w:bookmarkEnd w:id="82"/>
      <w:bookmarkEnd w:id="83"/>
      <w:bookmarkEnd w:id="84"/>
      <w:bookmarkEnd w:id="85"/>
      <w:bookmarkStart w:id="86" w:name="_Toc20823302"/>
      <w:bookmarkStart w:id="87" w:name="_Toc16938546"/>
      <w:bookmarkStart w:id="88" w:name="_Toc513029230"/>
      <w:r>
        <w:rPr>
          <w:rFonts w:hint="eastAsia" w:cs="宋体" w:asciiTheme="minorEastAsia" w:hAnsiTheme="minorEastAsia" w:eastAsiaTheme="minorEastAsia"/>
          <w:b/>
          <w:bCs/>
          <w:sz w:val="24"/>
          <w:szCs w:val="24"/>
          <w:highlight w:val="none"/>
        </w:rPr>
        <w:t>磋商与评审</w:t>
      </w:r>
    </w:p>
    <w:p w14:paraId="228601AA">
      <w:pPr>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1.磋商仪式</w:t>
      </w:r>
    </w:p>
    <w:p w14:paraId="09FAA104">
      <w:pPr>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1.1采购人或采购代理机构将在磋商公告中规定的时间和地点组织磋商开始仪式。</w:t>
      </w:r>
    </w:p>
    <w:p w14:paraId="6EFFCA27">
      <w:pPr>
        <w:spacing w:line="360" w:lineRule="auto"/>
        <w:ind w:firstLine="482"/>
        <w:rPr>
          <w:rFonts w:hint="eastAsia" w:cs="宋体" w:asciiTheme="minorEastAsia" w:hAnsiTheme="minorEastAsia" w:eastAsiaTheme="minorEastAsia"/>
          <w:b/>
          <w:sz w:val="24"/>
          <w:szCs w:val="24"/>
          <w:highlight w:val="none"/>
        </w:rPr>
      </w:pPr>
      <w:r>
        <w:rPr>
          <w:rFonts w:hint="eastAsia" w:cs="宋体" w:asciiTheme="minorEastAsia" w:hAnsiTheme="minorEastAsia" w:eastAsiaTheme="minorEastAsia"/>
          <w:b/>
          <w:sz w:val="24"/>
          <w:szCs w:val="24"/>
          <w:highlight w:val="none"/>
        </w:rPr>
        <w:t>开标当天各供应商及时登录不见面开标大厅，响应文件提交截止时间后，采购代理机构将在系统内公布供应商名单，然后通过开标会议区发出响应文件解密的指令，供应商按规定时间自行实施远程解密，供应商解密限定在开标后</w:t>
      </w:r>
      <w:r>
        <w:rPr>
          <w:rFonts w:hint="eastAsia" w:cs="宋体" w:asciiTheme="minorEastAsia" w:hAnsiTheme="minorEastAsia" w:eastAsiaTheme="minorEastAsia"/>
          <w:b/>
          <w:sz w:val="24"/>
          <w:szCs w:val="24"/>
          <w:highlight w:val="none"/>
          <w:u w:val="single"/>
        </w:rPr>
        <w:t>30分钟</w:t>
      </w:r>
      <w:r>
        <w:rPr>
          <w:rFonts w:hint="eastAsia" w:cs="宋体" w:asciiTheme="minorEastAsia" w:hAnsiTheme="minorEastAsia" w:eastAsiaTheme="minorEastAsia"/>
          <w:b/>
          <w:sz w:val="24"/>
          <w:szCs w:val="24"/>
          <w:highlight w:val="none"/>
        </w:rPr>
        <w:t>之内完成。</w:t>
      </w:r>
      <w:r>
        <w:rPr>
          <w:rFonts w:hint="eastAsia" w:cs="宋体" w:asciiTheme="minorEastAsia" w:hAnsiTheme="minorEastAsia" w:eastAsiaTheme="minorEastAsia"/>
          <w:b/>
          <w:sz w:val="24"/>
          <w:szCs w:val="24"/>
          <w:highlight w:val="none"/>
          <w:u w:val="single"/>
        </w:rPr>
        <w:t>因供应商网络与电源不稳定、未按操作手册要求配置软硬件、解密锁发生故障或用错、故意不在要求时限内完成解密等自身原因，导致响应文件在规定时间内未能解密、解密失败或解密超时，视为供应商撤销其响应文件，系统内响应文件将被退回；</w:t>
      </w:r>
      <w:r>
        <w:rPr>
          <w:rFonts w:hint="eastAsia" w:cs="宋体" w:asciiTheme="minorEastAsia" w:hAnsiTheme="minorEastAsia" w:eastAsiaTheme="minorEastAsia"/>
          <w:b/>
          <w:sz w:val="24"/>
          <w:szCs w:val="24"/>
          <w:highlight w:val="none"/>
        </w:rPr>
        <w:t>因采购人（或采购代理机构）原因或网上招投标平台发生故障，导致无法按时完成响应文件解密或开、评标工作无法进行的，可根据实际情况相应延迟解密时间或调整开、评标时间。</w:t>
      </w:r>
    </w:p>
    <w:p w14:paraId="65FB20BE">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1.2 磋商活动的文件解密工作由采购代理机构组织。</w:t>
      </w:r>
    </w:p>
    <w:p w14:paraId="6E240C7C">
      <w:pPr>
        <w:spacing w:line="360" w:lineRule="auto"/>
        <w:ind w:firstLine="482"/>
        <w:rPr>
          <w:rFonts w:hint="eastAsia" w:cs="宋体" w:asciiTheme="minorEastAsia" w:hAnsiTheme="minorEastAsia" w:eastAsiaTheme="minorEastAsia"/>
          <w:b/>
          <w:sz w:val="24"/>
          <w:szCs w:val="24"/>
          <w:highlight w:val="none"/>
        </w:rPr>
      </w:pPr>
      <w:r>
        <w:rPr>
          <w:rFonts w:hint="eastAsia" w:cs="宋体" w:asciiTheme="minorEastAsia" w:hAnsiTheme="minorEastAsia" w:eastAsiaTheme="minorEastAsia"/>
          <w:b/>
          <w:sz w:val="24"/>
          <w:szCs w:val="24"/>
          <w:highlight w:val="none"/>
        </w:rPr>
        <w:t>注：各供应商请关注开标大厅交流区，在开标结束后，请勿离开开标大厅，采购人或采购代理机构通知最后报价填报后，所有的响应供应商须在</w:t>
      </w:r>
      <w:r>
        <w:rPr>
          <w:rFonts w:hint="eastAsia" w:cs="宋体" w:asciiTheme="minorEastAsia" w:hAnsiTheme="minorEastAsia" w:eastAsiaTheme="minorEastAsia"/>
          <w:b/>
          <w:sz w:val="24"/>
          <w:szCs w:val="24"/>
          <w:highlight w:val="none"/>
          <w:u w:val="single"/>
        </w:rPr>
        <w:t>15分钟</w:t>
      </w:r>
      <w:r>
        <w:rPr>
          <w:rFonts w:hint="eastAsia" w:cs="宋体" w:asciiTheme="minorEastAsia" w:hAnsiTheme="minorEastAsia" w:eastAsiaTheme="minorEastAsia"/>
          <w:b/>
          <w:sz w:val="24"/>
          <w:szCs w:val="24"/>
          <w:highlight w:val="none"/>
        </w:rPr>
        <w:t>内填写并提交最后报价，未在规定时间内提交最后报价的，视作无效响应处理。</w:t>
      </w:r>
    </w:p>
    <w:p w14:paraId="77FFEDB9">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2.磋商小组</w:t>
      </w:r>
    </w:p>
    <w:p w14:paraId="304FDC00">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2.1磋商开始仪式结束后，采购人或采购代理机构将立即组织磋商小组进行评审。</w:t>
      </w:r>
    </w:p>
    <w:p w14:paraId="02B7C757">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2.2磋商小组由采购人代表和评审专家共3人及以上单数组成，其中评审专家人数不得少于磋商小组成员总数的2/3。采购人不得以评审专家身份参加本部门或本单位采购项目的评审。采购代理机构不得参加本机构代理的采购项目的评审。</w:t>
      </w:r>
    </w:p>
    <w:p w14:paraId="5F671830">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2.3超过公开招标限额标准的项目，磋商小组应当由5人及以上单数组成。</w:t>
      </w:r>
    </w:p>
    <w:p w14:paraId="1117E380">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2.4采用竞争性磋商的政府采购项目，评审专家应当从政府采购评审专家库内相关专业的专家名单中随机抽取。市场竞争不充分的科研项目、需要扶持的科技成果转化项目，以及情况特殊、通过随机方式难以确定合适的评审专家的项目，经主管预算单位同意，可以自行选定评审专家。技术复杂、专业性强的竞争性磋商采购项目，评审专家中应当包含1名法律专家。</w:t>
      </w:r>
    </w:p>
    <w:p w14:paraId="5C7F6BDB">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2.5磋商小组独立工作，负责评审所有响应文件并确定成交候选人。</w:t>
      </w:r>
    </w:p>
    <w:p w14:paraId="1F599FE8">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3. 磋商评审过程的保密与公正</w:t>
      </w:r>
    </w:p>
    <w:p w14:paraId="4C58379C">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3.1磋商小组、采购人或采购代理机构、相关监督人员等与评审工作有关的人员，对评审情况以及在评审过程中获悉的国家秘密、商业秘密负有保密责任。</w:t>
      </w:r>
    </w:p>
    <w:p w14:paraId="6F5A3B94">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3.2在磋商评审过程中，磋商供应商不得以任何行为影响磋商评审过程，否则其响应文件将被作为无效响应文件。</w:t>
      </w:r>
    </w:p>
    <w:p w14:paraId="73AC89C9">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3.3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3D2EC8F3">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3.4评审开始后，直至向成交供应商授予合同时止，凡是与审查、澄清、评价和比较响应的有关资料以及授标建议等，采购人、磋商小组、采购代理机构均不得向供应商或与评标无关的其他人员透露。</w:t>
      </w:r>
    </w:p>
    <w:p w14:paraId="46DFDF87">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3.5在评审期间，采购人或采购代理机构将设专门人员与供应商联系。</w:t>
      </w:r>
    </w:p>
    <w:p w14:paraId="158F224D">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3.6采购人、采购代理机构和磋商小组不向未成交的供应商解释未成交原因，也不公布评审过程中的相关细节。</w:t>
      </w:r>
    </w:p>
    <w:p w14:paraId="2F2398CC">
      <w:pPr>
        <w:tabs>
          <w:tab w:val="left" w:pos="900"/>
        </w:tabs>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4、评审过程的澄清</w:t>
      </w:r>
    </w:p>
    <w:p w14:paraId="03A9A620">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4.1项目评审期间，磋商小组有权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并非对每个供应商都作澄清要求。</w:t>
      </w:r>
    </w:p>
    <w:p w14:paraId="1E56CF33">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4.2需要供应商进行澄清、说明和更正的，磋商小组将通过苏采云系统向供应商发布“澄清要求函”，接到“澄清要求函”的供应商应当按照要求在苏采云系统中提交“澄清响应函”并加盖CA电子公章。澄清、说明和更正的内容作为响应文件的补充部分，具体操作方式见《操作手册》。</w:t>
      </w:r>
    </w:p>
    <w:p w14:paraId="0357AC80">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4.3 接到磋商小组澄清、说明和更正要求的供应商如未按规定做出澄清、说明和 更正，其风险由供应商自行承担。</w:t>
      </w:r>
    </w:p>
    <w:p w14:paraId="55815D3A">
      <w:pPr>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5.对响应文件的审查</w:t>
      </w:r>
    </w:p>
    <w:p w14:paraId="5EE252C9">
      <w:pPr>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5.1响应文件初审分为资格性审查和符合性审查。</w:t>
      </w:r>
    </w:p>
    <w:p w14:paraId="2B8EC542">
      <w:pPr>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5.1.1资格性检查：由磋商小组依据法律法规和磋商文件的规定，对响应文件中的资格证明文件进行审查，以确定供应商是否具备参加磋商的资格。</w:t>
      </w:r>
    </w:p>
    <w:p w14:paraId="1F323F75">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磋商小组在进行资格性审查的同时，将在“信用中国”网站查询供应商的信用记录，以确定供应商是否具备磋商资格。</w:t>
      </w:r>
    </w:p>
    <w:p w14:paraId="65B9341C">
      <w:pPr>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接受联合体的项目，两个以上的自然人、法人或者其他组织组成一个联合体，以一个供应商的身份共同参加政府采购活动的,联合体成员中任何一方存在不良信用记录的，视同联合体存在不良应用记录。</w:t>
      </w:r>
    </w:p>
    <w:p w14:paraId="0D10F064">
      <w:pPr>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5.1.2符合性审查：依据磋商文件的规定，由磋商小组从响应文件的有效性、完整性和对磋商文件的响应程度进行审查，以确定是否对磋商文件的实质性要求作出响应。</w:t>
      </w:r>
    </w:p>
    <w:p w14:paraId="5DE2D41D">
      <w:pPr>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5.1.3未通过资格审查或符合性审查的供应商，磋商小组将在</w:t>
      </w:r>
      <w:r>
        <w:rPr>
          <w:rFonts w:hint="eastAsia" w:cs="宋体" w:asciiTheme="minorEastAsia" w:hAnsiTheme="minorEastAsia" w:eastAsiaTheme="minorEastAsia"/>
          <w:sz w:val="24"/>
          <w:szCs w:val="24"/>
          <w:highlight w:val="none"/>
        </w:rPr>
        <w:t>苏采云系统</w:t>
      </w:r>
      <w:r>
        <w:rPr>
          <w:rFonts w:hint="eastAsia" w:cs="宋体" w:asciiTheme="minorEastAsia" w:hAnsiTheme="minorEastAsia" w:eastAsiaTheme="minorEastAsia"/>
          <w:bCs/>
          <w:sz w:val="24"/>
          <w:szCs w:val="24"/>
          <w:highlight w:val="none"/>
        </w:rPr>
        <w:t>中告知未通过资格审查或符合性审查的原因，评审结束后，磋商小组将不再告知未通过资格审查或符合性审查的原因。</w:t>
      </w:r>
    </w:p>
    <w:p w14:paraId="61F047AE">
      <w:pPr>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5.2</w:t>
      </w:r>
      <w:r>
        <w:rPr>
          <w:rFonts w:hint="eastAsia" w:cs="宋体" w:asciiTheme="minorEastAsia" w:hAnsiTheme="minorEastAsia" w:eastAsiaTheme="minorEastAsia"/>
          <w:sz w:val="24"/>
          <w:szCs w:val="24"/>
          <w:highlight w:val="none"/>
        </w:rPr>
        <w:t>在详细评审之前</w:t>
      </w:r>
      <w:r>
        <w:rPr>
          <w:rFonts w:hint="eastAsia" w:cs="宋体" w:asciiTheme="minorEastAsia" w:hAnsiTheme="minorEastAsia" w:eastAsiaTheme="minorEastAsia"/>
          <w:bCs/>
          <w:sz w:val="24"/>
          <w:szCs w:val="24"/>
          <w:highlight w:val="none"/>
        </w:rPr>
        <w:t>，磋商小组将首先审查每份响应文件是否实质性响应了磋商文件的要求。实质性响应的响应文件应该是与磋商文件要求的全部条款、条件和规格相符，没有重大负偏离或保留。</w:t>
      </w:r>
    </w:p>
    <w:p w14:paraId="59FAD4AC">
      <w:pPr>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所谓重大负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14:paraId="06BDAAFF">
      <w:pPr>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5.3如果响应文件实质上没有响应磋商文件的要求，磋商小组将予以拒绝，供应商不得通过修改或撤销不合要求的偏离或保留而使其响应文件成为实质性响应的文件。</w:t>
      </w:r>
    </w:p>
    <w:p w14:paraId="3555AA51">
      <w:pPr>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5.4磋商小组将对确定为实质性响应的文件进行进一步审核，看其是否有计算上或累加上的算术错误，修正错误的原则如下：</w:t>
      </w:r>
    </w:p>
    <w:p w14:paraId="3273A950">
      <w:pPr>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（1）响应文件中报价总表内容与响应文件中相应内容不一致的，以报价总表为准。</w:t>
      </w:r>
    </w:p>
    <w:p w14:paraId="1A332B45">
      <w:pPr>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（2）大写金额和小写金额不一致的，以大写金额为准。</w:t>
      </w:r>
    </w:p>
    <w:p w14:paraId="380FBB4D">
      <w:pPr>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（3）单价金额小数点或者百分比有明显错位的，以报价总表的总价为准，并修改单价。</w:t>
      </w:r>
    </w:p>
    <w:p w14:paraId="4E914C84">
      <w:pPr>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（4）总价金额与按单价汇总金额不一致的，以单价金额计算结果为准。</w:t>
      </w:r>
    </w:p>
    <w:p w14:paraId="37315219">
      <w:pPr>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同时出现两种以上错误的，按照前款规定的顺序修正。</w:t>
      </w:r>
    </w:p>
    <w:p w14:paraId="7A27635E">
      <w:pPr>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5.5磋商小组将按上述修正错误的方法调整响应文件中的报价，通过“苏采云系统”</w:t>
      </w:r>
      <w:r>
        <w:rPr>
          <w:rFonts w:hint="eastAsia" w:cs="宋体" w:asciiTheme="minorEastAsia" w:hAnsiTheme="minorEastAsia" w:eastAsiaTheme="minorEastAsia"/>
          <w:b/>
          <w:sz w:val="24"/>
          <w:szCs w:val="24"/>
          <w:highlight w:val="none"/>
        </w:rPr>
        <w:t>开标大厅</w:t>
      </w:r>
      <w:r>
        <w:rPr>
          <w:rFonts w:hint="eastAsia" w:cs="宋体" w:asciiTheme="minorEastAsia" w:hAnsiTheme="minorEastAsia" w:eastAsiaTheme="minorEastAsia"/>
          <w:bCs/>
          <w:sz w:val="24"/>
          <w:szCs w:val="24"/>
          <w:highlight w:val="none"/>
        </w:rPr>
        <w:t>告知供应商，调整后的价格应对供应商具有约束力。如果供应商不接受修正后的价格，则其磋商响应文件将被拒绝。</w:t>
      </w:r>
    </w:p>
    <w:p w14:paraId="541C08A1">
      <w:pPr>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5.6磋商小组将允许修正响应文件中不构成重大偏离的、微小的、非正规的、不一致的或不规则的地方，但这些修改不能影响任何供应商相应的名次排列。</w:t>
      </w:r>
    </w:p>
    <w:p w14:paraId="5283EF84">
      <w:pPr>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5.7供应商在评审全过程中应保持通讯畅通，并安排专人与采购人或采购代理机构及磋商小组联系</w:t>
      </w:r>
      <w:r>
        <w:rPr>
          <w:rFonts w:hint="eastAsia" w:cs="宋体" w:asciiTheme="minorEastAsia" w:hAnsiTheme="minorEastAsia" w:eastAsiaTheme="minorEastAsia"/>
          <w:sz w:val="24"/>
          <w:szCs w:val="24"/>
          <w:highlight w:val="none"/>
        </w:rPr>
        <w:t>。</w:t>
      </w:r>
    </w:p>
    <w:p w14:paraId="2A886B6E">
      <w:pPr>
        <w:spacing w:line="360" w:lineRule="auto"/>
        <w:ind w:firstLine="482"/>
        <w:rPr>
          <w:rFonts w:hint="eastAsia" w:cs="宋体" w:asciiTheme="minorEastAsia" w:hAnsiTheme="minorEastAsia" w:eastAsiaTheme="minorEastAsia"/>
          <w:b/>
          <w:bCs/>
          <w:sz w:val="24"/>
          <w:szCs w:val="24"/>
          <w:highlight w:val="none"/>
        </w:rPr>
      </w:pPr>
      <w:r>
        <w:rPr>
          <w:rFonts w:hint="eastAsia" w:cs="宋体" w:asciiTheme="minorEastAsia" w:hAnsiTheme="minorEastAsia" w:eastAsiaTheme="minorEastAsia"/>
          <w:b/>
          <w:bCs/>
          <w:sz w:val="24"/>
          <w:szCs w:val="24"/>
          <w:highlight w:val="none"/>
        </w:rPr>
        <w:t>6. 响应文件线上格式要求</w:t>
      </w:r>
    </w:p>
    <w:p w14:paraId="4E8E1195">
      <w:pPr>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6.1供应商应当通过“苏采云”系统提交数据电文形式的响应文件（即电子投标）。</w:t>
      </w:r>
    </w:p>
    <w:p w14:paraId="3B456AEE">
      <w:pPr>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6.2 通过“苏采云”系统提交政府采购客户端工具导出加密的响应文件（后缀名为zip）。响应文件不得超过150M！</w:t>
      </w:r>
    </w:p>
    <w:p w14:paraId="7123F237">
      <w:pPr>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6.3 本项目采用线上投标，即供应商响应文件从政府采购客户端工具制作通过“苏采云”系统提交，未提供线上响应文件的，投标无效。</w:t>
      </w:r>
      <w:bookmarkEnd w:id="86"/>
      <w:bookmarkEnd w:id="87"/>
      <w:bookmarkEnd w:id="88"/>
      <w:bookmarkStart w:id="89" w:name="_Toc120614219"/>
    </w:p>
    <w:p w14:paraId="0B102C4F">
      <w:pPr>
        <w:spacing w:line="360" w:lineRule="auto"/>
        <w:ind w:firstLine="482"/>
        <w:rPr>
          <w:rFonts w:hint="eastAsia" w:cs="宋体" w:asciiTheme="minorEastAsia" w:hAnsiTheme="minorEastAsia" w:eastAsiaTheme="minorEastAsia"/>
          <w:b/>
          <w:bCs/>
          <w:sz w:val="24"/>
          <w:szCs w:val="24"/>
          <w:highlight w:val="none"/>
        </w:rPr>
      </w:pPr>
      <w:r>
        <w:rPr>
          <w:rFonts w:hint="eastAsia" w:cs="宋体" w:asciiTheme="minorEastAsia" w:hAnsiTheme="minorEastAsia" w:eastAsiaTheme="minorEastAsia"/>
          <w:b/>
          <w:bCs/>
          <w:sz w:val="24"/>
          <w:szCs w:val="24"/>
          <w:highlight w:val="none"/>
        </w:rPr>
        <w:t>（六）</w:t>
      </w:r>
      <w:bookmarkEnd w:id="89"/>
      <w:r>
        <w:rPr>
          <w:rFonts w:hint="eastAsia" w:cs="宋体" w:asciiTheme="minorEastAsia" w:hAnsiTheme="minorEastAsia" w:eastAsiaTheme="minorEastAsia"/>
          <w:b/>
          <w:bCs/>
          <w:sz w:val="24"/>
          <w:szCs w:val="24"/>
          <w:highlight w:val="none"/>
        </w:rPr>
        <w:t>成交</w:t>
      </w:r>
    </w:p>
    <w:p w14:paraId="06807DC9">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1.确定成交单位</w:t>
      </w:r>
    </w:p>
    <w:p w14:paraId="0A664C82">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1.1成交候选供应商的选取原则和数量见磋商文件第四部分规定。</w:t>
      </w:r>
    </w:p>
    <w:p w14:paraId="1191CB74">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1.2采购人授权磋商小组在成交候选供应商中直接确定成交供应商。</w:t>
      </w:r>
    </w:p>
    <w:p w14:paraId="2136EBC5">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1.3 采购代理机构将在“江苏政府采购网”发布成交结果公告，公告期限为1个工作日。</w:t>
      </w:r>
    </w:p>
    <w:p w14:paraId="52FFBB1C">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1.4若有充分证据证明，成交供应商出现下列情况之一的，一经查实，将被取消成交资格：</w:t>
      </w:r>
    </w:p>
    <w:p w14:paraId="37B9F325">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1.4.1提供虚假材料谋取成交的。</w:t>
      </w:r>
    </w:p>
    <w:p w14:paraId="73B1A157">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1.4.2向采购人或采购代理机构行贿或者评审专家提供其他不正当利益的。</w:t>
      </w:r>
    </w:p>
    <w:p w14:paraId="00876AB7">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1.4.3恶意竞争，最后报价明显低于其自身合理成本且又无法提供证明的。</w:t>
      </w:r>
    </w:p>
    <w:p w14:paraId="6615955E">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1.4.4属于本文件规定的无效条件，但在评审过程中又未被磋商小组发现的。</w:t>
      </w:r>
    </w:p>
    <w:p w14:paraId="65101B67">
      <w:pPr>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sz w:val="24"/>
          <w:szCs w:val="24"/>
          <w:highlight w:val="none"/>
        </w:rPr>
        <w:t>1.4.5</w:t>
      </w:r>
      <w:r>
        <w:rPr>
          <w:rFonts w:hint="eastAsia" w:cs="宋体" w:asciiTheme="minorEastAsia" w:hAnsiTheme="minorEastAsia" w:eastAsiaTheme="minorEastAsia"/>
          <w:bCs/>
          <w:sz w:val="24"/>
          <w:szCs w:val="24"/>
          <w:highlight w:val="none"/>
        </w:rPr>
        <w:t>与评审专家、采购人、其他供应商或者采购中心工作人员恶意串通的。</w:t>
      </w:r>
    </w:p>
    <w:p w14:paraId="35F82512">
      <w:pPr>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1.4.6采取不正当手段诋毁、排挤其他供应商的。</w:t>
      </w:r>
    </w:p>
    <w:p w14:paraId="0BB2F78A">
      <w:pPr>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1.4.7成交后无正当理由拒不与采购人签订政府采购合同或者未按照磋商文件确定的事项签订政府采购合同的。</w:t>
      </w:r>
    </w:p>
    <w:p w14:paraId="6BCF0DFF">
      <w:pPr>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1.4.8将政府采购合同转包的。</w:t>
      </w:r>
    </w:p>
    <w:p w14:paraId="0158D791">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1.5.有下列情形之一的，视为供应商串通参与磋商，响应无效：</w:t>
      </w:r>
    </w:p>
    <w:p w14:paraId="485286C1">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1.5.1不同供应商的响应文件由同一单位或者个人编制；</w:t>
      </w:r>
    </w:p>
    <w:p w14:paraId="210872FB">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1.5.2不同供应商委托同一单位或者个人办理磋商事宜；</w:t>
      </w:r>
    </w:p>
    <w:p w14:paraId="5C2FD675">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1.5.3不同供应商的响应文件载明的项目管理成员或者联系人员为同一人；</w:t>
      </w:r>
    </w:p>
    <w:p w14:paraId="32432716">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1.5.4不同供应商的响应文件异常一致或者响应报价呈规律性差异。</w:t>
      </w:r>
    </w:p>
    <w:p w14:paraId="553F5600">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2.质疑处理</w:t>
      </w:r>
    </w:p>
    <w:p w14:paraId="79D32420">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2.1 提出质疑的供应商应当是参与所质疑项目采购活动的供应商。潜在供应商依法获取其可质疑的磋商文件的，可以对磋商文件提出质疑。</w:t>
      </w:r>
    </w:p>
    <w:p w14:paraId="341DCF92">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2.2供应商认为磋商文件、采购过程和采购结果使自己的权益受到损害的，可以在知道或应知其权益受到损害之日起七个工作日内，以书面形式向采购人或采购代理机构提出质疑。上述应知其权益受到损害之日，是指：</w:t>
      </w:r>
    </w:p>
    <w:p w14:paraId="76B0D5E6">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2.2.1对可以质疑的磋商文件提出质疑的，为收到磋商文件之日或者磋商文件公告期限届满之日；</w:t>
      </w:r>
    </w:p>
    <w:p w14:paraId="790ACBCB">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2.2.2对采购过程提出质疑的，为各采购程序环节结束之日；</w:t>
      </w:r>
    </w:p>
    <w:p w14:paraId="2E3912AC">
      <w:pPr>
        <w:tabs>
          <w:tab w:val="left" w:pos="6555"/>
          <w:tab w:val="right" w:pos="8306"/>
        </w:tabs>
        <w:spacing w:line="360" w:lineRule="auto"/>
        <w:ind w:firstLine="482"/>
        <w:rPr>
          <w:rFonts w:hint="eastAsia" w:cs="仿宋" w:asciiTheme="minorEastAsia" w:hAnsiTheme="minorEastAsia" w:eastAsiaTheme="minorEastAsia"/>
          <w:b/>
          <w:sz w:val="24"/>
          <w:szCs w:val="24"/>
          <w:highlight w:val="none"/>
        </w:rPr>
      </w:pPr>
      <w:r>
        <w:rPr>
          <w:rFonts w:hint="eastAsia" w:cs="仿宋" w:asciiTheme="minorEastAsia" w:hAnsiTheme="minorEastAsia" w:eastAsiaTheme="minorEastAsia"/>
          <w:b/>
          <w:sz w:val="24"/>
          <w:szCs w:val="24"/>
          <w:highlight w:val="none"/>
        </w:rPr>
        <w:t>其中：对评审过程中涉及到的身份核对、澄清等和程序性事项，供应商如有异议的，必须当场提出。否则，均视为供应商无异议。无论是否成交，供应商事后不得再就前述事项提出任何异议或质疑投诉。</w:t>
      </w:r>
    </w:p>
    <w:p w14:paraId="5E8E27ED">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2.2.3对成交结果提出质疑的，为成交结果公告期限届满之日。</w:t>
      </w:r>
    </w:p>
    <w:p w14:paraId="0E9E87F7">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供应商应当在法定质疑期内一次性提出针对同一采购程序环节的质疑。供应商如在法定期限内对同一采购程序环节提出多次质疑的，采购人、采购代理机构将只对供应商第一次质疑作出答复。</w:t>
      </w:r>
    </w:p>
    <w:p w14:paraId="72D2D28A">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2.3质疑函必须按照本磋商文件中《质疑函范本》要求的格式和内容进行填写。供应商如组成联合体参加磋商，则《质疑函范本》中要求签字、盖章、加盖公章之处，联合体各方均须按要求签字、盖章、加盖公章。</w:t>
      </w:r>
    </w:p>
    <w:p w14:paraId="1CE3E0BC">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2.4质疑答复依据《政府采购质疑和投诉办法》（财政部令第94号）。</w:t>
      </w:r>
    </w:p>
    <w:p w14:paraId="6D3155A6">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采购人或采购代理机构质疑接收人及联系方式，见磋商文件第一部分。</w:t>
      </w:r>
    </w:p>
    <w:p w14:paraId="18AFBAD7">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2.5 以下情形的质疑不予受理</w:t>
      </w:r>
    </w:p>
    <w:p w14:paraId="289F958F">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2.5.1 内容不符合《政府采购质疑和投诉办法》第十二条规定的质疑。</w:t>
      </w:r>
    </w:p>
    <w:p w14:paraId="0D39656B">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2.5.2 超出政府采购法定期限的质疑。</w:t>
      </w:r>
    </w:p>
    <w:p w14:paraId="6DF484DF">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2.5.3 未参加磋商活动的供应商或在磋商活动中自身权益未受到损害的供应商所提出的质疑。</w:t>
      </w:r>
    </w:p>
    <w:p w14:paraId="589A5865">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2.5.4供应商组成联合体参加磋商，联合体中任何一方或多方未按要求签字、盖章、加盖公章的质疑。</w:t>
      </w:r>
    </w:p>
    <w:p w14:paraId="343DFE6C">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2.6 供应商提出书面质疑必须有理、有据，不得捏造事实、提供虚假材料进行恶意质疑。否则，一经查实，采购人或采购代理机构有权依据政府采购的有关规定，报请政府采购监管部门对该供应商进行相应的行政处罚和记录该供应商的失信信息。</w:t>
      </w:r>
    </w:p>
    <w:p w14:paraId="49564602">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（七）成交通知书</w:t>
      </w:r>
    </w:p>
    <w:p w14:paraId="0DC88D3A">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成交结果确定后，采购人或者采购代理机构将向成交供应商发出成交通知书。请成交供应商在成交结果公告届满之日起30日内,使用CA数字证书登录苏采云系统及时下载成交通知书。因系统存储空间有限，自成交结果公告届满之日起30日后，苏采云系统不再保证提供下载成交通知书服务,因未及时下载而造成的不利后果由成交供应商自行承担。</w:t>
      </w:r>
    </w:p>
    <w:p w14:paraId="61DE9D05">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2.成交通知书将是合同的一个组成部分。对采购人和成交供应商均具有法律效力。成交通知书发出后，采购人改变成交结果的，或者成交供应商放弃成交项目的，应当依法承担法律责任。</w:t>
      </w:r>
    </w:p>
    <w:p w14:paraId="343AB670">
      <w:pPr>
        <w:spacing w:line="360" w:lineRule="auto"/>
        <w:ind w:firstLine="482"/>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b/>
          <w:bCs/>
          <w:sz w:val="24"/>
          <w:szCs w:val="24"/>
          <w:highlight w:val="none"/>
        </w:rPr>
        <w:t>特别说明：成交供应商在下载成交通知书后须提供</w:t>
      </w:r>
      <w:r>
        <w:rPr>
          <w:rFonts w:hint="eastAsia" w:cs="宋体" w:asciiTheme="minorEastAsia" w:hAnsiTheme="minorEastAsia" w:eastAsiaTheme="minorEastAsia"/>
          <w:b/>
          <w:bCs/>
          <w:sz w:val="24"/>
          <w:szCs w:val="24"/>
          <w:highlight w:val="none"/>
          <w:u w:val="single"/>
        </w:rPr>
        <w:t>4套</w:t>
      </w:r>
      <w:r>
        <w:rPr>
          <w:rFonts w:hint="eastAsia" w:cs="宋体" w:asciiTheme="minorEastAsia" w:hAnsiTheme="minorEastAsia" w:eastAsiaTheme="minorEastAsia"/>
          <w:b/>
          <w:bCs/>
          <w:sz w:val="24"/>
          <w:szCs w:val="24"/>
          <w:highlight w:val="none"/>
        </w:rPr>
        <w:t>加盖红章的系统内打印的纸质响应文件给采购代理机构。</w:t>
      </w:r>
    </w:p>
    <w:p w14:paraId="4B75B690">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（八）授予合同</w:t>
      </w:r>
    </w:p>
    <w:p w14:paraId="7DE97DE9">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1.签订合同</w:t>
      </w:r>
    </w:p>
    <w:p w14:paraId="01905E6A">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1.l成交供应商应当在成交通知书发出之日起三十日内，按照磋商文件确定的事项与采购人签订政府采购合同。</w:t>
      </w:r>
    </w:p>
    <w:p w14:paraId="1A82CB46">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1.2磋商文件、成交供应商的响应文件及磋商过程中有关澄清、承诺文件均应作为合同附件。</w:t>
      </w:r>
    </w:p>
    <w:p w14:paraId="26BCE9D7">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1.3签订合同后，成交供应商不得将合同标的进行转包。未经采购人同意，成交供应商也不得采用分包形式履行合同,否则采购人有权终止合同。转包或分包造成采购人损失的，成交供应商应承担相应赔偿责任。</w:t>
      </w:r>
    </w:p>
    <w:p w14:paraId="38639EEE">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2.标的物的追加</w:t>
      </w:r>
    </w:p>
    <w:p w14:paraId="60D4ED08">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政府采购合同履行中，采购人需追加与合同标的相同的货物、服务（包含与货物相关的服务及与服务相关的货物）的，在不改变合同其他条款的前提下，可以与成交供应商协商签订补充合同，但所有补充合同的采购金额不超过原合同金额10%。</w:t>
      </w:r>
    </w:p>
    <w:p w14:paraId="639648E3">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3.政府采购履约保证资金、合同信用融资扶持政策</w:t>
      </w:r>
    </w:p>
    <w:p w14:paraId="17770568">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根据《关于深入开展南通市政府采购线上合同信用融资工作的通知》（通财购〔2022〕68号），对政府采购中标人提出“政采贷”融资申请的，招标人应当依法按时在“苏采云”系统中录入并公开政府采购合同信息，勾选“融资贷款”选项，并在合同签订、验收付款、账号维护等环节提供必要便利，持续降低参与政府采购的中小企业融资成本。中标人如需获得合同信用融资支持，可凭政府采购合同办理“政采贷”融资贷款，详情请见江苏省政府采购网-政采贷专栏。</w:t>
      </w:r>
    </w:p>
    <w:p w14:paraId="4C17318F">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（九）电子招标投标交易平台</w:t>
      </w:r>
    </w:p>
    <w:p w14:paraId="30D51F6E">
      <w:pPr>
        <w:spacing w:line="360" w:lineRule="auto"/>
        <w:ind w:firstLine="480"/>
        <w:rPr>
          <w:rFonts w:hint="eastAsia" w:cs="宋体" w:asciiTheme="minorEastAsia" w:hAnsiTheme="minorEastAsia" w:eastAsiaTheme="minorEastAsia"/>
          <w:sz w:val="24"/>
          <w:szCs w:val="24"/>
          <w:highlight w:val="none"/>
          <w:lang w:eastAsia="en-US"/>
        </w:rPr>
      </w:pPr>
      <w:r>
        <w:rPr>
          <w:rFonts w:hint="eastAsia" w:cs="宋体" w:asciiTheme="minorEastAsia" w:hAnsiTheme="minorEastAsia" w:eastAsiaTheme="minorEastAsia"/>
          <w:sz w:val="24"/>
          <w:szCs w:val="24"/>
          <w:highlight w:val="none"/>
          <w:lang w:eastAsia="en-US"/>
        </w:rPr>
        <w:t>电子招标投标交易平台（即“苏采云”系统，网址：</w:t>
      </w:r>
      <w:r>
        <w:rPr>
          <w:highlight w:val="none"/>
        </w:rPr>
        <w:fldChar w:fldCharType="begin"/>
      </w:r>
      <w:r>
        <w:rPr>
          <w:highlight w:val="none"/>
        </w:rPr>
        <w:instrText xml:space="preserve"> HYPERLINK "http://jszfcg.jsczt.cn/）相关要求是本采购文件的组成部分。" \o "http://jszfcg.jsczt.cn/）相关要求是本采购文件的组成部分。" </w:instrText>
      </w:r>
      <w:r>
        <w:rPr>
          <w:highlight w:val="none"/>
        </w:rPr>
        <w:fldChar w:fldCharType="separate"/>
      </w:r>
      <w:r>
        <w:rPr>
          <w:rFonts w:hint="eastAsia" w:cs="宋体" w:asciiTheme="minorEastAsia" w:hAnsiTheme="minorEastAsia" w:eastAsiaTheme="minorEastAsia"/>
          <w:sz w:val="24"/>
          <w:szCs w:val="24"/>
          <w:highlight w:val="none"/>
          <w:lang w:eastAsia="en-US"/>
        </w:rPr>
        <w:t>http://jszfcg.jsczt.cn/）相关要求是本采购文件的组成部分。</w:t>
      </w:r>
      <w:r>
        <w:rPr>
          <w:rFonts w:hint="eastAsia" w:cs="宋体" w:asciiTheme="minorEastAsia" w:hAnsiTheme="minorEastAsia" w:eastAsiaTheme="minorEastAsia"/>
          <w:sz w:val="24"/>
          <w:szCs w:val="24"/>
          <w:highlight w:val="none"/>
          <w:lang w:eastAsia="en-US"/>
        </w:rPr>
        <w:fldChar w:fldCharType="end"/>
      </w:r>
    </w:p>
    <w:p w14:paraId="7B2388B0">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（十）未尽事宜</w:t>
      </w:r>
    </w:p>
    <w:p w14:paraId="1D3FBDF4">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按《中华人民共和国政府采购法》《政府采购竞争性磋商采购方式管理暂行办法》及其他有关法律法规的规定执行。</w:t>
      </w:r>
    </w:p>
    <w:p w14:paraId="08E7D75F">
      <w:pPr>
        <w:ind w:left="547" w:firstLine="482"/>
        <w:rPr>
          <w:rFonts w:hint="eastAsia" w:ascii="宋体" w:hAnsi="宋体" w:cs="宋体"/>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247" w:right="1418" w:bottom="1247" w:left="1418" w:header="851" w:footer="992" w:gutter="0"/>
          <w:cols w:space="720" w:num="1"/>
          <w:docGrid w:linePitch="360" w:charSpace="0"/>
        </w:sectPr>
      </w:pPr>
    </w:p>
    <w:p w14:paraId="5521E3E1">
      <w:pPr>
        <w:pStyle w:val="88"/>
        <w:keepNext w:val="0"/>
        <w:keepLines w:val="0"/>
        <w:spacing w:before="0" w:after="0" w:line="800" w:lineRule="exact"/>
        <w:ind w:left="547" w:firstLine="883"/>
        <w:jc w:val="center"/>
        <w:rPr>
          <w:rFonts w:hint="eastAsia" w:ascii="宋体" w:hAnsi="宋体" w:eastAsia="宋体" w:cs="宋体"/>
          <w:szCs w:val="44"/>
          <w:highlight w:val="none"/>
        </w:rPr>
      </w:pPr>
      <w:r>
        <w:rPr>
          <w:rFonts w:hint="eastAsia" w:ascii="宋体" w:hAnsi="宋体" w:eastAsia="宋体" w:cs="宋体"/>
          <w:szCs w:val="44"/>
          <w:highlight w:val="none"/>
        </w:rPr>
        <w:t>第三章  项目需求</w:t>
      </w:r>
      <w:bookmarkEnd w:id="23"/>
      <w:bookmarkStart w:id="90" w:name="二、项目具体需求说明"/>
      <w:bookmarkEnd w:id="90"/>
    </w:p>
    <w:p w14:paraId="1030129F">
      <w:pPr>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1F47161C">
      <w:pPr>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供应商不能简单照搬照抄磋商文件项目需求说明中的技术、商务要求，必须作实事求是的响应。如供应商提供的货物和服务同采购人提出的项目需求说明中的技术、商务要求不同的，必须在《商务部分正负偏离表》和《技术部分正负偏离表》上明示。</w:t>
      </w:r>
    </w:p>
    <w:p w14:paraId="0527FA6E">
      <w:pPr>
        <w:tabs>
          <w:tab w:val="left" w:pos="0"/>
        </w:tabs>
        <w:spacing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rPr>
        <w:t>一、项目概况：</w:t>
      </w:r>
    </w:p>
    <w:p w14:paraId="69BF01A9">
      <w:pPr>
        <w:autoSpaceDE w:val="0"/>
        <w:autoSpaceDN w:val="0"/>
        <w:adjustRightInd w:val="0"/>
        <w:snapToGrid w:val="0"/>
        <w:spacing w:line="360" w:lineRule="auto"/>
        <w:ind w:firstLine="482" w:firstLineChars="200"/>
        <w:outlineLvl w:val="1"/>
        <w:rPr>
          <w:rFonts w:hint="eastAsia" w:ascii="仿宋" w:hAnsi="仿宋" w:eastAsia="仿宋" w:cs="仿宋"/>
          <w:b/>
          <w:color w:val="000000"/>
          <w:sz w:val="24"/>
          <w:szCs w:val="24"/>
          <w:highlight w:val="none"/>
        </w:rPr>
      </w:pPr>
      <w:bookmarkStart w:id="91" w:name="_Toc8952"/>
      <w:r>
        <w:rPr>
          <w:rFonts w:hint="eastAsia" w:ascii="仿宋" w:hAnsi="仿宋" w:eastAsia="仿宋" w:cs="仿宋"/>
          <w:b/>
          <w:color w:val="000000"/>
          <w:sz w:val="24"/>
          <w:szCs w:val="24"/>
          <w:highlight w:val="none"/>
        </w:rPr>
        <w:t>1、项目背景</w:t>
      </w:r>
      <w:bookmarkEnd w:id="91"/>
    </w:p>
    <w:p w14:paraId="5FAF96F8">
      <w:pPr>
        <w:autoSpaceDE w:val="0"/>
        <w:autoSpaceDN w:val="0"/>
        <w:adjustRightInd w:val="0"/>
        <w:snapToGrid w:val="0"/>
        <w:spacing w:line="360" w:lineRule="auto"/>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2023年11月文旅部下发《文化和旅游部公共服务司 财务司关于做好2024年全国智慧图书馆体系建设项目和公共文化云建设项目实施工作的通知》，通知明确全国智慧图书馆体系建设之基础数字资源建设的工作重点是围绕列入《国家珍贵古籍名录》、《中国古籍善本书目》和省级珍贵古籍名录的古籍资源开展数字化加工。2024年02月国家图书馆（国家古籍保护中心）发布《全国智慧图书馆体系建设：古籍数字化和知识标引规范手册（暂行）》（简称《规范手册》），这一规范是全国智慧图书馆体系建设古籍数字化加工的标准。2024年03月12日江苏省文化和旅游厅下发《关于分配2024年古籍数字化加工任务的补充通知》明确了南通市图书馆（下称采购人）的古籍数字化加工任务。</w:t>
      </w:r>
    </w:p>
    <w:p w14:paraId="6E3F9B7B">
      <w:pPr>
        <w:autoSpaceDE w:val="0"/>
        <w:autoSpaceDN w:val="0"/>
        <w:adjustRightInd w:val="0"/>
        <w:snapToGrid w:val="0"/>
        <w:spacing w:line="360" w:lineRule="auto"/>
        <w:ind w:firstLine="482" w:firstLineChars="200"/>
        <w:outlineLvl w:val="1"/>
        <w:rPr>
          <w:rFonts w:hint="eastAsia" w:ascii="宋体" w:hAnsi="宋体" w:cs="宋体"/>
          <w:b/>
          <w:color w:val="000000"/>
          <w:sz w:val="24"/>
          <w:szCs w:val="24"/>
          <w:highlight w:val="none"/>
        </w:rPr>
      </w:pPr>
      <w:bookmarkStart w:id="92" w:name="_Toc25641"/>
      <w:r>
        <w:rPr>
          <w:rFonts w:hint="eastAsia" w:ascii="宋体" w:hAnsi="宋体" w:cs="宋体"/>
          <w:b/>
          <w:color w:val="000000"/>
          <w:sz w:val="24"/>
          <w:szCs w:val="24"/>
          <w:highlight w:val="none"/>
        </w:rPr>
        <w:t>2、数量、时间、地点要求</w:t>
      </w:r>
      <w:bookmarkEnd w:id="92"/>
    </w:p>
    <w:p w14:paraId="193CB366">
      <w:pPr>
        <w:autoSpaceDE w:val="0"/>
        <w:autoSpaceDN w:val="0"/>
        <w:adjustRightInd w:val="0"/>
        <w:snapToGrid w:val="0"/>
        <w:spacing w:line="360" w:lineRule="auto"/>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数量：古籍数字化加工数量为43000筒子叶；</w:t>
      </w:r>
      <w:r>
        <w:rPr>
          <w:rFonts w:hint="eastAsia" w:ascii="宋体" w:hAnsi="宋体" w:cs="宋体"/>
          <w:sz w:val="24"/>
          <w:szCs w:val="24"/>
          <w:highlight w:val="none"/>
        </w:rPr>
        <w:t>南通市古籍数字化利用平台1套</w:t>
      </w:r>
      <w:r>
        <w:rPr>
          <w:rFonts w:hint="eastAsia" w:ascii="宋体" w:hAnsi="宋体" w:cs="宋体"/>
          <w:bCs/>
          <w:color w:val="000000"/>
          <w:sz w:val="24"/>
          <w:szCs w:val="24"/>
          <w:highlight w:val="none"/>
        </w:rPr>
        <w:t>。</w:t>
      </w:r>
    </w:p>
    <w:p w14:paraId="48BB1151">
      <w:pPr>
        <w:autoSpaceDE w:val="0"/>
        <w:autoSpaceDN w:val="0"/>
        <w:adjustRightInd w:val="0"/>
        <w:snapToGrid w:val="0"/>
        <w:spacing w:line="360" w:lineRule="auto"/>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时间：</w:t>
      </w:r>
      <w:r>
        <w:rPr>
          <w:rFonts w:hint="eastAsia" w:ascii="宋体" w:hAnsi="宋体" w:cs="宋体"/>
          <w:sz w:val="24"/>
          <w:szCs w:val="24"/>
          <w:highlight w:val="none"/>
        </w:rPr>
        <w:t>合同签订后120日历天内完成加工任务</w:t>
      </w:r>
      <w:r>
        <w:rPr>
          <w:rFonts w:hint="eastAsia" w:ascii="宋体" w:hAnsi="宋体" w:cs="宋体"/>
          <w:bCs/>
          <w:color w:val="000000"/>
          <w:sz w:val="24"/>
          <w:szCs w:val="24"/>
          <w:highlight w:val="none"/>
        </w:rPr>
        <w:t>。</w:t>
      </w:r>
    </w:p>
    <w:p w14:paraId="4B943248">
      <w:pPr>
        <w:autoSpaceDE w:val="0"/>
        <w:autoSpaceDN w:val="0"/>
        <w:adjustRightInd w:val="0"/>
        <w:snapToGrid w:val="0"/>
        <w:spacing w:line="360" w:lineRule="auto"/>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地点：加工地点为采购人所在地南通市崇川区崇文路2号。</w:t>
      </w:r>
    </w:p>
    <w:p w14:paraId="0F59D68A">
      <w:pPr>
        <w:autoSpaceDE w:val="0"/>
        <w:autoSpaceDN w:val="0"/>
        <w:adjustRightInd w:val="0"/>
        <w:snapToGrid w:val="0"/>
        <w:spacing w:line="360" w:lineRule="auto"/>
        <w:ind w:firstLine="482" w:firstLineChars="200"/>
        <w:outlineLvl w:val="1"/>
        <w:rPr>
          <w:rFonts w:hint="eastAsia" w:ascii="宋体" w:hAnsi="宋体" w:cs="宋体"/>
          <w:bCs/>
          <w:color w:val="000000"/>
          <w:kern w:val="2"/>
          <w:sz w:val="24"/>
          <w:szCs w:val="24"/>
          <w:highlight w:val="none"/>
        </w:rPr>
      </w:pPr>
      <w:bookmarkStart w:id="93" w:name="_Toc25325262"/>
      <w:bookmarkStart w:id="94" w:name="_Toc25316231"/>
      <w:bookmarkStart w:id="95" w:name="_Toc25419327"/>
      <w:bookmarkStart w:id="96" w:name="_Toc25316504"/>
      <w:r>
        <w:rPr>
          <w:rFonts w:hint="eastAsia" w:ascii="宋体" w:hAnsi="宋体" w:cs="宋体"/>
          <w:b/>
          <w:color w:val="000000"/>
          <w:sz w:val="24"/>
          <w:szCs w:val="24"/>
          <w:highlight w:val="none"/>
        </w:rPr>
        <w:t>3、建设内容</w:t>
      </w:r>
      <w:bookmarkEnd w:id="93"/>
      <w:bookmarkEnd w:id="94"/>
      <w:bookmarkEnd w:id="95"/>
      <w:bookmarkEnd w:id="96"/>
    </w:p>
    <w:p w14:paraId="04883292">
      <w:pPr>
        <w:autoSpaceDE w:val="0"/>
        <w:autoSpaceDN w:val="0"/>
        <w:adjustRightInd w:val="0"/>
        <w:snapToGrid w:val="0"/>
        <w:spacing w:line="360" w:lineRule="auto"/>
        <w:ind w:firstLine="482" w:firstLineChars="200"/>
        <w:outlineLvl w:val="1"/>
        <w:rPr>
          <w:rFonts w:hint="eastAsia" w:ascii="宋体" w:hAnsi="宋体" w:cs="宋体"/>
          <w:b/>
          <w:color w:val="000000"/>
          <w:kern w:val="2"/>
          <w:sz w:val="24"/>
          <w:szCs w:val="24"/>
          <w:highlight w:val="none"/>
        </w:rPr>
      </w:pPr>
      <w:r>
        <w:rPr>
          <w:rFonts w:hint="eastAsia" w:ascii="宋体" w:hAnsi="宋体" w:cs="宋体"/>
          <w:b/>
          <w:color w:val="000000"/>
          <w:kern w:val="2"/>
          <w:sz w:val="24"/>
          <w:szCs w:val="24"/>
          <w:highlight w:val="none"/>
        </w:rPr>
        <w:t>3.1、</w:t>
      </w:r>
      <w:r>
        <w:rPr>
          <w:rFonts w:hint="eastAsia" w:ascii="宋体" w:hAnsi="宋体" w:cs="宋体"/>
          <w:b/>
          <w:sz w:val="24"/>
          <w:szCs w:val="24"/>
          <w:highlight w:val="none"/>
        </w:rPr>
        <w:t>南通市古籍数字化加工</w:t>
      </w:r>
    </w:p>
    <w:p w14:paraId="7808B49F">
      <w:pPr>
        <w:autoSpaceDE w:val="0"/>
        <w:autoSpaceDN w:val="0"/>
        <w:adjustRightInd w:val="0"/>
        <w:snapToGrid w:val="0"/>
        <w:spacing w:line="360" w:lineRule="auto"/>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严格依据《规范手册》的命名规则和存储结构要求按时保质保量提供 XML文件、对象数据等各种成果数据。</w:t>
      </w:r>
    </w:p>
    <w:p w14:paraId="010630B3">
      <w:pPr>
        <w:autoSpaceDE w:val="0"/>
        <w:autoSpaceDN w:val="0"/>
        <w:adjustRightInd w:val="0"/>
        <w:snapToGrid w:val="0"/>
        <w:spacing w:line="360" w:lineRule="auto"/>
        <w:ind w:firstLine="482" w:firstLineChars="200"/>
        <w:outlineLvl w:val="2"/>
        <w:rPr>
          <w:rFonts w:hint="eastAsia" w:ascii="宋体" w:hAnsi="宋体" w:cs="宋体"/>
          <w:b/>
          <w:color w:val="000000"/>
          <w:sz w:val="24"/>
          <w:szCs w:val="24"/>
          <w:highlight w:val="none"/>
        </w:rPr>
      </w:pPr>
      <w:r>
        <w:rPr>
          <w:rFonts w:hint="eastAsia" w:ascii="宋体" w:hAnsi="宋体" w:cs="宋体"/>
          <w:b/>
          <w:color w:val="000000"/>
          <w:sz w:val="24"/>
          <w:szCs w:val="24"/>
          <w:highlight w:val="none"/>
        </w:rPr>
        <w:t>3.1.1、数据内容</w:t>
      </w:r>
    </w:p>
    <w:p w14:paraId="6586FD18">
      <w:pPr>
        <w:autoSpaceDE w:val="0"/>
        <w:autoSpaceDN w:val="0"/>
        <w:adjustRightInd w:val="0"/>
        <w:snapToGrid w:val="0"/>
        <w:spacing w:line="360" w:lineRule="auto"/>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3.1.1.1 XML文件：XML文件内容包括古籍基本元数据、结构数据、卷目篇名。</w:t>
      </w:r>
    </w:p>
    <w:p w14:paraId="06A87929">
      <w:pPr>
        <w:autoSpaceDE w:val="0"/>
        <w:autoSpaceDN w:val="0"/>
        <w:adjustRightInd w:val="0"/>
        <w:snapToGrid w:val="0"/>
        <w:spacing w:line="360" w:lineRule="auto"/>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3.1.1.2 对象数据：长期保存级、发布服务级数据，包括：TIFF 格式文件、PDF 格式文件、TXT 格式文件。</w:t>
      </w:r>
    </w:p>
    <w:p w14:paraId="083CC701">
      <w:pPr>
        <w:autoSpaceDE w:val="0"/>
        <w:autoSpaceDN w:val="0"/>
        <w:adjustRightInd w:val="0"/>
        <w:snapToGrid w:val="0"/>
        <w:spacing w:line="360" w:lineRule="auto"/>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3.1.1.3 文献整理登记表和外字表：文献整理登记表和外字表用 EXCEL 表填写。文献整理登记表内容包括：名录号、普查编号、索书号、题名、册数、总叶数、开本尺寸、透字、夹框、夹字、皱折、缺残叶、重叶、签条、夹纸、登记人员、登记日期、备注。外字表的内容包括：加工记录标识号、内部序号、外字、描述、位置。</w:t>
      </w:r>
    </w:p>
    <w:p w14:paraId="1EAB322E">
      <w:pPr>
        <w:autoSpaceDE w:val="0"/>
        <w:autoSpaceDN w:val="0"/>
        <w:adjustRightInd w:val="0"/>
        <w:snapToGrid w:val="0"/>
        <w:spacing w:line="360" w:lineRule="auto"/>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3.1.1.4 说明文件：项目总体说明文件用，EXCEL表填写。填写内容包括：项目建设年、单位名称、记录标识号、题名、TIFF 格式文件数量、PDF 格式文件数量、TXT 格式文件数量、采集分辨率/拍照像素、备注（需要特别说明的事项）。</w:t>
      </w:r>
    </w:p>
    <w:p w14:paraId="28B0C6C2">
      <w:pPr>
        <w:autoSpaceDE w:val="0"/>
        <w:autoSpaceDN w:val="0"/>
        <w:adjustRightInd w:val="0"/>
        <w:snapToGrid w:val="0"/>
        <w:spacing w:line="360" w:lineRule="auto"/>
        <w:ind w:firstLine="482" w:firstLineChars="200"/>
        <w:outlineLvl w:val="2"/>
        <w:rPr>
          <w:rFonts w:hint="eastAsia" w:ascii="宋体" w:hAnsi="宋体" w:cs="宋体"/>
          <w:b/>
          <w:color w:val="000000"/>
          <w:sz w:val="24"/>
          <w:szCs w:val="24"/>
          <w:highlight w:val="none"/>
        </w:rPr>
      </w:pPr>
      <w:r>
        <w:rPr>
          <w:rFonts w:hint="eastAsia" w:ascii="宋体" w:hAnsi="宋体" w:cs="宋体"/>
          <w:b/>
          <w:color w:val="000000"/>
          <w:sz w:val="24"/>
          <w:szCs w:val="24"/>
          <w:highlight w:val="none"/>
        </w:rPr>
        <w:t>3.1.2.、数据标准</w:t>
      </w:r>
    </w:p>
    <w:p w14:paraId="20C5D539">
      <w:pPr>
        <w:autoSpaceDE w:val="0"/>
        <w:autoSpaceDN w:val="0"/>
        <w:adjustRightInd w:val="0"/>
        <w:snapToGrid w:val="0"/>
        <w:spacing w:line="360" w:lineRule="auto"/>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3.1.2.1 送检数据有效，与《数据说明文件》内容和数量一致，不夹杂无关文件。</w:t>
      </w:r>
    </w:p>
    <w:p w14:paraId="6091AFE4">
      <w:pPr>
        <w:autoSpaceDE w:val="0"/>
        <w:autoSpaceDN w:val="0"/>
        <w:adjustRightInd w:val="0"/>
        <w:snapToGrid w:val="0"/>
        <w:spacing w:line="360" w:lineRule="auto"/>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▲3.1.2.2 著录、标引文字、符号，标引位置等信息准确，综合错误率不超过0.3‰。</w:t>
      </w:r>
    </w:p>
    <w:p w14:paraId="5015A2E8">
      <w:pPr>
        <w:autoSpaceDE w:val="0"/>
        <w:autoSpaceDN w:val="0"/>
        <w:adjustRightInd w:val="0"/>
        <w:snapToGrid w:val="0"/>
        <w:spacing w:line="360" w:lineRule="auto"/>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▲3.1.2.3 双层PDF、全文文本文件的内容编码、文字识别等，综合错误率不超过1‰。</w:t>
      </w:r>
    </w:p>
    <w:p w14:paraId="69177964">
      <w:pPr>
        <w:autoSpaceDE w:val="0"/>
        <w:autoSpaceDN w:val="0"/>
        <w:adjustRightInd w:val="0"/>
        <w:snapToGrid w:val="0"/>
        <w:spacing w:line="360" w:lineRule="auto"/>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▲3.1.2.4 数据的采集方式、技术指标、文件格式、文件命名、图像处理等综合错误率不超过1‰。</w:t>
      </w:r>
    </w:p>
    <w:p w14:paraId="4498ECBC">
      <w:pPr>
        <w:autoSpaceDE w:val="0"/>
        <w:autoSpaceDN w:val="0"/>
        <w:adjustRightInd w:val="0"/>
        <w:snapToGrid w:val="0"/>
        <w:spacing w:line="360" w:lineRule="auto"/>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▲3.1.2.5 成果数据中古籍图像完整，无缺失；数据类型和文件结构符合规范要求，且无坏死文件、不携带病毒，错误率为0。</w:t>
      </w:r>
    </w:p>
    <w:p w14:paraId="39BEC85B">
      <w:pPr>
        <w:autoSpaceDE w:val="0"/>
        <w:autoSpaceDN w:val="0"/>
        <w:adjustRightInd w:val="0"/>
        <w:snapToGrid w:val="0"/>
        <w:spacing w:line="360" w:lineRule="auto"/>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3.1.2.6 达到标准的数据视为合格，在规定错误率范围内检查出的数据问题由供应商进行修正；超出错误率、未达到标准的数据由供应商对全部数据进行整改、返工处理。</w:t>
      </w:r>
    </w:p>
    <w:p w14:paraId="67191FA7">
      <w:pPr>
        <w:autoSpaceDE w:val="0"/>
        <w:autoSpaceDN w:val="0"/>
        <w:adjustRightInd w:val="0"/>
        <w:snapToGrid w:val="0"/>
        <w:spacing w:line="360" w:lineRule="auto"/>
        <w:ind w:firstLine="482" w:firstLineChars="200"/>
        <w:outlineLvl w:val="2"/>
        <w:rPr>
          <w:rFonts w:hint="eastAsia" w:ascii="宋体" w:hAnsi="宋体" w:cs="宋体"/>
          <w:b/>
          <w:color w:val="000000"/>
          <w:sz w:val="24"/>
          <w:szCs w:val="24"/>
          <w:highlight w:val="none"/>
        </w:rPr>
      </w:pPr>
      <w:r>
        <w:rPr>
          <w:rFonts w:hint="eastAsia" w:ascii="宋体" w:hAnsi="宋体" w:cs="宋体"/>
          <w:b/>
          <w:color w:val="000000"/>
          <w:sz w:val="24"/>
          <w:szCs w:val="24"/>
          <w:highlight w:val="none"/>
        </w:rPr>
        <w:t>3.1.3、提交要求</w:t>
      </w:r>
    </w:p>
    <w:p w14:paraId="49E02647">
      <w:pPr>
        <w:autoSpaceDE w:val="0"/>
        <w:autoSpaceDN w:val="0"/>
        <w:adjustRightInd w:val="0"/>
        <w:snapToGrid w:val="0"/>
        <w:spacing w:line="360" w:lineRule="auto"/>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各类数据按《规范手册》要求存储于移动固态硬盘（PSSD）上，移动硬盘的读写速度不小于1000MB/S，至少需要提交2份数据。此设备将作为数字资源配套产品交付给采购人，所有权归属采购人。</w:t>
      </w:r>
    </w:p>
    <w:p w14:paraId="37295F1D">
      <w:pPr>
        <w:autoSpaceDE w:val="0"/>
        <w:autoSpaceDN w:val="0"/>
        <w:adjustRightInd w:val="0"/>
        <w:snapToGrid w:val="0"/>
        <w:spacing w:line="360" w:lineRule="auto"/>
        <w:ind w:firstLine="482" w:firstLineChars="200"/>
        <w:outlineLvl w:val="1"/>
        <w:rPr>
          <w:rFonts w:hint="eastAsia" w:ascii="宋体" w:hAnsi="宋体" w:cs="宋体"/>
          <w:b/>
          <w:color w:val="000000"/>
          <w:sz w:val="24"/>
          <w:szCs w:val="24"/>
          <w:highlight w:val="none"/>
        </w:rPr>
      </w:pPr>
      <w:bookmarkStart w:id="97" w:name="_Toc9096"/>
      <w:r>
        <w:rPr>
          <w:rFonts w:hint="eastAsia" w:ascii="宋体" w:hAnsi="宋体" w:cs="宋体"/>
          <w:b/>
          <w:color w:val="000000"/>
          <w:sz w:val="24"/>
          <w:szCs w:val="24"/>
          <w:highlight w:val="none"/>
        </w:rPr>
        <w:t>3.1.4、质量要求</w:t>
      </w:r>
      <w:bookmarkEnd w:id="97"/>
    </w:p>
    <w:p w14:paraId="4932B5E6">
      <w:pPr>
        <w:autoSpaceDE w:val="0"/>
        <w:autoSpaceDN w:val="0"/>
        <w:adjustRightInd w:val="0"/>
        <w:snapToGrid w:val="0"/>
        <w:spacing w:line="360" w:lineRule="auto"/>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严格依据《规范手册》进行古籍数字化加工准备、图像数字化、元数据著录、全文文本转化、XML封装、成果数据整合等流程。每个流程需要做到严格规范、质量可控。供应商需要对数据进行全面检查，检查的项目及标准如下：</w:t>
      </w:r>
    </w:p>
    <w:p w14:paraId="397914A4">
      <w:pPr>
        <w:autoSpaceDE w:val="0"/>
        <w:autoSpaceDN w:val="0"/>
        <w:adjustRightInd w:val="0"/>
        <w:snapToGrid w:val="0"/>
        <w:spacing w:line="360" w:lineRule="auto"/>
        <w:ind w:firstLine="482" w:firstLineChars="200"/>
        <w:outlineLvl w:val="2"/>
        <w:rPr>
          <w:rFonts w:hint="eastAsia" w:ascii="宋体" w:hAnsi="宋体" w:cs="宋体"/>
          <w:b/>
          <w:color w:val="000000"/>
          <w:sz w:val="24"/>
          <w:szCs w:val="24"/>
          <w:highlight w:val="none"/>
        </w:rPr>
      </w:pPr>
      <w:r>
        <w:rPr>
          <w:rFonts w:hint="eastAsia" w:ascii="宋体" w:hAnsi="宋体" w:cs="宋体"/>
          <w:b/>
          <w:color w:val="000000"/>
          <w:sz w:val="24"/>
          <w:szCs w:val="24"/>
          <w:highlight w:val="none"/>
        </w:rPr>
        <w:t>3.1.4.1.总体要求</w:t>
      </w:r>
    </w:p>
    <w:p w14:paraId="7519BA7B">
      <w:pPr>
        <w:autoSpaceDE w:val="0"/>
        <w:autoSpaceDN w:val="0"/>
        <w:adjustRightInd w:val="0"/>
        <w:snapToGrid w:val="0"/>
        <w:spacing w:line="360" w:lineRule="auto"/>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3.1.4.1.1古籍数字化成果要确保古籍信息内容的完整和准确，即古籍数据著录字段完整，标引内容准确，图像文件与古籍原版信息、位置保持一致。</w:t>
      </w:r>
    </w:p>
    <w:p w14:paraId="7713F7E4">
      <w:pPr>
        <w:autoSpaceDE w:val="0"/>
        <w:autoSpaceDN w:val="0"/>
        <w:adjustRightInd w:val="0"/>
        <w:snapToGrid w:val="0"/>
        <w:spacing w:line="360" w:lineRule="auto"/>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▲3.1.4.1.2 供应商应配置专门的质检人员对每个阶段的数据质量进行检查。</w:t>
      </w:r>
    </w:p>
    <w:p w14:paraId="5419E5BB">
      <w:pPr>
        <w:autoSpaceDE w:val="0"/>
        <w:autoSpaceDN w:val="0"/>
        <w:adjustRightInd w:val="0"/>
        <w:snapToGrid w:val="0"/>
        <w:spacing w:line="360" w:lineRule="auto"/>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3.1.4.1.3古籍数字化加工数据应采用全面检查方式，而非进行数据抽检，必要时应设立数据多检制度。检查范围包括各种类型数据质量和技术指标，并达到以下要求。</w:t>
      </w:r>
    </w:p>
    <w:p w14:paraId="008F132D">
      <w:pPr>
        <w:autoSpaceDE w:val="0"/>
        <w:autoSpaceDN w:val="0"/>
        <w:adjustRightInd w:val="0"/>
        <w:snapToGrid w:val="0"/>
        <w:spacing w:line="360" w:lineRule="auto"/>
        <w:ind w:firstLine="482" w:firstLineChars="200"/>
        <w:outlineLvl w:val="2"/>
        <w:rPr>
          <w:rFonts w:hint="eastAsia" w:ascii="宋体" w:hAnsi="宋体" w:cs="宋体"/>
          <w:b/>
          <w:color w:val="000000"/>
          <w:sz w:val="24"/>
          <w:szCs w:val="24"/>
          <w:highlight w:val="none"/>
        </w:rPr>
      </w:pPr>
      <w:r>
        <w:rPr>
          <w:rFonts w:hint="eastAsia" w:ascii="宋体" w:hAnsi="宋体" w:cs="宋体"/>
          <w:b/>
          <w:color w:val="000000"/>
          <w:sz w:val="24"/>
          <w:szCs w:val="24"/>
          <w:highlight w:val="none"/>
        </w:rPr>
        <w:t>3.1.4.2.元数据著录和标引要求</w:t>
      </w:r>
    </w:p>
    <w:p w14:paraId="0BDF4977">
      <w:pPr>
        <w:autoSpaceDE w:val="0"/>
        <w:autoSpaceDN w:val="0"/>
        <w:adjustRightInd w:val="0"/>
        <w:snapToGrid w:val="0"/>
        <w:spacing w:line="360" w:lineRule="auto"/>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3.1.4.2.1遵照 XML1.0 规范，使用 UTF-8 编码方式、Unicode5.0 以上版本字符集。</w:t>
      </w:r>
    </w:p>
    <w:p w14:paraId="101222D7">
      <w:pPr>
        <w:autoSpaceDE w:val="0"/>
        <w:autoSpaceDN w:val="0"/>
        <w:adjustRightInd w:val="0"/>
        <w:snapToGrid w:val="0"/>
        <w:spacing w:line="360" w:lineRule="auto"/>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▲3.1.4.2.2著录信息应严格按照文献实际内容进行客观著录，标引词与标引对象文件应正确链接，确保实用性。卷目篇目层级正确，链接正确。文字错误率不超过0.3‰。</w:t>
      </w:r>
    </w:p>
    <w:p w14:paraId="22CF5176">
      <w:pPr>
        <w:autoSpaceDE w:val="0"/>
        <w:autoSpaceDN w:val="0"/>
        <w:adjustRightInd w:val="0"/>
        <w:snapToGrid w:val="0"/>
        <w:spacing w:line="360" w:lineRule="auto"/>
        <w:ind w:firstLine="482" w:firstLineChars="200"/>
        <w:outlineLvl w:val="2"/>
        <w:rPr>
          <w:rFonts w:hint="eastAsia" w:ascii="宋体" w:hAnsi="宋体" w:cs="宋体"/>
          <w:b/>
          <w:color w:val="000000"/>
          <w:sz w:val="24"/>
          <w:szCs w:val="24"/>
          <w:highlight w:val="none"/>
        </w:rPr>
      </w:pPr>
      <w:r>
        <w:rPr>
          <w:rFonts w:hint="eastAsia" w:ascii="宋体" w:hAnsi="宋体" w:cs="宋体"/>
          <w:b/>
          <w:color w:val="000000"/>
          <w:sz w:val="24"/>
          <w:szCs w:val="24"/>
          <w:highlight w:val="none"/>
        </w:rPr>
        <w:t>3.1.5.数字图像质量要求</w:t>
      </w:r>
    </w:p>
    <w:p w14:paraId="0674D24E">
      <w:pPr>
        <w:autoSpaceDE w:val="0"/>
        <w:autoSpaceDN w:val="0"/>
        <w:adjustRightInd w:val="0"/>
        <w:snapToGrid w:val="0"/>
        <w:spacing w:line="360" w:lineRule="auto"/>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3.1.5.1检查项目</w:t>
      </w:r>
    </w:p>
    <w:p w14:paraId="4AB4BF88">
      <w:pPr>
        <w:autoSpaceDE w:val="0"/>
        <w:autoSpaceDN w:val="0"/>
        <w:adjustRightInd w:val="0"/>
        <w:snapToGrid w:val="0"/>
        <w:spacing w:line="360" w:lineRule="auto"/>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（1）将图像文件（各种格式）放大到 1：1 状态，逐叶检查清晰度、明亮度、色彩还原度，以及图像内容的完整性和准确性。检查事项包括但不限于图像透光、彩点、彩线、黑边、污点、歪斜、模糊（马赛克等）；图像有压字、折角、异物、透字、漏字、夹框、夹字和图像倾斜、扭曲变形、图像裁切过度等情况。</w:t>
      </w:r>
    </w:p>
    <w:p w14:paraId="1324A7A7">
      <w:pPr>
        <w:autoSpaceDE w:val="0"/>
        <w:autoSpaceDN w:val="0"/>
        <w:adjustRightInd w:val="0"/>
        <w:snapToGrid w:val="0"/>
        <w:spacing w:line="360" w:lineRule="auto"/>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（2）图像文件有无缺叶、倒叶，文件命名漏号、重号、错号等不规范现象。</w:t>
      </w:r>
    </w:p>
    <w:p w14:paraId="0040685F">
      <w:pPr>
        <w:autoSpaceDE w:val="0"/>
        <w:autoSpaceDN w:val="0"/>
        <w:adjustRightInd w:val="0"/>
        <w:snapToGrid w:val="0"/>
        <w:spacing w:line="360" w:lineRule="auto"/>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（3）检查书叶图像的完整度。发现文件漏扫时应及时补扫并在正确位置插入图像文件。</w:t>
      </w:r>
    </w:p>
    <w:p w14:paraId="41F0A88D">
      <w:pPr>
        <w:autoSpaceDE w:val="0"/>
        <w:autoSpaceDN w:val="0"/>
        <w:adjustRightInd w:val="0"/>
        <w:snapToGrid w:val="0"/>
        <w:spacing w:line="360" w:lineRule="auto"/>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（4）检查图像叶码是否连续，不得跳叶。</w:t>
      </w:r>
    </w:p>
    <w:p w14:paraId="487F1139">
      <w:pPr>
        <w:autoSpaceDE w:val="0"/>
        <w:autoSpaceDN w:val="0"/>
        <w:adjustRightInd w:val="0"/>
        <w:snapToGrid w:val="0"/>
        <w:spacing w:line="360" w:lineRule="auto"/>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（5）加工数据以文献册次为单位，检查对应的各类标引数据是否齐全，链接准确。</w:t>
      </w:r>
    </w:p>
    <w:p w14:paraId="4DC4A46D">
      <w:pPr>
        <w:autoSpaceDE w:val="0"/>
        <w:autoSpaceDN w:val="0"/>
        <w:adjustRightInd w:val="0"/>
        <w:snapToGrid w:val="0"/>
        <w:spacing w:line="360" w:lineRule="auto"/>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（6）检查扫描（拍照）图像的采集技术指标。</w:t>
      </w:r>
    </w:p>
    <w:p w14:paraId="0BE4D8F2">
      <w:pPr>
        <w:autoSpaceDE w:val="0"/>
        <w:autoSpaceDN w:val="0"/>
        <w:adjustRightInd w:val="0"/>
        <w:snapToGrid w:val="0"/>
        <w:spacing w:line="360" w:lineRule="auto"/>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（7）检查双层PDF文件的图像层和文字层的文字对位准确。</w:t>
      </w:r>
    </w:p>
    <w:p w14:paraId="65636C3E">
      <w:pPr>
        <w:autoSpaceDE w:val="0"/>
        <w:autoSpaceDN w:val="0"/>
        <w:adjustRightInd w:val="0"/>
        <w:snapToGrid w:val="0"/>
        <w:spacing w:line="360" w:lineRule="auto"/>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（8）按照命名规则，检查目录、文件、数据库、文档、介质等名称是否正确。</w:t>
      </w:r>
    </w:p>
    <w:p w14:paraId="323C666F">
      <w:pPr>
        <w:autoSpaceDE w:val="0"/>
        <w:autoSpaceDN w:val="0"/>
        <w:adjustRightInd w:val="0"/>
        <w:snapToGrid w:val="0"/>
        <w:spacing w:line="360" w:lineRule="auto"/>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（9）检查各类说明、统计、验收等文档是否齐全。</w:t>
      </w:r>
    </w:p>
    <w:p w14:paraId="523276FB">
      <w:pPr>
        <w:autoSpaceDE w:val="0"/>
        <w:autoSpaceDN w:val="0"/>
        <w:adjustRightInd w:val="0"/>
        <w:snapToGrid w:val="0"/>
        <w:spacing w:line="360" w:lineRule="auto"/>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（10）确保所有文件保存位置正确，可以有效打开和显示。</w:t>
      </w:r>
    </w:p>
    <w:p w14:paraId="750B6009">
      <w:pPr>
        <w:autoSpaceDE w:val="0"/>
        <w:autoSpaceDN w:val="0"/>
        <w:adjustRightInd w:val="0"/>
        <w:snapToGrid w:val="0"/>
        <w:spacing w:line="360" w:lineRule="auto"/>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3.1.5.2质量标准</w:t>
      </w:r>
    </w:p>
    <w:p w14:paraId="507025D7">
      <w:pPr>
        <w:autoSpaceDE w:val="0"/>
        <w:autoSpaceDN w:val="0"/>
        <w:adjustRightInd w:val="0"/>
        <w:snapToGrid w:val="0"/>
        <w:spacing w:line="360" w:lineRule="auto"/>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▲（1）图像完整性100%正确。不能丢失、错位。</w:t>
      </w:r>
    </w:p>
    <w:p w14:paraId="79688A96">
      <w:pPr>
        <w:autoSpaceDE w:val="0"/>
        <w:autoSpaceDN w:val="0"/>
        <w:adjustRightInd w:val="0"/>
        <w:snapToGrid w:val="0"/>
        <w:spacing w:line="360" w:lineRule="auto"/>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▲（2）图像歪斜、压缩转换等综合错误率不超过1‰。</w:t>
      </w:r>
    </w:p>
    <w:p w14:paraId="3A998265">
      <w:pPr>
        <w:autoSpaceDE w:val="0"/>
        <w:autoSpaceDN w:val="0"/>
        <w:adjustRightInd w:val="0"/>
        <w:snapToGrid w:val="0"/>
        <w:spacing w:line="360" w:lineRule="auto"/>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▲（3）双层PDF文件的图像层和文字层的文字对位准确，反显区域与文字区域相差1毫米以内。</w:t>
      </w:r>
    </w:p>
    <w:p w14:paraId="2E2C37BB">
      <w:pPr>
        <w:autoSpaceDE w:val="0"/>
        <w:autoSpaceDN w:val="0"/>
        <w:adjustRightInd w:val="0"/>
        <w:snapToGrid w:val="0"/>
        <w:spacing w:line="360" w:lineRule="auto"/>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▲（4）双层PDF文件与TXT文件的文字内容保持一致，文字错误率不超过1‰。</w:t>
      </w:r>
    </w:p>
    <w:p w14:paraId="7162CF02">
      <w:pPr>
        <w:autoSpaceDE w:val="0"/>
        <w:autoSpaceDN w:val="0"/>
        <w:adjustRightInd w:val="0"/>
        <w:snapToGrid w:val="0"/>
        <w:spacing w:line="360" w:lineRule="auto"/>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5）长期保存级古籍原件扫描的标准TIFF格式图像分辨率要求：文献短边小于等于14.8cm（A5尺寸）的扫描分辨率不低于800dpi；文献短边在14.8cm和29.7.cm（A3尺寸）之间的扫描分辨率不低于600dpi；文献短边大于29.7cm的扫描分辨率不低于400dpi。色彩位数不少于24bit。</w:t>
      </w:r>
    </w:p>
    <w:p w14:paraId="76AC63E7">
      <w:pPr>
        <w:autoSpaceDE w:val="0"/>
        <w:autoSpaceDN w:val="0"/>
        <w:adjustRightInd w:val="0"/>
        <w:snapToGrid w:val="0"/>
        <w:spacing w:line="360" w:lineRule="auto"/>
        <w:ind w:firstLine="482" w:firstLineChars="200"/>
        <w:outlineLvl w:val="2"/>
        <w:rPr>
          <w:rFonts w:hint="eastAsia" w:ascii="宋体" w:hAnsi="宋体" w:cs="宋体"/>
          <w:b/>
          <w:color w:val="000000"/>
          <w:sz w:val="24"/>
          <w:szCs w:val="24"/>
          <w:highlight w:val="none"/>
        </w:rPr>
      </w:pPr>
      <w:r>
        <w:rPr>
          <w:rFonts w:hint="eastAsia" w:ascii="宋体" w:hAnsi="宋体" w:cs="宋体"/>
          <w:b/>
          <w:color w:val="000000"/>
          <w:sz w:val="24"/>
          <w:szCs w:val="24"/>
          <w:highlight w:val="none"/>
        </w:rPr>
        <w:t>3.1.6.全文转换质量要求</w:t>
      </w:r>
    </w:p>
    <w:p w14:paraId="4E818F93">
      <w:pPr>
        <w:autoSpaceDE w:val="0"/>
        <w:autoSpaceDN w:val="0"/>
        <w:adjustRightInd w:val="0"/>
        <w:snapToGrid w:val="0"/>
        <w:spacing w:line="360" w:lineRule="auto"/>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▲（1）文本数据的文字、版式、符号、段落顺序等，其字符综合错误率不超过1‰。</w:t>
      </w:r>
    </w:p>
    <w:p w14:paraId="5B6DE194">
      <w:pPr>
        <w:autoSpaceDE w:val="0"/>
        <w:autoSpaceDN w:val="0"/>
        <w:adjustRightInd w:val="0"/>
        <w:snapToGrid w:val="0"/>
        <w:spacing w:line="360" w:lineRule="auto"/>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▲（2）文本数据文件与《规范手册》要求的发布服务PDF文件一一对应，叶面连续，不得跳号，不丢失文件。错误率为0。</w:t>
      </w:r>
    </w:p>
    <w:p w14:paraId="2173C92D">
      <w:pPr>
        <w:autoSpaceDE w:val="0"/>
        <w:autoSpaceDN w:val="0"/>
        <w:adjustRightInd w:val="0"/>
        <w:snapToGrid w:val="0"/>
        <w:spacing w:line="360" w:lineRule="auto"/>
        <w:ind w:firstLine="482" w:firstLineChars="200"/>
        <w:outlineLvl w:val="1"/>
        <w:rPr>
          <w:rFonts w:hint="eastAsia" w:ascii="宋体" w:hAnsi="宋体" w:cs="宋体"/>
          <w:b/>
          <w:color w:val="000000"/>
          <w:sz w:val="24"/>
          <w:szCs w:val="24"/>
          <w:highlight w:val="none"/>
        </w:rPr>
      </w:pPr>
      <w:bookmarkStart w:id="98" w:name="_Toc20352"/>
      <w:r>
        <w:rPr>
          <w:rFonts w:hint="eastAsia" w:ascii="宋体" w:hAnsi="宋体" w:cs="宋体"/>
          <w:b/>
          <w:color w:val="000000"/>
          <w:sz w:val="24"/>
          <w:szCs w:val="24"/>
          <w:highlight w:val="none"/>
        </w:rPr>
        <w:t>3.1.7、设备要求</w:t>
      </w:r>
      <w:bookmarkEnd w:id="98"/>
    </w:p>
    <w:p w14:paraId="71F99817">
      <w:pPr>
        <w:autoSpaceDE w:val="0"/>
        <w:autoSpaceDN w:val="0"/>
        <w:adjustRightInd w:val="0"/>
        <w:snapToGrid w:val="0"/>
        <w:spacing w:line="360" w:lineRule="auto"/>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项目实施开展所需的一切软硬件设备均由供应商提供，在双方合同签订后，10个工作日内入场安装及完成调试工作。有关设备要求如下：</w:t>
      </w:r>
    </w:p>
    <w:p w14:paraId="0F4C94E8">
      <w:pPr>
        <w:autoSpaceDE w:val="0"/>
        <w:autoSpaceDN w:val="0"/>
        <w:adjustRightInd w:val="0"/>
        <w:snapToGrid w:val="0"/>
        <w:spacing w:line="360" w:lineRule="auto"/>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▲3.1.7.1. 扫描设备选择非接触式扫描仪，设备至少为A3幅面，光学分辨率至少为600dpi，色彩位数不少于24bit。扫描设备应是无紫外线的同步冷光源。</w:t>
      </w:r>
    </w:p>
    <w:p w14:paraId="07F94726">
      <w:pPr>
        <w:autoSpaceDE w:val="0"/>
        <w:autoSpaceDN w:val="0"/>
        <w:adjustRightInd w:val="0"/>
        <w:snapToGrid w:val="0"/>
        <w:spacing w:line="360" w:lineRule="auto"/>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3.1.7.2. 数码拍照相机的有效像素不低于6500万像素，裁切后图像短边像素换算分辨率不得低于同规格扫描分辨率，感光元件尺寸不低于全画幅（36×24mm），采用1：1微距镜头。</w:t>
      </w:r>
    </w:p>
    <w:p w14:paraId="012B3F7F">
      <w:pPr>
        <w:autoSpaceDE w:val="0"/>
        <w:autoSpaceDN w:val="0"/>
        <w:adjustRightInd w:val="0"/>
        <w:snapToGrid w:val="0"/>
        <w:spacing w:line="360" w:lineRule="auto"/>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3.1.7.3. 其他辅助设备</w:t>
      </w:r>
    </w:p>
    <w:p w14:paraId="732F9192">
      <w:pPr>
        <w:autoSpaceDE w:val="0"/>
        <w:autoSpaceDN w:val="0"/>
        <w:adjustRightInd w:val="0"/>
        <w:snapToGrid w:val="0"/>
        <w:spacing w:line="360" w:lineRule="auto"/>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（1）托稿台：为文献数码拍照的平台。托稿台材质应选用经过脱酸处理的，书籍托架应稳定牢固。</w:t>
      </w:r>
    </w:p>
    <w:p w14:paraId="02F09537">
      <w:pPr>
        <w:autoSpaceDE w:val="0"/>
        <w:autoSpaceDN w:val="0"/>
        <w:adjustRightInd w:val="0"/>
        <w:snapToGrid w:val="0"/>
        <w:spacing w:line="360" w:lineRule="auto"/>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（2）照明：无紫外线或红外线的，冷光源LED照明系统。</w:t>
      </w:r>
    </w:p>
    <w:p w14:paraId="629911B5">
      <w:pPr>
        <w:autoSpaceDE w:val="0"/>
        <w:autoSpaceDN w:val="0"/>
        <w:adjustRightInd w:val="0"/>
        <w:snapToGrid w:val="0"/>
        <w:spacing w:line="360" w:lineRule="auto"/>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（3）避光：日光灯、太阳光线，避免透光或反射光的影响；同时，注意光源的合理补充，避免出现图像色彩不均或局部阴影。</w:t>
      </w:r>
    </w:p>
    <w:p w14:paraId="25492579">
      <w:pPr>
        <w:autoSpaceDE w:val="0"/>
        <w:autoSpaceDN w:val="0"/>
        <w:adjustRightInd w:val="0"/>
        <w:snapToGrid w:val="0"/>
        <w:spacing w:line="360" w:lineRule="auto"/>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▲3.1.7.4. 供应商应具备相关的技术水平及技术研发能力，有相关的自有知识产权的古籍资源加工系统和发布服务系统，如古籍OCR识别、数据标引、数据管理、数据发布等软件。</w:t>
      </w:r>
    </w:p>
    <w:p w14:paraId="022F5FD6">
      <w:pPr>
        <w:autoSpaceDE w:val="0"/>
        <w:autoSpaceDN w:val="0"/>
        <w:adjustRightInd w:val="0"/>
        <w:snapToGrid w:val="0"/>
        <w:spacing w:line="360" w:lineRule="auto"/>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▲3.1.7.5. 为配合数据的安全存取和处理，应配置2台内部共享使用的NAS设备。设备配置要求：CPU不少于4核处理器，内存不少于16GB，盘位不少于4个，配置硬盘不少于4*16TB，权限精细管理、详细日志记录、操作留痕可追溯、快照抵御勒索病毒。此设备将作为数字资源配套产品交付给采购人，所有权归属采购人。</w:t>
      </w:r>
    </w:p>
    <w:p w14:paraId="6E7C5627">
      <w:pPr>
        <w:autoSpaceDE w:val="0"/>
        <w:autoSpaceDN w:val="0"/>
        <w:adjustRightInd w:val="0"/>
        <w:snapToGrid w:val="0"/>
        <w:spacing w:line="360" w:lineRule="auto"/>
        <w:ind w:firstLine="482" w:firstLineChars="200"/>
        <w:outlineLvl w:val="1"/>
        <w:rPr>
          <w:rFonts w:hint="eastAsia" w:ascii="宋体" w:hAnsi="宋体" w:cs="宋体"/>
          <w:b/>
          <w:color w:val="000000"/>
          <w:sz w:val="24"/>
          <w:szCs w:val="24"/>
          <w:highlight w:val="none"/>
        </w:rPr>
      </w:pPr>
      <w:bookmarkStart w:id="99" w:name="_Toc21711"/>
      <w:r>
        <w:rPr>
          <w:rFonts w:hint="eastAsia" w:ascii="宋体" w:hAnsi="宋体" w:cs="宋体"/>
          <w:b/>
          <w:color w:val="000000"/>
          <w:sz w:val="24"/>
          <w:szCs w:val="24"/>
          <w:highlight w:val="none"/>
        </w:rPr>
        <w:t>3.1.8、项目实施与验收</w:t>
      </w:r>
      <w:bookmarkEnd w:id="99"/>
    </w:p>
    <w:p w14:paraId="330205F7">
      <w:pPr>
        <w:autoSpaceDE w:val="0"/>
        <w:autoSpaceDN w:val="0"/>
        <w:adjustRightInd w:val="0"/>
        <w:snapToGrid w:val="0"/>
        <w:spacing w:line="360" w:lineRule="auto"/>
        <w:ind w:firstLine="480" w:firstLineChars="200"/>
        <w:outlineLvl w:val="2"/>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▲3.1.8.1.人员要求</w:t>
      </w:r>
    </w:p>
    <w:p w14:paraId="6FAB9F95">
      <w:pPr>
        <w:autoSpaceDE w:val="0"/>
        <w:autoSpaceDN w:val="0"/>
        <w:adjustRightInd w:val="0"/>
        <w:snapToGrid w:val="0"/>
        <w:spacing w:line="360" w:lineRule="auto"/>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根据项目具体特点、需求，配备项目实施团队，包括项目负责人、古籍专家、技术工程师、图像采集人员、数据标引人员、项目质检人员等。要求配备不少于30人的项目团队。应提供相关人员名单。</w:t>
      </w:r>
    </w:p>
    <w:p w14:paraId="26160294">
      <w:pPr>
        <w:autoSpaceDE w:val="0"/>
        <w:autoSpaceDN w:val="0"/>
        <w:adjustRightInd w:val="0"/>
        <w:snapToGrid w:val="0"/>
        <w:spacing w:line="360" w:lineRule="auto"/>
        <w:ind w:firstLine="480" w:firstLineChars="200"/>
        <w:outlineLvl w:val="2"/>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3.1.8.2.时间要求</w:t>
      </w:r>
    </w:p>
    <w:p w14:paraId="356DAD86">
      <w:pPr>
        <w:autoSpaceDE w:val="0"/>
        <w:autoSpaceDN w:val="0"/>
        <w:adjustRightInd w:val="0"/>
        <w:snapToGrid w:val="0"/>
        <w:spacing w:line="360" w:lineRule="auto"/>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供应商于自本项目合同正式生效起</w:t>
      </w:r>
      <w:r>
        <w:rPr>
          <w:rFonts w:hint="eastAsia" w:ascii="宋体" w:hAnsi="宋体" w:cs="宋体"/>
          <w:sz w:val="24"/>
          <w:szCs w:val="24"/>
          <w:highlight w:val="none"/>
        </w:rPr>
        <w:t>120日历天内完成</w:t>
      </w:r>
      <w:r>
        <w:rPr>
          <w:rFonts w:hint="eastAsia" w:ascii="宋体" w:hAnsi="宋体" w:cs="宋体"/>
          <w:bCs/>
          <w:color w:val="000000"/>
          <w:sz w:val="24"/>
          <w:szCs w:val="24"/>
          <w:highlight w:val="none"/>
        </w:rPr>
        <w:t>古籍数字化加工工作，并向采购人提交项目成果。</w:t>
      </w:r>
    </w:p>
    <w:p w14:paraId="4BA6CBA4">
      <w:pPr>
        <w:autoSpaceDE w:val="0"/>
        <w:autoSpaceDN w:val="0"/>
        <w:adjustRightInd w:val="0"/>
        <w:snapToGrid w:val="0"/>
        <w:spacing w:line="360" w:lineRule="auto"/>
        <w:ind w:firstLine="480" w:firstLineChars="200"/>
        <w:outlineLvl w:val="2"/>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3.1.8.3.项目管理</w:t>
      </w:r>
    </w:p>
    <w:p w14:paraId="58DF23E0">
      <w:pPr>
        <w:autoSpaceDE w:val="0"/>
        <w:autoSpaceDN w:val="0"/>
        <w:adjustRightInd w:val="0"/>
        <w:snapToGrid w:val="0"/>
        <w:spacing w:line="360" w:lineRule="auto"/>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供应商应提供项目的加工规划、进度管理、风险管理以及突发情况应对措施，并定期反馈加工进度。</w:t>
      </w:r>
    </w:p>
    <w:p w14:paraId="0370254A">
      <w:pPr>
        <w:autoSpaceDE w:val="0"/>
        <w:autoSpaceDN w:val="0"/>
        <w:adjustRightInd w:val="0"/>
        <w:snapToGrid w:val="0"/>
        <w:spacing w:line="360" w:lineRule="auto"/>
        <w:ind w:firstLine="480" w:firstLineChars="200"/>
        <w:outlineLvl w:val="2"/>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3.1.8.4.质量控制</w:t>
      </w:r>
    </w:p>
    <w:p w14:paraId="0053445B">
      <w:pPr>
        <w:autoSpaceDE w:val="0"/>
        <w:autoSpaceDN w:val="0"/>
        <w:adjustRightInd w:val="0"/>
        <w:snapToGrid w:val="0"/>
        <w:spacing w:line="360" w:lineRule="auto"/>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供应商承诺严格按照加工标准进行加工，需要提供完善合理的质量保证方案及措施。如果后期出现质量问题，要求在规定时间内快速响应修正，不能够影响项目的完成周期。</w:t>
      </w:r>
    </w:p>
    <w:p w14:paraId="1571FA94">
      <w:pPr>
        <w:autoSpaceDE w:val="0"/>
        <w:autoSpaceDN w:val="0"/>
        <w:adjustRightInd w:val="0"/>
        <w:snapToGrid w:val="0"/>
        <w:spacing w:line="360" w:lineRule="auto"/>
        <w:ind w:firstLine="480" w:firstLineChars="200"/>
        <w:outlineLvl w:val="2"/>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3.1.8.5.项目抽检</w:t>
      </w:r>
    </w:p>
    <w:p w14:paraId="50A6B6FD">
      <w:pPr>
        <w:autoSpaceDE w:val="0"/>
        <w:autoSpaceDN w:val="0"/>
        <w:adjustRightInd w:val="0"/>
        <w:snapToGrid w:val="0"/>
        <w:spacing w:line="360" w:lineRule="auto"/>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项目实施过程中采购人有权定期或不定期对数据进行抽检，数据检验不合格一次警告处理；三次不合格，采购人有权终止项目合作，并保留追求供应商的违约责任的权利。</w:t>
      </w:r>
    </w:p>
    <w:p w14:paraId="26C6EB19">
      <w:pPr>
        <w:autoSpaceDE w:val="0"/>
        <w:autoSpaceDN w:val="0"/>
        <w:adjustRightInd w:val="0"/>
        <w:snapToGrid w:val="0"/>
        <w:spacing w:line="360" w:lineRule="auto"/>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3.1.8.6.项目验收</w:t>
      </w:r>
    </w:p>
    <w:p w14:paraId="3835EC4F">
      <w:pPr>
        <w:autoSpaceDE w:val="0"/>
        <w:autoSpaceDN w:val="0"/>
        <w:adjustRightInd w:val="0"/>
        <w:snapToGrid w:val="0"/>
        <w:spacing w:line="360" w:lineRule="auto"/>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采购人在接受供应商提交的项目成果数据后，将委托第三方检测机构对数据进行质量检查并提供质检报告，质检方法采用通检和抽检相结合的方式，抽检数量比例不低于30%，质检费用包含在本项目费用中，由供应商提供。质检地点在采购人所在地江苏省南通市图书馆（南通市崇川区崇文路2号），质检所需的电脑等设备由供应商提供。</w:t>
      </w:r>
    </w:p>
    <w:p w14:paraId="07B75E75">
      <w:pPr>
        <w:autoSpaceDE w:val="0"/>
        <w:autoSpaceDN w:val="0"/>
        <w:adjustRightInd w:val="0"/>
        <w:snapToGrid w:val="0"/>
        <w:spacing w:line="360" w:lineRule="auto"/>
        <w:ind w:firstLine="482" w:firstLineChars="200"/>
        <w:outlineLvl w:val="1"/>
        <w:rPr>
          <w:rFonts w:hint="eastAsia" w:ascii="宋体" w:hAnsi="宋体" w:cs="宋体"/>
          <w:b/>
          <w:color w:val="000000"/>
          <w:sz w:val="24"/>
          <w:szCs w:val="24"/>
          <w:highlight w:val="none"/>
        </w:rPr>
      </w:pPr>
      <w:bookmarkStart w:id="100" w:name="_Toc2348"/>
      <w:r>
        <w:rPr>
          <w:rFonts w:hint="eastAsia" w:ascii="宋体" w:hAnsi="宋体" w:cs="宋体"/>
          <w:b/>
          <w:color w:val="000000"/>
          <w:sz w:val="24"/>
          <w:szCs w:val="24"/>
          <w:highlight w:val="none"/>
        </w:rPr>
        <w:t>3.1.9、古籍原件及成果保护要求</w:t>
      </w:r>
      <w:bookmarkEnd w:id="100"/>
    </w:p>
    <w:p w14:paraId="20AF541F">
      <w:pPr>
        <w:autoSpaceDE w:val="0"/>
        <w:autoSpaceDN w:val="0"/>
        <w:adjustRightInd w:val="0"/>
        <w:snapToGrid w:val="0"/>
        <w:spacing w:line="360" w:lineRule="auto"/>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▲3.1.9.1. 古籍原件保护</w:t>
      </w:r>
    </w:p>
    <w:p w14:paraId="013AE3C9">
      <w:pPr>
        <w:autoSpaceDE w:val="0"/>
        <w:autoSpaceDN w:val="0"/>
        <w:adjustRightInd w:val="0"/>
        <w:snapToGrid w:val="0"/>
        <w:spacing w:line="360" w:lineRule="auto"/>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古籍原件作为国家文物需要全过程、全方位进行保护，古籍原件保护工作包括但不限于制度规范、培训教育、技术手段（如监控）、工作环境、交接过程、加工过程、人员管理等等。</w:t>
      </w:r>
      <w:r>
        <w:rPr>
          <w:rFonts w:hint="eastAsia" w:ascii="宋体" w:hAnsi="宋体" w:cs="宋体"/>
          <w:b/>
          <w:color w:val="000000"/>
          <w:sz w:val="24"/>
          <w:szCs w:val="24"/>
          <w:highlight w:val="none"/>
        </w:rPr>
        <w:t>要求供应商制定相关的古籍原件保护方案，并草拟古籍原件保护协议书，明确古籍原件保护的具体事项和保护措施，以及古籍原件损害事故发生后的签定、赔偿等处理办法。</w:t>
      </w:r>
    </w:p>
    <w:p w14:paraId="4B41442D">
      <w:pPr>
        <w:autoSpaceDE w:val="0"/>
        <w:autoSpaceDN w:val="0"/>
        <w:adjustRightInd w:val="0"/>
        <w:snapToGrid w:val="0"/>
        <w:spacing w:line="360" w:lineRule="auto"/>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▲3.1.9.2. 成果保护</w:t>
      </w:r>
    </w:p>
    <w:p w14:paraId="21E147FE">
      <w:pPr>
        <w:autoSpaceDE w:val="0"/>
        <w:autoSpaceDN w:val="0"/>
        <w:adjustRightInd w:val="0"/>
        <w:snapToGrid w:val="0"/>
        <w:spacing w:line="360" w:lineRule="auto"/>
        <w:ind w:firstLine="480" w:firstLineChars="200"/>
        <w:rPr>
          <w:rFonts w:hint="eastAsia" w:ascii="宋体" w:hAnsi="宋体" w:cs="宋体"/>
          <w:b/>
          <w:color w:val="000000"/>
          <w:sz w:val="24"/>
          <w:szCs w:val="24"/>
          <w:highlight w:val="none"/>
        </w:rPr>
      </w:pPr>
      <w:r>
        <w:rPr>
          <w:rFonts w:hint="eastAsia" w:ascii="宋体" w:hAnsi="宋体" w:cs="宋体"/>
          <w:bCs/>
          <w:color w:val="000000"/>
          <w:sz w:val="24"/>
          <w:szCs w:val="24"/>
          <w:highlight w:val="none"/>
        </w:rPr>
        <w:t>加工后的一切数字资源成果的版权和所有权唯一归属于采购人，成果保护是全过程、全方位的，成果保护工作包括但不限于制度规范、培训教育、技术手段、加工过程、交接过程、人员管理等等。</w:t>
      </w:r>
      <w:r>
        <w:rPr>
          <w:rFonts w:hint="eastAsia" w:ascii="宋体" w:hAnsi="宋体" w:cs="宋体"/>
          <w:b/>
          <w:color w:val="000000"/>
          <w:sz w:val="24"/>
          <w:szCs w:val="24"/>
          <w:highlight w:val="none"/>
        </w:rPr>
        <w:t>供应商应提供无数据版权纠纷和数据泄露等数据安全的声明，并加盖公章。制定相关的成果保护方案，草拟成果保护协议书，明确成果保护的具体事项和保护措施，以及发生成果泄密、侵权事件后的签定、赔偿等处理办法。</w:t>
      </w:r>
    </w:p>
    <w:p w14:paraId="5A93B1D0">
      <w:pPr>
        <w:autoSpaceDE w:val="0"/>
        <w:autoSpaceDN w:val="0"/>
        <w:adjustRightInd w:val="0"/>
        <w:snapToGrid w:val="0"/>
        <w:spacing w:line="360" w:lineRule="auto"/>
        <w:ind w:firstLine="482" w:firstLineChars="200"/>
        <w:outlineLvl w:val="1"/>
        <w:rPr>
          <w:rFonts w:hint="eastAsia" w:ascii="宋体" w:hAnsi="宋体" w:cs="宋体"/>
          <w:b/>
          <w:sz w:val="24"/>
          <w:szCs w:val="24"/>
          <w:highlight w:val="none"/>
        </w:rPr>
      </w:pPr>
      <w:r>
        <w:rPr>
          <w:rFonts w:hint="eastAsia" w:ascii="宋体" w:hAnsi="宋体" w:cs="宋体"/>
          <w:b/>
          <w:color w:val="000000"/>
          <w:sz w:val="24"/>
          <w:szCs w:val="24"/>
          <w:highlight w:val="none"/>
        </w:rPr>
        <w:t>3.2、南通市古籍数字化利用平台</w:t>
      </w:r>
    </w:p>
    <w:p w14:paraId="6F1970E5">
      <w:pPr>
        <w:autoSpaceDE w:val="0"/>
        <w:autoSpaceDN w:val="0"/>
        <w:adjustRightInd w:val="0"/>
        <w:snapToGrid w:val="0"/>
        <w:spacing w:line="360" w:lineRule="auto"/>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lang w:val="en-US" w:eastAsia="zh-CN"/>
        </w:rPr>
        <w:t>该平台</w:t>
      </w:r>
      <w:r>
        <w:rPr>
          <w:rFonts w:hint="eastAsia" w:ascii="宋体" w:hAnsi="宋体" w:cs="宋体"/>
          <w:bCs/>
          <w:color w:val="000000"/>
          <w:sz w:val="24"/>
          <w:szCs w:val="24"/>
          <w:highlight w:val="none"/>
        </w:rPr>
        <w:t>采用3D建模技术构建一个三维虚拟空间，整合展示古籍内容，并支持嵌入数字人模型，用户在虚拟展厅内可以任意漫游，并通过图像、音视频、超链接、文字等多媒体详细浏览展厅内容，实现沉浸式的参观体验，为用户提供一个全新的、身临其境的学习和文化交流互动空间。</w:t>
      </w:r>
    </w:p>
    <w:tbl>
      <w:tblPr>
        <w:tblStyle w:val="42"/>
        <w:tblW w:w="8433"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1161"/>
        <w:gridCol w:w="6496"/>
      </w:tblGrid>
      <w:tr w14:paraId="2484D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6" w:type="dxa"/>
            <w:shd w:val="clear" w:color="auto" w:fill="auto"/>
            <w:vAlign w:val="center"/>
          </w:tcPr>
          <w:p w14:paraId="3E0CF674">
            <w:pPr>
              <w:spacing w:before="48" w:after="48"/>
              <w:jc w:val="center"/>
              <w:rPr>
                <w:rFonts w:hint="eastAsia" w:ascii="宋体" w:hAnsi="宋体" w:cs="宋体"/>
                <w:bCs/>
                <w:color w:val="000000"/>
                <w:kern w:val="2"/>
                <w:sz w:val="24"/>
                <w:szCs w:val="24"/>
                <w:highlight w:val="none"/>
              </w:rPr>
            </w:pPr>
            <w:r>
              <w:rPr>
                <w:rFonts w:hint="eastAsia" w:ascii="宋体" w:hAnsi="宋体" w:cs="宋体"/>
                <w:bCs/>
                <w:color w:val="000000"/>
                <w:kern w:val="2"/>
                <w:sz w:val="24"/>
                <w:szCs w:val="24"/>
                <w:highlight w:val="none"/>
              </w:rPr>
              <w:t>序号</w:t>
            </w:r>
          </w:p>
        </w:tc>
        <w:tc>
          <w:tcPr>
            <w:tcW w:w="1161" w:type="dxa"/>
            <w:shd w:val="clear" w:color="auto" w:fill="auto"/>
            <w:vAlign w:val="center"/>
          </w:tcPr>
          <w:p w14:paraId="1257A453">
            <w:pPr>
              <w:spacing w:before="48" w:after="48"/>
              <w:jc w:val="center"/>
              <w:rPr>
                <w:rFonts w:hint="eastAsia" w:ascii="宋体" w:hAnsi="宋体" w:cs="宋体"/>
                <w:bCs/>
                <w:color w:val="000000"/>
                <w:kern w:val="2"/>
                <w:sz w:val="24"/>
                <w:szCs w:val="24"/>
                <w:highlight w:val="none"/>
              </w:rPr>
            </w:pPr>
            <w:r>
              <w:rPr>
                <w:rFonts w:hint="eastAsia" w:ascii="宋体" w:hAnsi="宋体" w:cs="宋体"/>
                <w:bCs/>
                <w:color w:val="000000"/>
                <w:kern w:val="2"/>
                <w:sz w:val="24"/>
                <w:szCs w:val="24"/>
                <w:highlight w:val="none"/>
              </w:rPr>
              <w:t xml:space="preserve">模块 </w:t>
            </w:r>
          </w:p>
        </w:tc>
        <w:tc>
          <w:tcPr>
            <w:tcW w:w="6496" w:type="dxa"/>
            <w:shd w:val="clear" w:color="auto" w:fill="auto"/>
            <w:vAlign w:val="center"/>
          </w:tcPr>
          <w:p w14:paraId="4747B202">
            <w:pPr>
              <w:spacing w:before="48" w:after="48"/>
              <w:jc w:val="center"/>
              <w:rPr>
                <w:rFonts w:hint="eastAsia" w:ascii="宋体" w:hAnsi="宋体" w:cs="宋体"/>
                <w:bCs/>
                <w:color w:val="000000"/>
                <w:kern w:val="2"/>
                <w:sz w:val="24"/>
                <w:szCs w:val="24"/>
                <w:highlight w:val="none"/>
              </w:rPr>
            </w:pPr>
            <w:r>
              <w:rPr>
                <w:rFonts w:hint="eastAsia" w:ascii="宋体" w:hAnsi="宋体" w:cs="宋体"/>
                <w:bCs/>
                <w:color w:val="000000"/>
                <w:kern w:val="2"/>
                <w:sz w:val="24"/>
                <w:szCs w:val="24"/>
                <w:highlight w:val="none"/>
              </w:rPr>
              <w:t>功能说明</w:t>
            </w:r>
          </w:p>
        </w:tc>
      </w:tr>
      <w:tr w14:paraId="00139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6" w:type="dxa"/>
            <w:vMerge w:val="restart"/>
            <w:shd w:val="clear" w:color="auto" w:fill="auto"/>
            <w:vAlign w:val="center"/>
          </w:tcPr>
          <w:p w14:paraId="1733917D">
            <w:pPr>
              <w:widowControl/>
              <w:jc w:val="center"/>
              <w:textAlignment w:val="center"/>
              <w:rPr>
                <w:rStyle w:val="241"/>
                <w:rFonts w:hint="eastAsia" w:ascii="宋体" w:hAnsi="宋体" w:eastAsia="宋体" w:cs="宋体"/>
                <w:sz w:val="24"/>
                <w:szCs w:val="24"/>
                <w:highlight w:val="none"/>
                <w:lang w:bidi="ar"/>
              </w:rPr>
            </w:pPr>
            <w:r>
              <w:rPr>
                <w:rStyle w:val="241"/>
                <w:rFonts w:hint="eastAsia" w:ascii="宋体" w:hAnsi="宋体" w:eastAsia="宋体" w:cs="宋体"/>
                <w:sz w:val="24"/>
                <w:szCs w:val="24"/>
                <w:highlight w:val="none"/>
                <w:lang w:bidi="ar"/>
              </w:rPr>
              <w:t>1</w:t>
            </w:r>
          </w:p>
        </w:tc>
        <w:tc>
          <w:tcPr>
            <w:tcW w:w="1161" w:type="dxa"/>
            <w:vMerge w:val="restart"/>
            <w:shd w:val="clear" w:color="auto" w:fill="auto"/>
            <w:vAlign w:val="center"/>
          </w:tcPr>
          <w:p w14:paraId="30611A8A">
            <w:pPr>
              <w:widowControl/>
              <w:textAlignment w:val="center"/>
              <w:rPr>
                <w:rStyle w:val="241"/>
                <w:rFonts w:hint="eastAsia" w:ascii="宋体" w:hAnsi="宋体" w:eastAsia="宋体" w:cs="宋体"/>
                <w:sz w:val="24"/>
                <w:szCs w:val="24"/>
                <w:highlight w:val="none"/>
                <w:lang w:bidi="ar"/>
              </w:rPr>
            </w:pPr>
            <w:r>
              <w:rPr>
                <w:rStyle w:val="241"/>
                <w:rFonts w:hint="eastAsia" w:ascii="宋体" w:hAnsi="宋体" w:eastAsia="宋体" w:cs="宋体"/>
                <w:sz w:val="24"/>
                <w:szCs w:val="24"/>
                <w:highlight w:val="none"/>
                <w:lang w:bidi="ar"/>
              </w:rPr>
              <w:t>虚拟展厅功能参数</w:t>
            </w:r>
          </w:p>
        </w:tc>
        <w:tc>
          <w:tcPr>
            <w:tcW w:w="6496" w:type="dxa"/>
            <w:shd w:val="clear" w:color="auto" w:fill="auto"/>
            <w:vAlign w:val="center"/>
          </w:tcPr>
          <w:p w14:paraId="1843E778">
            <w:pPr>
              <w:widowControl/>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lang w:bidi="ar"/>
              </w:rPr>
              <w:t>1. 3D虚拟展厅空间，通过3D建模技术，构建虚拟展馆的空间模型；</w:t>
            </w:r>
          </w:p>
        </w:tc>
      </w:tr>
      <w:tr w14:paraId="077C8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6" w:type="dxa"/>
            <w:vMerge w:val="continue"/>
            <w:shd w:val="clear" w:color="auto" w:fill="auto"/>
            <w:vAlign w:val="center"/>
          </w:tcPr>
          <w:p w14:paraId="0A977B63">
            <w:pPr>
              <w:widowControl/>
              <w:textAlignment w:val="center"/>
              <w:rPr>
                <w:rFonts w:hint="eastAsia" w:ascii="宋体" w:hAnsi="宋体" w:cs="宋体"/>
                <w:color w:val="000000"/>
                <w:sz w:val="24"/>
                <w:szCs w:val="24"/>
                <w:highlight w:val="none"/>
                <w:lang w:bidi="ar"/>
              </w:rPr>
            </w:pPr>
          </w:p>
        </w:tc>
        <w:tc>
          <w:tcPr>
            <w:tcW w:w="1161" w:type="dxa"/>
            <w:vMerge w:val="continue"/>
            <w:shd w:val="clear" w:color="auto" w:fill="auto"/>
            <w:vAlign w:val="center"/>
          </w:tcPr>
          <w:p w14:paraId="70654361">
            <w:pPr>
              <w:widowControl/>
              <w:textAlignment w:val="center"/>
              <w:rPr>
                <w:rFonts w:hint="eastAsia" w:ascii="宋体" w:hAnsi="宋体" w:cs="宋体"/>
                <w:color w:val="000000"/>
                <w:sz w:val="24"/>
                <w:szCs w:val="24"/>
                <w:highlight w:val="none"/>
                <w:lang w:bidi="ar"/>
              </w:rPr>
            </w:pPr>
          </w:p>
        </w:tc>
        <w:tc>
          <w:tcPr>
            <w:tcW w:w="6496" w:type="dxa"/>
            <w:shd w:val="clear" w:color="auto" w:fill="auto"/>
            <w:vAlign w:val="center"/>
          </w:tcPr>
          <w:p w14:paraId="77D6D37E">
            <w:pPr>
              <w:widowControl/>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lang w:bidi="ar"/>
              </w:rPr>
              <w:t>2. 建模面积：虚拟展厅面积不少于200m</w:t>
            </w:r>
            <w:r>
              <w:rPr>
                <w:rFonts w:hint="eastAsia" w:ascii="宋体" w:hAnsi="宋体" w:cs="宋体"/>
                <w:color w:val="000000"/>
                <w:sz w:val="24"/>
                <w:szCs w:val="24"/>
                <w:highlight w:val="none"/>
                <w:vertAlign w:val="superscript"/>
                <w:lang w:bidi="ar"/>
              </w:rPr>
              <w:t>2</w:t>
            </w:r>
            <w:r>
              <w:rPr>
                <w:rFonts w:hint="eastAsia" w:ascii="宋体" w:hAnsi="宋体" w:cs="宋体"/>
                <w:color w:val="000000"/>
                <w:sz w:val="24"/>
                <w:szCs w:val="24"/>
                <w:highlight w:val="none"/>
                <w:lang w:bidi="ar"/>
              </w:rPr>
              <w:t>；</w:t>
            </w:r>
          </w:p>
        </w:tc>
      </w:tr>
      <w:tr w14:paraId="072E0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6" w:type="dxa"/>
            <w:vMerge w:val="continue"/>
            <w:shd w:val="clear" w:color="auto" w:fill="auto"/>
            <w:vAlign w:val="center"/>
          </w:tcPr>
          <w:p w14:paraId="508B65F6">
            <w:pPr>
              <w:widowControl/>
              <w:textAlignment w:val="center"/>
              <w:rPr>
                <w:rFonts w:hint="eastAsia" w:ascii="宋体" w:hAnsi="宋体" w:cs="宋体"/>
                <w:color w:val="000000"/>
                <w:sz w:val="24"/>
                <w:szCs w:val="24"/>
                <w:highlight w:val="none"/>
                <w:lang w:bidi="ar"/>
              </w:rPr>
            </w:pPr>
          </w:p>
        </w:tc>
        <w:tc>
          <w:tcPr>
            <w:tcW w:w="1161" w:type="dxa"/>
            <w:vMerge w:val="continue"/>
            <w:shd w:val="clear" w:color="auto" w:fill="auto"/>
            <w:vAlign w:val="center"/>
          </w:tcPr>
          <w:p w14:paraId="0ED37612">
            <w:pPr>
              <w:widowControl/>
              <w:textAlignment w:val="center"/>
              <w:rPr>
                <w:rFonts w:hint="eastAsia" w:ascii="宋体" w:hAnsi="宋体" w:cs="宋体"/>
                <w:color w:val="000000"/>
                <w:sz w:val="24"/>
                <w:szCs w:val="24"/>
                <w:highlight w:val="none"/>
                <w:lang w:bidi="ar"/>
              </w:rPr>
            </w:pPr>
          </w:p>
        </w:tc>
        <w:tc>
          <w:tcPr>
            <w:tcW w:w="6496" w:type="dxa"/>
            <w:shd w:val="clear" w:color="auto" w:fill="auto"/>
            <w:vAlign w:val="center"/>
          </w:tcPr>
          <w:p w14:paraId="61655300">
            <w:pPr>
              <w:widowControl/>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lang w:bidi="ar"/>
              </w:rPr>
              <w:t>3. 3D漫游：用户可在空间内实现任意漫游行走，可自由参观展厅，而非热点间短距离漫游；</w:t>
            </w:r>
          </w:p>
        </w:tc>
      </w:tr>
      <w:tr w14:paraId="34AB2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6" w:type="dxa"/>
            <w:vMerge w:val="continue"/>
            <w:shd w:val="clear" w:color="auto" w:fill="auto"/>
            <w:vAlign w:val="center"/>
          </w:tcPr>
          <w:p w14:paraId="0B8CA227">
            <w:pPr>
              <w:widowControl/>
              <w:textAlignment w:val="center"/>
              <w:rPr>
                <w:rFonts w:hint="eastAsia" w:ascii="宋体" w:hAnsi="宋体" w:cs="宋体"/>
                <w:color w:val="000000"/>
                <w:sz w:val="24"/>
                <w:szCs w:val="24"/>
                <w:highlight w:val="none"/>
                <w:lang w:bidi="ar"/>
              </w:rPr>
            </w:pPr>
          </w:p>
        </w:tc>
        <w:tc>
          <w:tcPr>
            <w:tcW w:w="1161" w:type="dxa"/>
            <w:vMerge w:val="continue"/>
            <w:shd w:val="clear" w:color="auto" w:fill="auto"/>
            <w:vAlign w:val="center"/>
          </w:tcPr>
          <w:p w14:paraId="2D35583C">
            <w:pPr>
              <w:widowControl/>
              <w:textAlignment w:val="center"/>
              <w:rPr>
                <w:rFonts w:hint="eastAsia" w:ascii="宋体" w:hAnsi="宋体" w:cs="宋体"/>
                <w:color w:val="000000"/>
                <w:sz w:val="24"/>
                <w:szCs w:val="24"/>
                <w:highlight w:val="none"/>
                <w:lang w:bidi="ar"/>
              </w:rPr>
            </w:pPr>
          </w:p>
        </w:tc>
        <w:tc>
          <w:tcPr>
            <w:tcW w:w="6496" w:type="dxa"/>
            <w:shd w:val="clear" w:color="auto" w:fill="auto"/>
            <w:vAlign w:val="center"/>
          </w:tcPr>
          <w:p w14:paraId="7286B3C3">
            <w:pPr>
              <w:widowControl/>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lang w:bidi="ar"/>
              </w:rPr>
              <w:t>4. 点击地面行走：可通过点击展厅地面任意区域，移动至目标位置，实现点位行走的功能；</w:t>
            </w:r>
          </w:p>
        </w:tc>
      </w:tr>
      <w:tr w14:paraId="3A6F4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6" w:type="dxa"/>
            <w:vMerge w:val="continue"/>
            <w:shd w:val="clear" w:color="auto" w:fill="auto"/>
            <w:vAlign w:val="center"/>
          </w:tcPr>
          <w:p w14:paraId="24440BAE">
            <w:pPr>
              <w:widowControl/>
              <w:textAlignment w:val="center"/>
              <w:rPr>
                <w:rFonts w:hint="eastAsia" w:ascii="宋体" w:hAnsi="宋体" w:cs="宋体"/>
                <w:color w:val="000000"/>
                <w:sz w:val="24"/>
                <w:szCs w:val="24"/>
                <w:highlight w:val="none"/>
                <w:lang w:bidi="ar"/>
              </w:rPr>
            </w:pPr>
          </w:p>
        </w:tc>
        <w:tc>
          <w:tcPr>
            <w:tcW w:w="1161" w:type="dxa"/>
            <w:vMerge w:val="continue"/>
            <w:shd w:val="clear" w:color="auto" w:fill="auto"/>
            <w:vAlign w:val="center"/>
          </w:tcPr>
          <w:p w14:paraId="6180D618">
            <w:pPr>
              <w:widowControl/>
              <w:textAlignment w:val="center"/>
              <w:rPr>
                <w:rFonts w:hint="eastAsia" w:ascii="宋体" w:hAnsi="宋体" w:cs="宋体"/>
                <w:color w:val="000000"/>
                <w:sz w:val="24"/>
                <w:szCs w:val="24"/>
                <w:highlight w:val="none"/>
                <w:lang w:bidi="ar"/>
              </w:rPr>
            </w:pPr>
          </w:p>
        </w:tc>
        <w:tc>
          <w:tcPr>
            <w:tcW w:w="6496" w:type="dxa"/>
            <w:shd w:val="clear" w:color="auto" w:fill="auto"/>
            <w:vAlign w:val="center"/>
          </w:tcPr>
          <w:p w14:paraId="26A2464A">
            <w:pPr>
              <w:widowControl/>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lang w:bidi="ar"/>
              </w:rPr>
              <w:t>5. 图文内容展示：可在展厅空间内任意点位增加图片和文字介绍；</w:t>
            </w:r>
          </w:p>
        </w:tc>
      </w:tr>
      <w:tr w14:paraId="1135B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6" w:type="dxa"/>
            <w:vMerge w:val="continue"/>
            <w:shd w:val="clear" w:color="auto" w:fill="auto"/>
            <w:vAlign w:val="center"/>
          </w:tcPr>
          <w:p w14:paraId="5A7B3471">
            <w:pPr>
              <w:widowControl/>
              <w:textAlignment w:val="center"/>
              <w:rPr>
                <w:rFonts w:hint="eastAsia" w:ascii="宋体" w:hAnsi="宋体" w:cs="宋体"/>
                <w:color w:val="000000"/>
                <w:sz w:val="24"/>
                <w:szCs w:val="24"/>
                <w:highlight w:val="none"/>
                <w:lang w:bidi="ar"/>
              </w:rPr>
            </w:pPr>
          </w:p>
        </w:tc>
        <w:tc>
          <w:tcPr>
            <w:tcW w:w="1161" w:type="dxa"/>
            <w:vMerge w:val="continue"/>
            <w:shd w:val="clear" w:color="auto" w:fill="auto"/>
            <w:vAlign w:val="center"/>
          </w:tcPr>
          <w:p w14:paraId="4397C132">
            <w:pPr>
              <w:widowControl/>
              <w:textAlignment w:val="center"/>
              <w:rPr>
                <w:rFonts w:hint="eastAsia" w:ascii="宋体" w:hAnsi="宋体" w:cs="宋体"/>
                <w:color w:val="000000"/>
                <w:sz w:val="24"/>
                <w:szCs w:val="24"/>
                <w:highlight w:val="none"/>
                <w:lang w:bidi="ar"/>
              </w:rPr>
            </w:pPr>
          </w:p>
        </w:tc>
        <w:tc>
          <w:tcPr>
            <w:tcW w:w="6496" w:type="dxa"/>
            <w:shd w:val="clear" w:color="auto" w:fill="auto"/>
            <w:vAlign w:val="center"/>
          </w:tcPr>
          <w:p w14:paraId="2FDB7574">
            <w:pPr>
              <w:widowControl/>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lang w:bidi="ar"/>
              </w:rPr>
              <w:t>6. 视频内容展示：可在展厅空间内任意点位增加视频介绍；</w:t>
            </w:r>
          </w:p>
        </w:tc>
      </w:tr>
      <w:tr w14:paraId="4F879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6" w:type="dxa"/>
            <w:vMerge w:val="continue"/>
            <w:shd w:val="clear" w:color="auto" w:fill="auto"/>
            <w:vAlign w:val="center"/>
          </w:tcPr>
          <w:p w14:paraId="54EAA301">
            <w:pPr>
              <w:widowControl/>
              <w:textAlignment w:val="center"/>
              <w:rPr>
                <w:rFonts w:hint="eastAsia" w:ascii="宋体" w:hAnsi="宋体" w:cs="宋体"/>
                <w:color w:val="000000"/>
                <w:sz w:val="24"/>
                <w:szCs w:val="24"/>
                <w:highlight w:val="none"/>
                <w:lang w:bidi="ar"/>
              </w:rPr>
            </w:pPr>
          </w:p>
        </w:tc>
        <w:tc>
          <w:tcPr>
            <w:tcW w:w="1161" w:type="dxa"/>
            <w:vMerge w:val="continue"/>
            <w:shd w:val="clear" w:color="auto" w:fill="auto"/>
            <w:vAlign w:val="center"/>
          </w:tcPr>
          <w:p w14:paraId="487C2DD6">
            <w:pPr>
              <w:widowControl/>
              <w:textAlignment w:val="center"/>
              <w:rPr>
                <w:rFonts w:hint="eastAsia" w:ascii="宋体" w:hAnsi="宋体" w:cs="宋体"/>
                <w:color w:val="000000"/>
                <w:sz w:val="24"/>
                <w:szCs w:val="24"/>
                <w:highlight w:val="none"/>
                <w:lang w:bidi="ar"/>
              </w:rPr>
            </w:pPr>
          </w:p>
        </w:tc>
        <w:tc>
          <w:tcPr>
            <w:tcW w:w="6496" w:type="dxa"/>
            <w:shd w:val="clear" w:color="auto" w:fill="auto"/>
            <w:vAlign w:val="center"/>
          </w:tcPr>
          <w:p w14:paraId="5EF747BA">
            <w:pPr>
              <w:widowControl/>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lang w:bidi="ar"/>
              </w:rPr>
              <w:t>7. 音频内容展示：可在展厅空间内任意点位增加背景音乐或讲解音频；</w:t>
            </w:r>
          </w:p>
        </w:tc>
      </w:tr>
      <w:tr w14:paraId="31B0D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6" w:type="dxa"/>
            <w:vMerge w:val="continue"/>
            <w:shd w:val="clear" w:color="auto" w:fill="auto"/>
            <w:vAlign w:val="center"/>
          </w:tcPr>
          <w:p w14:paraId="1F53C646">
            <w:pPr>
              <w:widowControl/>
              <w:textAlignment w:val="center"/>
              <w:rPr>
                <w:rFonts w:hint="eastAsia" w:ascii="宋体" w:hAnsi="宋体" w:cs="宋体"/>
                <w:color w:val="000000"/>
                <w:sz w:val="24"/>
                <w:szCs w:val="24"/>
                <w:highlight w:val="none"/>
                <w:lang w:bidi="ar"/>
              </w:rPr>
            </w:pPr>
          </w:p>
        </w:tc>
        <w:tc>
          <w:tcPr>
            <w:tcW w:w="1161" w:type="dxa"/>
            <w:vMerge w:val="continue"/>
            <w:shd w:val="clear" w:color="auto" w:fill="auto"/>
            <w:vAlign w:val="center"/>
          </w:tcPr>
          <w:p w14:paraId="6BEA2306">
            <w:pPr>
              <w:widowControl/>
              <w:textAlignment w:val="center"/>
              <w:rPr>
                <w:rFonts w:hint="eastAsia" w:ascii="宋体" w:hAnsi="宋体" w:cs="宋体"/>
                <w:color w:val="000000"/>
                <w:sz w:val="24"/>
                <w:szCs w:val="24"/>
                <w:highlight w:val="none"/>
                <w:lang w:bidi="ar"/>
              </w:rPr>
            </w:pPr>
          </w:p>
        </w:tc>
        <w:tc>
          <w:tcPr>
            <w:tcW w:w="6496" w:type="dxa"/>
            <w:shd w:val="clear" w:color="auto" w:fill="auto"/>
            <w:vAlign w:val="center"/>
          </w:tcPr>
          <w:p w14:paraId="104E94D8">
            <w:pPr>
              <w:widowControl/>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lang w:bidi="ar"/>
              </w:rPr>
              <w:t>8. 3D模型环物展示：支持在虚拟空间中展示3d环物内容，如三维物品等模型；</w:t>
            </w:r>
          </w:p>
        </w:tc>
      </w:tr>
      <w:tr w14:paraId="556AA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6" w:type="dxa"/>
            <w:vMerge w:val="continue"/>
            <w:shd w:val="clear" w:color="auto" w:fill="auto"/>
            <w:vAlign w:val="center"/>
          </w:tcPr>
          <w:p w14:paraId="68853127">
            <w:pPr>
              <w:widowControl/>
              <w:textAlignment w:val="center"/>
              <w:rPr>
                <w:rFonts w:hint="eastAsia" w:ascii="宋体" w:hAnsi="宋体" w:cs="宋体"/>
                <w:color w:val="000000"/>
                <w:sz w:val="24"/>
                <w:szCs w:val="24"/>
                <w:highlight w:val="none"/>
                <w:lang w:bidi="ar"/>
              </w:rPr>
            </w:pPr>
          </w:p>
        </w:tc>
        <w:tc>
          <w:tcPr>
            <w:tcW w:w="1161" w:type="dxa"/>
            <w:vMerge w:val="continue"/>
            <w:shd w:val="clear" w:color="auto" w:fill="auto"/>
            <w:vAlign w:val="center"/>
          </w:tcPr>
          <w:p w14:paraId="58BB914A">
            <w:pPr>
              <w:widowControl/>
              <w:textAlignment w:val="center"/>
              <w:rPr>
                <w:rFonts w:hint="eastAsia" w:ascii="宋体" w:hAnsi="宋体" w:cs="宋体"/>
                <w:color w:val="000000"/>
                <w:sz w:val="24"/>
                <w:szCs w:val="24"/>
                <w:highlight w:val="none"/>
                <w:lang w:bidi="ar"/>
              </w:rPr>
            </w:pPr>
          </w:p>
        </w:tc>
        <w:tc>
          <w:tcPr>
            <w:tcW w:w="6496" w:type="dxa"/>
            <w:shd w:val="clear" w:color="auto" w:fill="auto"/>
            <w:vAlign w:val="center"/>
          </w:tcPr>
          <w:p w14:paraId="2EC1A1D8">
            <w:pPr>
              <w:widowControl/>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lang w:bidi="ar"/>
              </w:rPr>
              <w:t>9. 外链跳转：针对部分展品可以设置跳转链接；</w:t>
            </w:r>
          </w:p>
        </w:tc>
      </w:tr>
      <w:tr w14:paraId="11281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6" w:type="dxa"/>
            <w:vMerge w:val="continue"/>
            <w:shd w:val="clear" w:color="auto" w:fill="auto"/>
            <w:vAlign w:val="center"/>
          </w:tcPr>
          <w:p w14:paraId="7872B81C">
            <w:pPr>
              <w:widowControl/>
              <w:textAlignment w:val="center"/>
              <w:rPr>
                <w:rFonts w:hint="eastAsia" w:ascii="宋体" w:hAnsi="宋体" w:cs="宋体"/>
                <w:color w:val="000000"/>
                <w:sz w:val="24"/>
                <w:szCs w:val="24"/>
                <w:highlight w:val="none"/>
                <w:lang w:bidi="ar"/>
              </w:rPr>
            </w:pPr>
          </w:p>
        </w:tc>
        <w:tc>
          <w:tcPr>
            <w:tcW w:w="1161" w:type="dxa"/>
            <w:vMerge w:val="continue"/>
            <w:shd w:val="clear" w:color="auto" w:fill="auto"/>
            <w:vAlign w:val="center"/>
          </w:tcPr>
          <w:p w14:paraId="640E135D">
            <w:pPr>
              <w:widowControl/>
              <w:textAlignment w:val="center"/>
              <w:rPr>
                <w:rFonts w:hint="eastAsia" w:ascii="宋体" w:hAnsi="宋体" w:cs="宋体"/>
                <w:color w:val="000000"/>
                <w:sz w:val="24"/>
                <w:szCs w:val="24"/>
                <w:highlight w:val="none"/>
                <w:lang w:bidi="ar"/>
              </w:rPr>
            </w:pPr>
          </w:p>
        </w:tc>
        <w:tc>
          <w:tcPr>
            <w:tcW w:w="6496" w:type="dxa"/>
            <w:shd w:val="clear" w:color="auto" w:fill="auto"/>
            <w:vAlign w:val="center"/>
          </w:tcPr>
          <w:p w14:paraId="0B09C71B">
            <w:pPr>
              <w:widowControl/>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lang w:bidi="ar"/>
              </w:rPr>
              <w:t>10. 内嵌网页展示：用户可以通过展厅界面直接浏览内嵌的网页内容，无需额外打开浏览器或离开展厅界面；</w:t>
            </w:r>
          </w:p>
        </w:tc>
      </w:tr>
      <w:tr w14:paraId="37A06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6" w:type="dxa"/>
            <w:vMerge w:val="continue"/>
            <w:shd w:val="clear" w:color="auto" w:fill="auto"/>
            <w:vAlign w:val="center"/>
          </w:tcPr>
          <w:p w14:paraId="49BA71B3">
            <w:pPr>
              <w:widowControl/>
              <w:textAlignment w:val="center"/>
              <w:rPr>
                <w:rFonts w:hint="eastAsia" w:ascii="宋体" w:hAnsi="宋体" w:cs="宋体"/>
                <w:color w:val="000000"/>
                <w:sz w:val="24"/>
                <w:szCs w:val="24"/>
                <w:highlight w:val="none"/>
                <w:lang w:bidi="ar"/>
              </w:rPr>
            </w:pPr>
          </w:p>
        </w:tc>
        <w:tc>
          <w:tcPr>
            <w:tcW w:w="1161" w:type="dxa"/>
            <w:vMerge w:val="continue"/>
            <w:shd w:val="clear" w:color="auto" w:fill="auto"/>
            <w:vAlign w:val="center"/>
          </w:tcPr>
          <w:p w14:paraId="10A8AB8F">
            <w:pPr>
              <w:widowControl/>
              <w:textAlignment w:val="center"/>
              <w:rPr>
                <w:rFonts w:hint="eastAsia" w:ascii="宋体" w:hAnsi="宋体" w:cs="宋体"/>
                <w:color w:val="000000"/>
                <w:sz w:val="24"/>
                <w:szCs w:val="24"/>
                <w:highlight w:val="none"/>
                <w:lang w:bidi="ar"/>
              </w:rPr>
            </w:pPr>
          </w:p>
        </w:tc>
        <w:tc>
          <w:tcPr>
            <w:tcW w:w="6496" w:type="dxa"/>
            <w:shd w:val="clear" w:color="auto" w:fill="auto"/>
            <w:vAlign w:val="center"/>
          </w:tcPr>
          <w:p w14:paraId="31CA4406">
            <w:pPr>
              <w:widowControl/>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lang w:bidi="ar"/>
              </w:rPr>
              <w:t>11. 智能导览：在特定场景区域，支持智能语音讲解介绍，用户靠近后可触发自动播放；</w:t>
            </w:r>
          </w:p>
        </w:tc>
      </w:tr>
      <w:tr w14:paraId="072C3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6" w:type="dxa"/>
            <w:vMerge w:val="continue"/>
            <w:shd w:val="clear" w:color="auto" w:fill="auto"/>
            <w:vAlign w:val="center"/>
          </w:tcPr>
          <w:p w14:paraId="1EB87636">
            <w:pPr>
              <w:widowControl/>
              <w:textAlignment w:val="center"/>
              <w:rPr>
                <w:rFonts w:hint="eastAsia" w:ascii="宋体" w:hAnsi="宋体" w:cs="宋体"/>
                <w:color w:val="000000"/>
                <w:sz w:val="24"/>
                <w:szCs w:val="24"/>
                <w:highlight w:val="none"/>
                <w:lang w:bidi="ar"/>
              </w:rPr>
            </w:pPr>
          </w:p>
        </w:tc>
        <w:tc>
          <w:tcPr>
            <w:tcW w:w="1161" w:type="dxa"/>
            <w:vMerge w:val="continue"/>
            <w:shd w:val="clear" w:color="auto" w:fill="auto"/>
            <w:vAlign w:val="center"/>
          </w:tcPr>
          <w:p w14:paraId="259BAF77">
            <w:pPr>
              <w:widowControl/>
              <w:textAlignment w:val="center"/>
              <w:rPr>
                <w:rFonts w:hint="eastAsia" w:ascii="宋体" w:hAnsi="宋体" w:cs="宋体"/>
                <w:color w:val="000000"/>
                <w:sz w:val="24"/>
                <w:szCs w:val="24"/>
                <w:highlight w:val="none"/>
                <w:lang w:bidi="ar"/>
              </w:rPr>
            </w:pPr>
          </w:p>
        </w:tc>
        <w:tc>
          <w:tcPr>
            <w:tcW w:w="6496" w:type="dxa"/>
            <w:shd w:val="clear" w:color="auto" w:fill="auto"/>
            <w:vAlign w:val="center"/>
          </w:tcPr>
          <w:p w14:paraId="60A72465">
            <w:pPr>
              <w:widowControl/>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lang w:bidi="ar"/>
              </w:rPr>
              <w:t>12. 区域热点数量：虚拟空间可根据用户实际需求定制热点数量，一般不少于5个；</w:t>
            </w:r>
          </w:p>
        </w:tc>
      </w:tr>
      <w:tr w14:paraId="28C5D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6" w:type="dxa"/>
            <w:vMerge w:val="continue"/>
            <w:shd w:val="clear" w:color="auto" w:fill="auto"/>
            <w:vAlign w:val="center"/>
          </w:tcPr>
          <w:p w14:paraId="4570EA4E">
            <w:pPr>
              <w:widowControl/>
              <w:textAlignment w:val="center"/>
              <w:rPr>
                <w:rFonts w:hint="eastAsia" w:ascii="宋体" w:hAnsi="宋体" w:cs="宋体"/>
                <w:color w:val="000000"/>
                <w:sz w:val="24"/>
                <w:szCs w:val="24"/>
                <w:highlight w:val="none"/>
                <w:lang w:bidi="ar"/>
              </w:rPr>
            </w:pPr>
          </w:p>
        </w:tc>
        <w:tc>
          <w:tcPr>
            <w:tcW w:w="1161" w:type="dxa"/>
            <w:vMerge w:val="continue"/>
            <w:shd w:val="clear" w:color="auto" w:fill="auto"/>
            <w:vAlign w:val="center"/>
          </w:tcPr>
          <w:p w14:paraId="17D985A9">
            <w:pPr>
              <w:widowControl/>
              <w:textAlignment w:val="center"/>
              <w:rPr>
                <w:rFonts w:hint="eastAsia" w:ascii="宋体" w:hAnsi="宋体" w:cs="宋体"/>
                <w:color w:val="000000"/>
                <w:sz w:val="24"/>
                <w:szCs w:val="24"/>
                <w:highlight w:val="none"/>
                <w:lang w:bidi="ar"/>
              </w:rPr>
            </w:pPr>
          </w:p>
        </w:tc>
        <w:tc>
          <w:tcPr>
            <w:tcW w:w="6496" w:type="dxa"/>
            <w:shd w:val="clear" w:color="auto" w:fill="auto"/>
            <w:vAlign w:val="center"/>
          </w:tcPr>
          <w:p w14:paraId="0EE95746">
            <w:pPr>
              <w:widowControl/>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lang w:bidi="ar"/>
              </w:rPr>
              <w:t>13. 视角切换：支持用户以第一视角和第三视角切换形式参观展厅；</w:t>
            </w:r>
          </w:p>
        </w:tc>
      </w:tr>
      <w:tr w14:paraId="1D49F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6" w:type="dxa"/>
            <w:vMerge w:val="continue"/>
            <w:shd w:val="clear" w:color="auto" w:fill="auto"/>
            <w:vAlign w:val="center"/>
          </w:tcPr>
          <w:p w14:paraId="4917DED7">
            <w:pPr>
              <w:widowControl/>
              <w:textAlignment w:val="center"/>
              <w:rPr>
                <w:rFonts w:hint="eastAsia" w:ascii="宋体" w:hAnsi="宋体" w:cs="宋体"/>
                <w:color w:val="000000"/>
                <w:sz w:val="24"/>
                <w:szCs w:val="24"/>
                <w:highlight w:val="none"/>
                <w:lang w:bidi="ar"/>
              </w:rPr>
            </w:pPr>
          </w:p>
        </w:tc>
        <w:tc>
          <w:tcPr>
            <w:tcW w:w="1161" w:type="dxa"/>
            <w:vMerge w:val="continue"/>
            <w:shd w:val="clear" w:color="auto" w:fill="auto"/>
            <w:vAlign w:val="center"/>
          </w:tcPr>
          <w:p w14:paraId="33CCA956">
            <w:pPr>
              <w:widowControl/>
              <w:textAlignment w:val="center"/>
              <w:rPr>
                <w:rFonts w:hint="eastAsia" w:ascii="宋体" w:hAnsi="宋体" w:cs="宋体"/>
                <w:color w:val="000000"/>
                <w:sz w:val="24"/>
                <w:szCs w:val="24"/>
                <w:highlight w:val="none"/>
                <w:lang w:bidi="ar"/>
              </w:rPr>
            </w:pPr>
          </w:p>
        </w:tc>
        <w:tc>
          <w:tcPr>
            <w:tcW w:w="6496" w:type="dxa"/>
            <w:shd w:val="clear" w:color="auto" w:fill="auto"/>
            <w:vAlign w:val="center"/>
          </w:tcPr>
          <w:p w14:paraId="4D8909CE">
            <w:pPr>
              <w:widowControl/>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lang w:bidi="ar"/>
              </w:rPr>
              <w:t>14. 场景导航：支持用户在展厅中通过场景切换的方式导航到不同的场景视角；</w:t>
            </w:r>
          </w:p>
        </w:tc>
      </w:tr>
      <w:tr w14:paraId="38314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6" w:type="dxa"/>
            <w:vMerge w:val="continue"/>
            <w:shd w:val="clear" w:color="auto" w:fill="auto"/>
            <w:vAlign w:val="center"/>
          </w:tcPr>
          <w:p w14:paraId="3A36CBCA">
            <w:pPr>
              <w:widowControl/>
              <w:textAlignment w:val="center"/>
              <w:rPr>
                <w:rFonts w:hint="eastAsia" w:ascii="宋体" w:hAnsi="宋体" w:cs="宋体"/>
                <w:color w:val="000000"/>
                <w:sz w:val="24"/>
                <w:szCs w:val="24"/>
                <w:highlight w:val="none"/>
                <w:lang w:bidi="ar"/>
              </w:rPr>
            </w:pPr>
          </w:p>
        </w:tc>
        <w:tc>
          <w:tcPr>
            <w:tcW w:w="1161" w:type="dxa"/>
            <w:vMerge w:val="continue"/>
            <w:shd w:val="clear" w:color="auto" w:fill="auto"/>
            <w:vAlign w:val="center"/>
          </w:tcPr>
          <w:p w14:paraId="6334CC50">
            <w:pPr>
              <w:widowControl/>
              <w:textAlignment w:val="center"/>
              <w:rPr>
                <w:rFonts w:hint="eastAsia" w:ascii="宋体" w:hAnsi="宋体" w:cs="宋体"/>
                <w:color w:val="000000"/>
                <w:sz w:val="24"/>
                <w:szCs w:val="24"/>
                <w:highlight w:val="none"/>
                <w:lang w:bidi="ar"/>
              </w:rPr>
            </w:pPr>
          </w:p>
        </w:tc>
        <w:tc>
          <w:tcPr>
            <w:tcW w:w="6496" w:type="dxa"/>
            <w:shd w:val="clear" w:color="auto" w:fill="auto"/>
            <w:vAlign w:val="center"/>
          </w:tcPr>
          <w:p w14:paraId="7B8F0149">
            <w:pPr>
              <w:widowControl/>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lang w:bidi="ar"/>
              </w:rPr>
              <w:t>15. 快捷导航：用户可以通过快捷导航功能快速浏览展厅中的各个特定区域；</w:t>
            </w:r>
          </w:p>
        </w:tc>
      </w:tr>
      <w:tr w14:paraId="4E614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6" w:type="dxa"/>
            <w:vMerge w:val="continue"/>
            <w:shd w:val="clear" w:color="auto" w:fill="auto"/>
            <w:vAlign w:val="center"/>
          </w:tcPr>
          <w:p w14:paraId="548E3A67">
            <w:pPr>
              <w:widowControl/>
              <w:textAlignment w:val="center"/>
              <w:rPr>
                <w:rFonts w:hint="eastAsia" w:ascii="宋体" w:hAnsi="宋体" w:cs="宋体"/>
                <w:color w:val="000000"/>
                <w:sz w:val="24"/>
                <w:szCs w:val="24"/>
                <w:highlight w:val="none"/>
                <w:lang w:bidi="ar"/>
              </w:rPr>
            </w:pPr>
          </w:p>
        </w:tc>
        <w:tc>
          <w:tcPr>
            <w:tcW w:w="1161" w:type="dxa"/>
            <w:vMerge w:val="continue"/>
            <w:shd w:val="clear" w:color="auto" w:fill="auto"/>
            <w:vAlign w:val="center"/>
          </w:tcPr>
          <w:p w14:paraId="6F6358C8">
            <w:pPr>
              <w:widowControl/>
              <w:textAlignment w:val="center"/>
              <w:rPr>
                <w:rFonts w:hint="eastAsia" w:ascii="宋体" w:hAnsi="宋体" w:cs="宋体"/>
                <w:color w:val="000000"/>
                <w:sz w:val="24"/>
                <w:szCs w:val="24"/>
                <w:highlight w:val="none"/>
                <w:lang w:bidi="ar"/>
              </w:rPr>
            </w:pPr>
          </w:p>
        </w:tc>
        <w:tc>
          <w:tcPr>
            <w:tcW w:w="6496" w:type="dxa"/>
            <w:shd w:val="clear" w:color="auto" w:fill="auto"/>
            <w:vAlign w:val="center"/>
          </w:tcPr>
          <w:p w14:paraId="5151E8EA">
            <w:pPr>
              <w:widowControl/>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lang w:bidi="ar"/>
              </w:rPr>
              <w:t>16. 虚拟角色切换：用户可以在多个虚拟角色中进行切换选择；</w:t>
            </w:r>
          </w:p>
        </w:tc>
      </w:tr>
      <w:tr w14:paraId="70EAA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6" w:type="dxa"/>
            <w:vMerge w:val="continue"/>
            <w:shd w:val="clear" w:color="auto" w:fill="auto"/>
            <w:vAlign w:val="center"/>
          </w:tcPr>
          <w:p w14:paraId="04FC1D13">
            <w:pPr>
              <w:widowControl/>
              <w:textAlignment w:val="center"/>
              <w:rPr>
                <w:rFonts w:hint="eastAsia" w:ascii="宋体" w:hAnsi="宋体" w:cs="宋体"/>
                <w:color w:val="C00000"/>
                <w:sz w:val="24"/>
                <w:szCs w:val="24"/>
                <w:highlight w:val="none"/>
                <w:lang w:bidi="ar"/>
              </w:rPr>
            </w:pPr>
          </w:p>
        </w:tc>
        <w:tc>
          <w:tcPr>
            <w:tcW w:w="1161" w:type="dxa"/>
            <w:vMerge w:val="continue"/>
            <w:shd w:val="clear" w:color="auto" w:fill="auto"/>
            <w:vAlign w:val="center"/>
          </w:tcPr>
          <w:p w14:paraId="56F4044B">
            <w:pPr>
              <w:widowControl/>
              <w:textAlignment w:val="center"/>
              <w:rPr>
                <w:rFonts w:hint="eastAsia" w:ascii="宋体" w:hAnsi="宋体" w:cs="宋体"/>
                <w:color w:val="C00000"/>
                <w:sz w:val="24"/>
                <w:szCs w:val="24"/>
                <w:highlight w:val="none"/>
                <w:lang w:bidi="ar"/>
              </w:rPr>
            </w:pPr>
          </w:p>
        </w:tc>
        <w:tc>
          <w:tcPr>
            <w:tcW w:w="6496" w:type="dxa"/>
            <w:shd w:val="clear" w:color="auto" w:fill="auto"/>
            <w:vAlign w:val="center"/>
          </w:tcPr>
          <w:p w14:paraId="6A559965">
            <w:pPr>
              <w:widowControl/>
              <w:textAlignment w:val="center"/>
              <w:rPr>
                <w:rFonts w:hint="eastAsia" w:ascii="宋体" w:hAnsi="宋体" w:cs="宋体"/>
                <w:color w:val="C00000"/>
                <w:sz w:val="24"/>
                <w:szCs w:val="24"/>
                <w:highlight w:val="none"/>
              </w:rPr>
            </w:pPr>
            <w:r>
              <w:rPr>
                <w:rFonts w:hint="eastAsia" w:ascii="宋体" w:hAnsi="宋体" w:cs="宋体"/>
                <w:color w:val="000000"/>
                <w:sz w:val="24"/>
                <w:szCs w:val="24"/>
                <w:highlight w:val="none"/>
                <w:lang w:bidi="ar"/>
              </w:rPr>
              <w:t>17. 设计虚拟IP讲解员：虚拟IP讲解员可在特定场景和区域，进行智能语音讲解；</w:t>
            </w:r>
          </w:p>
        </w:tc>
      </w:tr>
      <w:tr w14:paraId="43F4A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6" w:type="dxa"/>
            <w:vMerge w:val="continue"/>
            <w:shd w:val="clear" w:color="auto" w:fill="auto"/>
            <w:vAlign w:val="center"/>
          </w:tcPr>
          <w:p w14:paraId="74A10043">
            <w:pPr>
              <w:widowControl/>
              <w:textAlignment w:val="center"/>
              <w:rPr>
                <w:rFonts w:hint="eastAsia" w:ascii="宋体" w:hAnsi="宋体" w:cs="宋体"/>
                <w:color w:val="C00000"/>
                <w:sz w:val="24"/>
                <w:szCs w:val="24"/>
                <w:highlight w:val="none"/>
                <w:lang w:bidi="ar"/>
              </w:rPr>
            </w:pPr>
          </w:p>
        </w:tc>
        <w:tc>
          <w:tcPr>
            <w:tcW w:w="1161" w:type="dxa"/>
            <w:vMerge w:val="continue"/>
            <w:shd w:val="clear" w:color="auto" w:fill="auto"/>
            <w:vAlign w:val="center"/>
          </w:tcPr>
          <w:p w14:paraId="5F93F9C2">
            <w:pPr>
              <w:widowControl/>
              <w:textAlignment w:val="center"/>
              <w:rPr>
                <w:rFonts w:hint="eastAsia" w:ascii="宋体" w:hAnsi="宋体" w:cs="宋体"/>
                <w:color w:val="C00000"/>
                <w:sz w:val="24"/>
                <w:szCs w:val="24"/>
                <w:highlight w:val="none"/>
                <w:lang w:bidi="ar"/>
              </w:rPr>
            </w:pPr>
          </w:p>
        </w:tc>
        <w:tc>
          <w:tcPr>
            <w:tcW w:w="6496" w:type="dxa"/>
            <w:shd w:val="clear" w:color="auto" w:fill="auto"/>
            <w:vAlign w:val="center"/>
          </w:tcPr>
          <w:p w14:paraId="4AE16536">
            <w:pPr>
              <w:widowControl/>
              <w:textAlignment w:val="center"/>
              <w:rPr>
                <w:rFonts w:hint="eastAsia" w:ascii="宋体" w:hAnsi="宋体" w:cs="宋体"/>
                <w:color w:val="C00000"/>
                <w:sz w:val="24"/>
                <w:szCs w:val="24"/>
                <w:highlight w:val="none"/>
              </w:rPr>
            </w:pPr>
            <w:r>
              <w:rPr>
                <w:rFonts w:hint="eastAsia" w:ascii="宋体" w:hAnsi="宋体" w:cs="宋体"/>
                <w:color w:val="000000"/>
                <w:sz w:val="24"/>
                <w:szCs w:val="24"/>
                <w:highlight w:val="none"/>
                <w:lang w:bidi="ar"/>
              </w:rPr>
              <w:t>18. 人物动画：支持设计简单IP人物动画，并为其添加基本的动画效果，如行走、跳跃、挥手等；</w:t>
            </w:r>
          </w:p>
        </w:tc>
      </w:tr>
      <w:tr w14:paraId="1E4E2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6" w:type="dxa"/>
            <w:vMerge w:val="continue"/>
            <w:shd w:val="clear" w:color="auto" w:fill="auto"/>
            <w:vAlign w:val="center"/>
          </w:tcPr>
          <w:p w14:paraId="1C5F44CA">
            <w:pPr>
              <w:widowControl/>
              <w:textAlignment w:val="center"/>
              <w:rPr>
                <w:rFonts w:hint="eastAsia" w:ascii="宋体" w:hAnsi="宋体" w:cs="宋体"/>
                <w:color w:val="000000"/>
                <w:sz w:val="24"/>
                <w:szCs w:val="24"/>
                <w:highlight w:val="none"/>
                <w:lang w:bidi="ar"/>
              </w:rPr>
            </w:pPr>
          </w:p>
        </w:tc>
        <w:tc>
          <w:tcPr>
            <w:tcW w:w="1161" w:type="dxa"/>
            <w:vMerge w:val="continue"/>
            <w:shd w:val="clear" w:color="auto" w:fill="auto"/>
            <w:vAlign w:val="center"/>
          </w:tcPr>
          <w:p w14:paraId="0DDEB4BB">
            <w:pPr>
              <w:widowControl/>
              <w:textAlignment w:val="center"/>
              <w:rPr>
                <w:rFonts w:hint="eastAsia" w:ascii="宋体" w:hAnsi="宋体" w:cs="宋体"/>
                <w:color w:val="000000"/>
                <w:sz w:val="24"/>
                <w:szCs w:val="24"/>
                <w:highlight w:val="none"/>
                <w:lang w:bidi="ar"/>
              </w:rPr>
            </w:pPr>
          </w:p>
        </w:tc>
        <w:tc>
          <w:tcPr>
            <w:tcW w:w="6496" w:type="dxa"/>
            <w:shd w:val="clear" w:color="auto" w:fill="auto"/>
            <w:vAlign w:val="center"/>
          </w:tcPr>
          <w:p w14:paraId="33C81804">
            <w:pPr>
              <w:widowControl/>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lang w:bidi="ar"/>
              </w:rPr>
              <w:t>19. 根据实际需求，可支持提供展馆特色数字资源展，如图书期刊资源展等，读者可以点击阅读期刊、图书内容；</w:t>
            </w:r>
          </w:p>
        </w:tc>
      </w:tr>
      <w:tr w14:paraId="0CD37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6" w:type="dxa"/>
            <w:vMerge w:val="continue"/>
            <w:shd w:val="clear" w:color="auto" w:fill="auto"/>
            <w:vAlign w:val="center"/>
          </w:tcPr>
          <w:p w14:paraId="36336130">
            <w:pPr>
              <w:widowControl/>
              <w:textAlignment w:val="center"/>
              <w:rPr>
                <w:rFonts w:hint="eastAsia" w:ascii="宋体" w:hAnsi="宋体" w:cs="宋体"/>
                <w:color w:val="C00000"/>
                <w:sz w:val="24"/>
                <w:szCs w:val="24"/>
                <w:highlight w:val="none"/>
                <w:lang w:bidi="ar"/>
              </w:rPr>
            </w:pPr>
          </w:p>
        </w:tc>
        <w:tc>
          <w:tcPr>
            <w:tcW w:w="1161" w:type="dxa"/>
            <w:vMerge w:val="continue"/>
            <w:shd w:val="clear" w:color="auto" w:fill="auto"/>
            <w:vAlign w:val="center"/>
          </w:tcPr>
          <w:p w14:paraId="6C24480D">
            <w:pPr>
              <w:widowControl/>
              <w:textAlignment w:val="center"/>
              <w:rPr>
                <w:rFonts w:hint="eastAsia" w:ascii="宋体" w:hAnsi="宋体" w:cs="宋体"/>
                <w:color w:val="C00000"/>
                <w:sz w:val="24"/>
                <w:szCs w:val="24"/>
                <w:highlight w:val="none"/>
                <w:lang w:bidi="ar"/>
              </w:rPr>
            </w:pPr>
          </w:p>
        </w:tc>
        <w:tc>
          <w:tcPr>
            <w:tcW w:w="6496" w:type="dxa"/>
            <w:shd w:val="clear" w:color="auto" w:fill="auto"/>
            <w:vAlign w:val="center"/>
          </w:tcPr>
          <w:p w14:paraId="46ECFDDA">
            <w:pPr>
              <w:widowControl/>
              <w:textAlignment w:val="center"/>
              <w:rPr>
                <w:rFonts w:hint="eastAsia" w:ascii="宋体" w:hAnsi="宋体" w:cs="宋体"/>
                <w:color w:val="C00000"/>
                <w:sz w:val="24"/>
                <w:szCs w:val="24"/>
                <w:highlight w:val="none"/>
              </w:rPr>
            </w:pPr>
            <w:r>
              <w:rPr>
                <w:rFonts w:hint="eastAsia" w:ascii="宋体" w:hAnsi="宋体" w:cs="宋体"/>
                <w:color w:val="000000"/>
                <w:sz w:val="24"/>
                <w:szCs w:val="24"/>
                <w:highlight w:val="none"/>
                <w:lang w:bidi="ar"/>
              </w:rPr>
              <w:t>20. PPT模式：支持用户在预览端直接进入场景播放状态，无法打断和调整镜头；</w:t>
            </w:r>
          </w:p>
        </w:tc>
      </w:tr>
      <w:tr w14:paraId="6C5D5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6" w:type="dxa"/>
            <w:vMerge w:val="continue"/>
            <w:shd w:val="clear" w:color="auto" w:fill="auto"/>
            <w:vAlign w:val="center"/>
          </w:tcPr>
          <w:p w14:paraId="27FD0C40">
            <w:pPr>
              <w:widowControl/>
              <w:textAlignment w:val="center"/>
              <w:rPr>
                <w:rFonts w:hint="eastAsia" w:ascii="宋体" w:hAnsi="宋体" w:cs="宋体"/>
                <w:color w:val="000000"/>
                <w:sz w:val="24"/>
                <w:szCs w:val="24"/>
                <w:highlight w:val="none"/>
                <w:lang w:bidi="ar"/>
              </w:rPr>
            </w:pPr>
          </w:p>
        </w:tc>
        <w:tc>
          <w:tcPr>
            <w:tcW w:w="1161" w:type="dxa"/>
            <w:vMerge w:val="continue"/>
            <w:shd w:val="clear" w:color="auto" w:fill="auto"/>
            <w:vAlign w:val="center"/>
          </w:tcPr>
          <w:p w14:paraId="31CBC573">
            <w:pPr>
              <w:widowControl/>
              <w:textAlignment w:val="center"/>
              <w:rPr>
                <w:rFonts w:hint="eastAsia" w:ascii="宋体" w:hAnsi="宋体" w:cs="宋体"/>
                <w:color w:val="000000"/>
                <w:sz w:val="24"/>
                <w:szCs w:val="24"/>
                <w:highlight w:val="none"/>
                <w:lang w:bidi="ar"/>
              </w:rPr>
            </w:pPr>
          </w:p>
        </w:tc>
        <w:tc>
          <w:tcPr>
            <w:tcW w:w="6496" w:type="dxa"/>
            <w:shd w:val="clear" w:color="auto" w:fill="auto"/>
            <w:vAlign w:val="center"/>
          </w:tcPr>
          <w:p w14:paraId="71628A37">
            <w:pPr>
              <w:widowControl/>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lang w:bidi="ar"/>
              </w:rPr>
              <w:t>21. 模型预览：支持实时预览模型效果；</w:t>
            </w:r>
          </w:p>
        </w:tc>
      </w:tr>
      <w:tr w14:paraId="0E8B0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6" w:type="dxa"/>
            <w:vMerge w:val="continue"/>
            <w:shd w:val="clear" w:color="auto" w:fill="auto"/>
            <w:vAlign w:val="center"/>
          </w:tcPr>
          <w:p w14:paraId="3D76BC8F">
            <w:pPr>
              <w:widowControl/>
              <w:textAlignment w:val="center"/>
              <w:rPr>
                <w:rFonts w:hint="eastAsia" w:ascii="宋体" w:hAnsi="宋体" w:cs="宋体"/>
                <w:color w:val="000000"/>
                <w:sz w:val="24"/>
                <w:szCs w:val="24"/>
                <w:highlight w:val="none"/>
                <w:lang w:bidi="ar"/>
              </w:rPr>
            </w:pPr>
          </w:p>
        </w:tc>
        <w:tc>
          <w:tcPr>
            <w:tcW w:w="1161" w:type="dxa"/>
            <w:vMerge w:val="continue"/>
            <w:shd w:val="clear" w:color="auto" w:fill="auto"/>
            <w:vAlign w:val="center"/>
          </w:tcPr>
          <w:p w14:paraId="03F598D6">
            <w:pPr>
              <w:widowControl/>
              <w:textAlignment w:val="center"/>
              <w:rPr>
                <w:rFonts w:hint="eastAsia" w:ascii="宋体" w:hAnsi="宋体" w:cs="宋体"/>
                <w:color w:val="000000"/>
                <w:sz w:val="24"/>
                <w:szCs w:val="24"/>
                <w:highlight w:val="none"/>
                <w:lang w:bidi="ar"/>
              </w:rPr>
            </w:pPr>
          </w:p>
        </w:tc>
        <w:tc>
          <w:tcPr>
            <w:tcW w:w="6496" w:type="dxa"/>
            <w:shd w:val="clear" w:color="auto" w:fill="auto"/>
            <w:vAlign w:val="center"/>
          </w:tcPr>
          <w:p w14:paraId="4E8F1288">
            <w:pPr>
              <w:widowControl/>
              <w:textAlignment w:val="center"/>
              <w:rPr>
                <w:rFonts w:hint="eastAsia" w:ascii="宋体" w:hAnsi="宋体" w:cs="宋体"/>
                <w:color w:val="000000"/>
                <w:sz w:val="24"/>
                <w:szCs w:val="24"/>
                <w:highlight w:val="none"/>
                <w:lang w:bidi="ar"/>
              </w:rPr>
            </w:pPr>
            <w:r>
              <w:rPr>
                <w:rFonts w:hint="eastAsia" w:ascii="宋体" w:hAnsi="宋体" w:eastAsia="宋体" w:cs="宋体"/>
                <w:bCs/>
                <w:color w:val="000000"/>
                <w:sz w:val="24"/>
                <w:szCs w:val="24"/>
                <w:highlight w:val="none"/>
              </w:rPr>
              <w:t>▲</w:t>
            </w:r>
            <w:r>
              <w:rPr>
                <w:rFonts w:hint="eastAsia" w:ascii="宋体" w:hAnsi="宋体" w:cs="宋体"/>
                <w:color w:val="000000"/>
                <w:sz w:val="24"/>
                <w:szCs w:val="24"/>
                <w:highlight w:val="none"/>
                <w:lang w:bidi="ar"/>
              </w:rPr>
              <w:t>22. AI智能体互动：内置知识库和机器学习算法，支持智能问答功能，快速解答用户疑问。</w:t>
            </w:r>
          </w:p>
        </w:tc>
      </w:tr>
      <w:tr w14:paraId="679DE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6" w:type="dxa"/>
            <w:vMerge w:val="continue"/>
            <w:shd w:val="clear" w:color="auto" w:fill="auto"/>
            <w:vAlign w:val="center"/>
          </w:tcPr>
          <w:p w14:paraId="66E7801E">
            <w:pPr>
              <w:widowControl/>
              <w:textAlignment w:val="center"/>
              <w:rPr>
                <w:rFonts w:hint="eastAsia" w:ascii="宋体" w:hAnsi="宋体" w:cs="宋体"/>
                <w:color w:val="C00000"/>
                <w:sz w:val="24"/>
                <w:szCs w:val="24"/>
                <w:highlight w:val="none"/>
                <w:lang w:bidi="ar"/>
              </w:rPr>
            </w:pPr>
          </w:p>
        </w:tc>
        <w:tc>
          <w:tcPr>
            <w:tcW w:w="1161" w:type="dxa"/>
            <w:vMerge w:val="continue"/>
            <w:shd w:val="clear" w:color="auto" w:fill="auto"/>
            <w:vAlign w:val="center"/>
          </w:tcPr>
          <w:p w14:paraId="79880FC8">
            <w:pPr>
              <w:widowControl/>
              <w:textAlignment w:val="center"/>
              <w:rPr>
                <w:rFonts w:hint="eastAsia" w:ascii="宋体" w:hAnsi="宋体" w:cs="宋体"/>
                <w:color w:val="C00000"/>
                <w:sz w:val="24"/>
                <w:szCs w:val="24"/>
                <w:highlight w:val="none"/>
                <w:lang w:bidi="ar"/>
              </w:rPr>
            </w:pPr>
          </w:p>
        </w:tc>
        <w:tc>
          <w:tcPr>
            <w:tcW w:w="6496" w:type="dxa"/>
            <w:shd w:val="clear" w:color="auto" w:fill="auto"/>
            <w:vAlign w:val="center"/>
          </w:tcPr>
          <w:p w14:paraId="73D25899">
            <w:pPr>
              <w:widowControl/>
              <w:textAlignment w:val="center"/>
              <w:rPr>
                <w:rFonts w:hint="eastAsia" w:ascii="宋体" w:hAnsi="宋体" w:cs="宋体"/>
                <w:color w:val="C00000"/>
                <w:sz w:val="24"/>
                <w:szCs w:val="24"/>
                <w:highlight w:val="none"/>
              </w:rPr>
            </w:pPr>
            <w:r>
              <w:rPr>
                <w:rFonts w:hint="eastAsia" w:ascii="宋体" w:hAnsi="宋体" w:eastAsia="宋体" w:cs="宋体"/>
                <w:bCs/>
                <w:color w:val="000000"/>
                <w:sz w:val="24"/>
                <w:szCs w:val="24"/>
                <w:highlight w:val="none"/>
              </w:rPr>
              <w:t>▲</w:t>
            </w:r>
            <w:r>
              <w:rPr>
                <w:rFonts w:hint="eastAsia" w:ascii="宋体" w:hAnsi="宋体" w:eastAsia="宋体" w:cs="宋体"/>
                <w:i w:val="0"/>
                <w:iCs w:val="0"/>
                <w:color w:val="000000"/>
                <w:kern w:val="0"/>
                <w:sz w:val="24"/>
                <w:szCs w:val="24"/>
                <w:highlight w:val="none"/>
                <w:u w:val="none"/>
                <w:lang w:val="en-US" w:eastAsia="zh-CN" w:bidi="ar"/>
              </w:rPr>
              <w:t>23. 支持对接VR眼镜：眼镜型号为pico 4 ，neo3企业版6+128版本；采用响应式技术，支持兼容多终端设备展示：手机移动、电脑PC、iPad、歌德机、大屏、报刊机、一体机、壁挂机、智能屏。</w:t>
            </w:r>
          </w:p>
        </w:tc>
      </w:tr>
      <w:tr w14:paraId="2BCC3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6" w:type="dxa"/>
            <w:vMerge w:val="restart"/>
            <w:shd w:val="clear" w:color="auto" w:fill="auto"/>
            <w:vAlign w:val="center"/>
          </w:tcPr>
          <w:p w14:paraId="30261A86">
            <w:pPr>
              <w:widowControl/>
              <w:jc w:val="center"/>
              <w:textAlignment w:val="center"/>
              <w:rPr>
                <w:rStyle w:val="266"/>
                <w:rFonts w:hint="default"/>
                <w:highlight w:val="none"/>
                <w:lang w:bidi="ar"/>
              </w:rPr>
            </w:pPr>
            <w:r>
              <w:rPr>
                <w:rStyle w:val="266"/>
                <w:highlight w:val="none"/>
                <w:lang w:bidi="ar"/>
              </w:rPr>
              <w:t>2</w:t>
            </w:r>
          </w:p>
        </w:tc>
        <w:tc>
          <w:tcPr>
            <w:tcW w:w="1161" w:type="dxa"/>
            <w:vMerge w:val="restart"/>
            <w:shd w:val="clear" w:color="auto" w:fill="auto"/>
            <w:vAlign w:val="center"/>
          </w:tcPr>
          <w:p w14:paraId="40D46670">
            <w:pPr>
              <w:widowControl/>
              <w:jc w:val="center"/>
              <w:textAlignment w:val="center"/>
              <w:rPr>
                <w:rStyle w:val="266"/>
                <w:rFonts w:hint="default"/>
                <w:highlight w:val="none"/>
                <w:lang w:bidi="ar"/>
              </w:rPr>
            </w:pPr>
            <w:r>
              <w:rPr>
                <w:rStyle w:val="266"/>
                <w:highlight w:val="none"/>
                <w:lang w:bidi="ar"/>
              </w:rPr>
              <w:t>编辑器参数</w:t>
            </w:r>
          </w:p>
        </w:tc>
        <w:tc>
          <w:tcPr>
            <w:tcW w:w="6496" w:type="dxa"/>
            <w:shd w:val="clear" w:color="auto" w:fill="auto"/>
            <w:vAlign w:val="center"/>
          </w:tcPr>
          <w:p w14:paraId="2F6AB5C6">
            <w:pPr>
              <w:widowControl/>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lang w:bidi="ar"/>
              </w:rPr>
              <w:t xml:space="preserve">1. </w:t>
            </w:r>
            <w:r>
              <w:rPr>
                <w:rStyle w:val="266"/>
                <w:highlight w:val="none"/>
                <w:lang w:bidi="ar"/>
              </w:rPr>
              <w:t>支持自建虚拟展厅，页面版式自定义，支持按需配置展厅模型与内容</w:t>
            </w:r>
          </w:p>
        </w:tc>
      </w:tr>
      <w:tr w14:paraId="2B7CD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6" w:type="dxa"/>
            <w:vMerge w:val="continue"/>
            <w:shd w:val="clear" w:color="auto" w:fill="auto"/>
            <w:vAlign w:val="center"/>
          </w:tcPr>
          <w:p w14:paraId="53E6C637">
            <w:pPr>
              <w:widowControl/>
              <w:textAlignment w:val="center"/>
              <w:rPr>
                <w:rFonts w:hint="eastAsia" w:ascii="宋体" w:hAnsi="宋体" w:cs="宋体"/>
                <w:color w:val="000000"/>
                <w:sz w:val="24"/>
                <w:szCs w:val="24"/>
                <w:highlight w:val="none"/>
                <w:lang w:bidi="ar"/>
              </w:rPr>
            </w:pPr>
          </w:p>
        </w:tc>
        <w:tc>
          <w:tcPr>
            <w:tcW w:w="1161" w:type="dxa"/>
            <w:vMerge w:val="continue"/>
            <w:shd w:val="clear" w:color="auto" w:fill="auto"/>
            <w:vAlign w:val="center"/>
          </w:tcPr>
          <w:p w14:paraId="574F146E">
            <w:pPr>
              <w:widowControl/>
              <w:textAlignment w:val="center"/>
              <w:rPr>
                <w:rFonts w:hint="eastAsia" w:ascii="宋体" w:hAnsi="宋体" w:cs="宋体"/>
                <w:color w:val="000000"/>
                <w:sz w:val="24"/>
                <w:szCs w:val="24"/>
                <w:highlight w:val="none"/>
                <w:lang w:bidi="ar"/>
              </w:rPr>
            </w:pPr>
          </w:p>
        </w:tc>
        <w:tc>
          <w:tcPr>
            <w:tcW w:w="6496" w:type="dxa"/>
            <w:shd w:val="clear" w:color="auto" w:fill="auto"/>
            <w:vAlign w:val="center"/>
          </w:tcPr>
          <w:p w14:paraId="0FCFA1BF">
            <w:pPr>
              <w:widowControl/>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lang w:bidi="ar"/>
              </w:rPr>
              <w:t xml:space="preserve">2. </w:t>
            </w:r>
            <w:r>
              <w:rPr>
                <w:rStyle w:val="266"/>
                <w:highlight w:val="none"/>
                <w:lang w:bidi="ar"/>
              </w:rPr>
              <w:t>系统采用B/S架构，无需安装客户端，方便维护升级，用户操作便捷；</w:t>
            </w:r>
          </w:p>
        </w:tc>
      </w:tr>
      <w:tr w14:paraId="06335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6" w:type="dxa"/>
            <w:vMerge w:val="continue"/>
            <w:shd w:val="clear" w:color="auto" w:fill="auto"/>
            <w:vAlign w:val="center"/>
          </w:tcPr>
          <w:p w14:paraId="6E7B803D">
            <w:pPr>
              <w:widowControl/>
              <w:textAlignment w:val="center"/>
              <w:rPr>
                <w:rFonts w:hint="eastAsia" w:ascii="宋体" w:hAnsi="宋体" w:cs="宋体"/>
                <w:color w:val="000000"/>
                <w:sz w:val="24"/>
                <w:szCs w:val="24"/>
                <w:highlight w:val="none"/>
                <w:lang w:bidi="ar"/>
              </w:rPr>
            </w:pPr>
          </w:p>
        </w:tc>
        <w:tc>
          <w:tcPr>
            <w:tcW w:w="1161" w:type="dxa"/>
            <w:vMerge w:val="continue"/>
            <w:shd w:val="clear" w:color="auto" w:fill="auto"/>
            <w:vAlign w:val="center"/>
          </w:tcPr>
          <w:p w14:paraId="12F39A1A">
            <w:pPr>
              <w:widowControl/>
              <w:textAlignment w:val="center"/>
              <w:rPr>
                <w:rFonts w:hint="eastAsia" w:ascii="宋体" w:hAnsi="宋体" w:cs="宋体"/>
                <w:color w:val="000000"/>
                <w:sz w:val="24"/>
                <w:szCs w:val="24"/>
                <w:highlight w:val="none"/>
                <w:lang w:bidi="ar"/>
              </w:rPr>
            </w:pPr>
          </w:p>
        </w:tc>
        <w:tc>
          <w:tcPr>
            <w:tcW w:w="6496" w:type="dxa"/>
            <w:shd w:val="clear" w:color="auto" w:fill="auto"/>
            <w:vAlign w:val="center"/>
          </w:tcPr>
          <w:p w14:paraId="266B8754">
            <w:pPr>
              <w:widowControl/>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lang w:bidi="ar"/>
              </w:rPr>
              <w:t xml:space="preserve">3. </w:t>
            </w:r>
            <w:r>
              <w:rPr>
                <w:rStyle w:val="266"/>
                <w:highlight w:val="none"/>
                <w:lang w:bidi="ar"/>
              </w:rPr>
              <w:t>支持用户通过后台修改前端内容数据，并且前端实时监听后台变化，做到后台修改完成，前端实时显示；</w:t>
            </w:r>
          </w:p>
        </w:tc>
      </w:tr>
      <w:tr w14:paraId="2E2C5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6" w:type="dxa"/>
            <w:vMerge w:val="continue"/>
            <w:shd w:val="clear" w:color="auto" w:fill="auto"/>
            <w:vAlign w:val="center"/>
          </w:tcPr>
          <w:p w14:paraId="7AB5016A">
            <w:pPr>
              <w:widowControl/>
              <w:textAlignment w:val="center"/>
              <w:rPr>
                <w:rFonts w:hint="eastAsia" w:ascii="宋体" w:hAnsi="宋体" w:cs="宋体"/>
                <w:color w:val="000000"/>
                <w:sz w:val="24"/>
                <w:szCs w:val="24"/>
                <w:highlight w:val="none"/>
                <w:lang w:bidi="ar"/>
              </w:rPr>
            </w:pPr>
          </w:p>
        </w:tc>
        <w:tc>
          <w:tcPr>
            <w:tcW w:w="1161" w:type="dxa"/>
            <w:vMerge w:val="continue"/>
            <w:shd w:val="clear" w:color="auto" w:fill="auto"/>
            <w:vAlign w:val="center"/>
          </w:tcPr>
          <w:p w14:paraId="0D04487B">
            <w:pPr>
              <w:widowControl/>
              <w:textAlignment w:val="center"/>
              <w:rPr>
                <w:rFonts w:hint="eastAsia" w:ascii="宋体" w:hAnsi="宋体" w:cs="宋体"/>
                <w:color w:val="000000"/>
                <w:sz w:val="24"/>
                <w:szCs w:val="24"/>
                <w:highlight w:val="none"/>
                <w:lang w:bidi="ar"/>
              </w:rPr>
            </w:pPr>
          </w:p>
        </w:tc>
        <w:tc>
          <w:tcPr>
            <w:tcW w:w="6496" w:type="dxa"/>
            <w:shd w:val="clear" w:color="auto" w:fill="auto"/>
            <w:vAlign w:val="center"/>
          </w:tcPr>
          <w:p w14:paraId="785D4BA8">
            <w:pPr>
              <w:widowControl/>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lang w:bidi="ar"/>
              </w:rPr>
              <w:t xml:space="preserve">4. </w:t>
            </w:r>
            <w:r>
              <w:rPr>
                <w:rStyle w:val="266"/>
                <w:highlight w:val="none"/>
                <w:lang w:bidi="ar"/>
              </w:rPr>
              <w:t>素材管理：编辑器允许用户自主上传、编辑、使用展厅所需素材；</w:t>
            </w:r>
          </w:p>
        </w:tc>
      </w:tr>
      <w:tr w14:paraId="4DA95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6" w:type="dxa"/>
            <w:vMerge w:val="continue"/>
            <w:shd w:val="clear" w:color="auto" w:fill="auto"/>
            <w:vAlign w:val="center"/>
          </w:tcPr>
          <w:p w14:paraId="75EB5206">
            <w:pPr>
              <w:widowControl/>
              <w:textAlignment w:val="center"/>
              <w:rPr>
                <w:rFonts w:hint="eastAsia" w:ascii="宋体" w:hAnsi="宋体" w:cs="宋体"/>
                <w:color w:val="000000"/>
                <w:sz w:val="24"/>
                <w:szCs w:val="24"/>
                <w:highlight w:val="none"/>
                <w:lang w:bidi="ar"/>
              </w:rPr>
            </w:pPr>
          </w:p>
        </w:tc>
        <w:tc>
          <w:tcPr>
            <w:tcW w:w="1161" w:type="dxa"/>
            <w:vMerge w:val="continue"/>
            <w:shd w:val="clear" w:color="auto" w:fill="auto"/>
            <w:vAlign w:val="center"/>
          </w:tcPr>
          <w:p w14:paraId="5FB6BA32">
            <w:pPr>
              <w:widowControl/>
              <w:textAlignment w:val="center"/>
              <w:rPr>
                <w:rFonts w:hint="eastAsia" w:ascii="宋体" w:hAnsi="宋体" w:cs="宋体"/>
                <w:color w:val="000000"/>
                <w:sz w:val="24"/>
                <w:szCs w:val="24"/>
                <w:highlight w:val="none"/>
                <w:lang w:bidi="ar"/>
              </w:rPr>
            </w:pPr>
          </w:p>
        </w:tc>
        <w:tc>
          <w:tcPr>
            <w:tcW w:w="6496" w:type="dxa"/>
            <w:shd w:val="clear" w:color="auto" w:fill="auto"/>
            <w:vAlign w:val="center"/>
          </w:tcPr>
          <w:p w14:paraId="0012007C">
            <w:pPr>
              <w:widowControl/>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lang w:bidi="ar"/>
              </w:rPr>
              <w:t xml:space="preserve">5. </w:t>
            </w:r>
            <w:r>
              <w:rPr>
                <w:rStyle w:val="266"/>
                <w:highlight w:val="none"/>
                <w:lang w:bidi="ar"/>
              </w:rPr>
              <w:t>素材分类：允许用户为素材创建文件夹，并进行自定义分类及命名；</w:t>
            </w:r>
          </w:p>
        </w:tc>
      </w:tr>
      <w:tr w14:paraId="2163C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776" w:type="dxa"/>
            <w:vMerge w:val="continue"/>
            <w:shd w:val="clear" w:color="auto" w:fill="auto"/>
            <w:vAlign w:val="center"/>
          </w:tcPr>
          <w:p w14:paraId="73EB1BDB">
            <w:pPr>
              <w:widowControl/>
              <w:textAlignment w:val="center"/>
              <w:rPr>
                <w:rFonts w:hint="eastAsia" w:ascii="宋体" w:hAnsi="宋体" w:cs="宋体"/>
                <w:color w:val="000000"/>
                <w:sz w:val="24"/>
                <w:szCs w:val="24"/>
                <w:highlight w:val="none"/>
                <w:lang w:bidi="ar"/>
              </w:rPr>
            </w:pPr>
          </w:p>
        </w:tc>
        <w:tc>
          <w:tcPr>
            <w:tcW w:w="1161" w:type="dxa"/>
            <w:vMerge w:val="continue"/>
            <w:shd w:val="clear" w:color="auto" w:fill="auto"/>
            <w:vAlign w:val="center"/>
          </w:tcPr>
          <w:p w14:paraId="1D98A017">
            <w:pPr>
              <w:widowControl/>
              <w:textAlignment w:val="center"/>
              <w:rPr>
                <w:rFonts w:hint="eastAsia" w:ascii="宋体" w:hAnsi="宋体" w:cs="宋体"/>
                <w:color w:val="000000"/>
                <w:sz w:val="24"/>
                <w:szCs w:val="24"/>
                <w:highlight w:val="none"/>
                <w:lang w:bidi="ar"/>
              </w:rPr>
            </w:pPr>
          </w:p>
        </w:tc>
        <w:tc>
          <w:tcPr>
            <w:tcW w:w="6496" w:type="dxa"/>
            <w:shd w:val="clear" w:color="auto" w:fill="auto"/>
            <w:vAlign w:val="center"/>
          </w:tcPr>
          <w:p w14:paraId="03424BD4">
            <w:pPr>
              <w:widowControl/>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lang w:bidi="ar"/>
              </w:rPr>
              <w:t xml:space="preserve">6. </w:t>
            </w:r>
            <w:r>
              <w:rPr>
                <w:rStyle w:val="266"/>
                <w:highlight w:val="none"/>
                <w:lang w:bidi="ar"/>
              </w:rPr>
              <w:t>公共素材：编辑器内配有公共素材，供策展人选择布展；</w:t>
            </w:r>
          </w:p>
        </w:tc>
      </w:tr>
      <w:tr w14:paraId="772AE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6" w:type="dxa"/>
            <w:vMerge w:val="continue"/>
            <w:shd w:val="clear" w:color="auto" w:fill="auto"/>
            <w:vAlign w:val="center"/>
          </w:tcPr>
          <w:p w14:paraId="0B57B95F">
            <w:pPr>
              <w:widowControl/>
              <w:textAlignment w:val="center"/>
              <w:rPr>
                <w:rFonts w:hint="eastAsia" w:ascii="宋体" w:hAnsi="宋体" w:cs="宋体"/>
                <w:color w:val="C00000"/>
                <w:sz w:val="24"/>
                <w:szCs w:val="24"/>
                <w:highlight w:val="none"/>
                <w:lang w:bidi="ar"/>
              </w:rPr>
            </w:pPr>
          </w:p>
        </w:tc>
        <w:tc>
          <w:tcPr>
            <w:tcW w:w="1161" w:type="dxa"/>
            <w:vMerge w:val="continue"/>
            <w:shd w:val="clear" w:color="auto" w:fill="auto"/>
            <w:vAlign w:val="center"/>
          </w:tcPr>
          <w:p w14:paraId="3F6F27FC">
            <w:pPr>
              <w:widowControl/>
              <w:textAlignment w:val="center"/>
              <w:rPr>
                <w:rFonts w:hint="eastAsia" w:ascii="宋体" w:hAnsi="宋体" w:cs="宋体"/>
                <w:color w:val="C00000"/>
                <w:sz w:val="24"/>
                <w:szCs w:val="24"/>
                <w:highlight w:val="none"/>
                <w:lang w:bidi="ar"/>
              </w:rPr>
            </w:pPr>
          </w:p>
        </w:tc>
        <w:tc>
          <w:tcPr>
            <w:tcW w:w="6496" w:type="dxa"/>
            <w:shd w:val="clear" w:color="auto" w:fill="auto"/>
            <w:vAlign w:val="center"/>
          </w:tcPr>
          <w:p w14:paraId="265DCA69">
            <w:pPr>
              <w:widowControl/>
              <w:textAlignment w:val="center"/>
              <w:rPr>
                <w:rFonts w:hint="eastAsia" w:ascii="宋体" w:hAnsi="宋体" w:cs="宋体"/>
                <w:color w:val="C00000"/>
                <w:sz w:val="24"/>
                <w:szCs w:val="24"/>
                <w:highlight w:val="none"/>
              </w:rPr>
            </w:pPr>
            <w:r>
              <w:rPr>
                <w:rFonts w:hint="eastAsia" w:ascii="宋体" w:hAnsi="宋体" w:cs="宋体"/>
                <w:color w:val="000000"/>
                <w:sz w:val="24"/>
                <w:szCs w:val="24"/>
                <w:highlight w:val="none"/>
                <w:lang w:bidi="ar"/>
              </w:rPr>
              <w:t xml:space="preserve">7. </w:t>
            </w:r>
            <w:r>
              <w:rPr>
                <w:rStyle w:val="266"/>
                <w:highlight w:val="none"/>
                <w:lang w:bidi="ar"/>
              </w:rPr>
              <w:t>编辑器支持上传多种多媒体素材类型，如：JPG、PNG、JPEG等格式图像，MP4、AVI、MOV等格式视频，MP3、WAV等格式音频，obj、FBX、glb等格式模型；</w:t>
            </w:r>
          </w:p>
        </w:tc>
      </w:tr>
      <w:tr w14:paraId="3A6A3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6" w:type="dxa"/>
            <w:vMerge w:val="continue"/>
            <w:shd w:val="clear" w:color="auto" w:fill="auto"/>
            <w:vAlign w:val="center"/>
          </w:tcPr>
          <w:p w14:paraId="44B224A7">
            <w:pPr>
              <w:widowControl/>
              <w:textAlignment w:val="center"/>
              <w:rPr>
                <w:rFonts w:hint="eastAsia" w:ascii="宋体" w:hAnsi="宋体" w:cs="宋体"/>
                <w:color w:val="C00000"/>
                <w:sz w:val="24"/>
                <w:szCs w:val="24"/>
                <w:highlight w:val="none"/>
                <w:lang w:bidi="ar"/>
              </w:rPr>
            </w:pPr>
          </w:p>
        </w:tc>
        <w:tc>
          <w:tcPr>
            <w:tcW w:w="1161" w:type="dxa"/>
            <w:vMerge w:val="continue"/>
            <w:shd w:val="clear" w:color="auto" w:fill="auto"/>
            <w:vAlign w:val="center"/>
          </w:tcPr>
          <w:p w14:paraId="0134F303">
            <w:pPr>
              <w:widowControl/>
              <w:textAlignment w:val="center"/>
              <w:rPr>
                <w:rFonts w:hint="eastAsia" w:ascii="宋体" w:hAnsi="宋体" w:cs="宋体"/>
                <w:color w:val="C00000"/>
                <w:sz w:val="24"/>
                <w:szCs w:val="24"/>
                <w:highlight w:val="none"/>
                <w:lang w:bidi="ar"/>
              </w:rPr>
            </w:pPr>
          </w:p>
        </w:tc>
        <w:tc>
          <w:tcPr>
            <w:tcW w:w="6496" w:type="dxa"/>
            <w:shd w:val="clear" w:color="auto" w:fill="auto"/>
            <w:vAlign w:val="center"/>
          </w:tcPr>
          <w:p w14:paraId="675B737C">
            <w:pPr>
              <w:widowControl/>
              <w:textAlignment w:val="center"/>
              <w:rPr>
                <w:rFonts w:hint="eastAsia" w:ascii="宋体" w:hAnsi="宋体" w:cs="宋体"/>
                <w:color w:val="C00000"/>
                <w:sz w:val="24"/>
                <w:szCs w:val="24"/>
                <w:highlight w:val="none"/>
              </w:rPr>
            </w:pPr>
            <w:r>
              <w:rPr>
                <w:rFonts w:hint="eastAsia" w:ascii="宋体" w:hAnsi="宋体" w:cs="宋体"/>
                <w:color w:val="000000"/>
                <w:sz w:val="24"/>
                <w:szCs w:val="24"/>
                <w:highlight w:val="none"/>
                <w:lang w:bidi="ar"/>
              </w:rPr>
              <w:t xml:space="preserve">8. </w:t>
            </w:r>
            <w:r>
              <w:rPr>
                <w:rStyle w:val="266"/>
                <w:highlight w:val="none"/>
                <w:lang w:bidi="ar"/>
              </w:rPr>
              <w:t>展厅内容填充布展：支持将内容素材、模型通过拖拽嵌入至展厅中；</w:t>
            </w:r>
          </w:p>
        </w:tc>
      </w:tr>
      <w:tr w14:paraId="4B2F7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6" w:type="dxa"/>
            <w:vMerge w:val="continue"/>
            <w:shd w:val="clear" w:color="auto" w:fill="auto"/>
            <w:vAlign w:val="center"/>
          </w:tcPr>
          <w:p w14:paraId="186B598D">
            <w:pPr>
              <w:widowControl/>
              <w:textAlignment w:val="center"/>
              <w:rPr>
                <w:rFonts w:hint="eastAsia" w:ascii="宋体" w:hAnsi="宋体" w:cs="宋体"/>
                <w:color w:val="C00000"/>
                <w:sz w:val="24"/>
                <w:szCs w:val="24"/>
                <w:highlight w:val="none"/>
                <w:lang w:bidi="ar"/>
              </w:rPr>
            </w:pPr>
          </w:p>
        </w:tc>
        <w:tc>
          <w:tcPr>
            <w:tcW w:w="1161" w:type="dxa"/>
            <w:vMerge w:val="continue"/>
            <w:shd w:val="clear" w:color="auto" w:fill="auto"/>
            <w:vAlign w:val="center"/>
          </w:tcPr>
          <w:p w14:paraId="695733A9">
            <w:pPr>
              <w:widowControl/>
              <w:textAlignment w:val="center"/>
              <w:rPr>
                <w:rFonts w:hint="eastAsia" w:ascii="宋体" w:hAnsi="宋体" w:cs="宋体"/>
                <w:color w:val="C00000"/>
                <w:sz w:val="24"/>
                <w:szCs w:val="24"/>
                <w:highlight w:val="none"/>
                <w:lang w:bidi="ar"/>
              </w:rPr>
            </w:pPr>
          </w:p>
        </w:tc>
        <w:tc>
          <w:tcPr>
            <w:tcW w:w="6496" w:type="dxa"/>
            <w:shd w:val="clear" w:color="auto" w:fill="auto"/>
            <w:vAlign w:val="center"/>
          </w:tcPr>
          <w:p w14:paraId="5165D880">
            <w:pPr>
              <w:widowControl/>
              <w:textAlignment w:val="center"/>
              <w:rPr>
                <w:rFonts w:hint="eastAsia" w:ascii="宋体" w:hAnsi="宋体" w:cs="宋体"/>
                <w:color w:val="C00000"/>
                <w:sz w:val="24"/>
                <w:szCs w:val="24"/>
                <w:highlight w:val="none"/>
              </w:rPr>
            </w:pPr>
            <w:r>
              <w:rPr>
                <w:rFonts w:hint="eastAsia" w:ascii="宋体" w:hAnsi="宋体" w:cs="宋体"/>
                <w:color w:val="000000"/>
                <w:sz w:val="24"/>
                <w:szCs w:val="24"/>
                <w:highlight w:val="none"/>
                <w:lang w:bidi="ar"/>
              </w:rPr>
              <w:t xml:space="preserve">9. </w:t>
            </w:r>
            <w:r>
              <w:rPr>
                <w:rStyle w:val="266"/>
                <w:highlight w:val="none"/>
                <w:lang w:bidi="ar"/>
              </w:rPr>
              <w:t>展板拖拽：支持将展板拖拽至展厅特定位置后，再将图片、音视频素材拖拽至对应展板，完成布展；</w:t>
            </w:r>
          </w:p>
        </w:tc>
      </w:tr>
      <w:tr w14:paraId="06FE5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6" w:type="dxa"/>
            <w:vMerge w:val="continue"/>
            <w:shd w:val="clear" w:color="auto" w:fill="auto"/>
            <w:vAlign w:val="center"/>
          </w:tcPr>
          <w:p w14:paraId="76A38F10">
            <w:pPr>
              <w:widowControl/>
              <w:textAlignment w:val="center"/>
              <w:rPr>
                <w:rFonts w:hint="eastAsia" w:ascii="宋体" w:hAnsi="宋体" w:cs="宋体"/>
                <w:color w:val="000000"/>
                <w:sz w:val="24"/>
                <w:szCs w:val="24"/>
                <w:highlight w:val="none"/>
                <w:lang w:bidi="ar"/>
              </w:rPr>
            </w:pPr>
          </w:p>
        </w:tc>
        <w:tc>
          <w:tcPr>
            <w:tcW w:w="1161" w:type="dxa"/>
            <w:vMerge w:val="continue"/>
            <w:shd w:val="clear" w:color="auto" w:fill="auto"/>
            <w:vAlign w:val="center"/>
          </w:tcPr>
          <w:p w14:paraId="7BB442E8">
            <w:pPr>
              <w:widowControl/>
              <w:textAlignment w:val="center"/>
              <w:rPr>
                <w:rFonts w:hint="eastAsia" w:ascii="宋体" w:hAnsi="宋体" w:cs="宋体"/>
                <w:color w:val="000000"/>
                <w:sz w:val="24"/>
                <w:szCs w:val="24"/>
                <w:highlight w:val="none"/>
                <w:lang w:bidi="ar"/>
              </w:rPr>
            </w:pPr>
          </w:p>
        </w:tc>
        <w:tc>
          <w:tcPr>
            <w:tcW w:w="6496" w:type="dxa"/>
            <w:shd w:val="clear" w:color="auto" w:fill="auto"/>
            <w:vAlign w:val="center"/>
          </w:tcPr>
          <w:p w14:paraId="4D77C647">
            <w:pPr>
              <w:widowControl/>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lang w:bidi="ar"/>
              </w:rPr>
              <w:t xml:space="preserve">10. </w:t>
            </w:r>
            <w:r>
              <w:rPr>
                <w:rStyle w:val="266"/>
                <w:highlight w:val="none"/>
                <w:lang w:bidi="ar"/>
              </w:rPr>
              <w:t>编辑器内置展板样式不少于20种，用户可根据内容需求快速选择并应用；</w:t>
            </w:r>
          </w:p>
        </w:tc>
      </w:tr>
      <w:tr w14:paraId="698E6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6" w:type="dxa"/>
            <w:vMerge w:val="continue"/>
            <w:shd w:val="clear" w:color="auto" w:fill="auto"/>
            <w:vAlign w:val="center"/>
          </w:tcPr>
          <w:p w14:paraId="679C8CBB">
            <w:pPr>
              <w:widowControl/>
              <w:textAlignment w:val="center"/>
              <w:rPr>
                <w:rFonts w:hint="eastAsia" w:ascii="宋体" w:hAnsi="宋体" w:cs="宋体"/>
                <w:color w:val="C00000"/>
                <w:sz w:val="24"/>
                <w:szCs w:val="24"/>
                <w:highlight w:val="none"/>
                <w:lang w:bidi="ar"/>
              </w:rPr>
            </w:pPr>
          </w:p>
        </w:tc>
        <w:tc>
          <w:tcPr>
            <w:tcW w:w="1161" w:type="dxa"/>
            <w:vMerge w:val="continue"/>
            <w:shd w:val="clear" w:color="auto" w:fill="auto"/>
            <w:vAlign w:val="center"/>
          </w:tcPr>
          <w:p w14:paraId="7BCFD2FF">
            <w:pPr>
              <w:widowControl/>
              <w:textAlignment w:val="center"/>
              <w:rPr>
                <w:rFonts w:hint="eastAsia" w:ascii="宋体" w:hAnsi="宋体" w:cs="宋体"/>
                <w:color w:val="C00000"/>
                <w:sz w:val="24"/>
                <w:szCs w:val="24"/>
                <w:highlight w:val="none"/>
                <w:lang w:bidi="ar"/>
              </w:rPr>
            </w:pPr>
          </w:p>
        </w:tc>
        <w:tc>
          <w:tcPr>
            <w:tcW w:w="6496" w:type="dxa"/>
            <w:shd w:val="clear" w:color="auto" w:fill="auto"/>
            <w:vAlign w:val="center"/>
          </w:tcPr>
          <w:p w14:paraId="6EDE8482">
            <w:pPr>
              <w:widowControl/>
              <w:textAlignment w:val="center"/>
              <w:rPr>
                <w:rFonts w:hint="eastAsia" w:ascii="宋体" w:hAnsi="宋体" w:cs="宋体"/>
                <w:color w:val="C00000"/>
                <w:sz w:val="24"/>
                <w:szCs w:val="24"/>
                <w:highlight w:val="none"/>
              </w:rPr>
            </w:pPr>
            <w:r>
              <w:rPr>
                <w:rFonts w:hint="eastAsia" w:ascii="宋体" w:hAnsi="宋体" w:cs="宋体"/>
                <w:color w:val="000000"/>
                <w:sz w:val="24"/>
                <w:szCs w:val="24"/>
                <w:highlight w:val="none"/>
                <w:lang w:bidi="ar"/>
              </w:rPr>
              <w:t xml:space="preserve">11. </w:t>
            </w:r>
            <w:r>
              <w:rPr>
                <w:rStyle w:val="266"/>
                <w:highlight w:val="none"/>
                <w:lang w:bidi="ar"/>
              </w:rPr>
              <w:t>海量公共模型库：内置超过100种不同类型的公共模型，覆盖广泛的应用场景，拖拽即用；</w:t>
            </w:r>
          </w:p>
        </w:tc>
      </w:tr>
      <w:tr w14:paraId="6FF83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6" w:type="dxa"/>
            <w:vMerge w:val="continue"/>
            <w:shd w:val="clear" w:color="auto" w:fill="auto"/>
            <w:vAlign w:val="center"/>
          </w:tcPr>
          <w:p w14:paraId="1689B567">
            <w:pPr>
              <w:widowControl/>
              <w:textAlignment w:val="center"/>
              <w:rPr>
                <w:rFonts w:hint="eastAsia" w:ascii="宋体" w:hAnsi="宋体" w:cs="宋体"/>
                <w:color w:val="000000"/>
                <w:sz w:val="24"/>
                <w:szCs w:val="24"/>
                <w:highlight w:val="none"/>
                <w:lang w:bidi="ar"/>
              </w:rPr>
            </w:pPr>
          </w:p>
        </w:tc>
        <w:tc>
          <w:tcPr>
            <w:tcW w:w="1161" w:type="dxa"/>
            <w:vMerge w:val="continue"/>
            <w:shd w:val="clear" w:color="auto" w:fill="auto"/>
            <w:vAlign w:val="center"/>
          </w:tcPr>
          <w:p w14:paraId="3C00F19B">
            <w:pPr>
              <w:widowControl/>
              <w:textAlignment w:val="center"/>
              <w:rPr>
                <w:rFonts w:hint="eastAsia" w:ascii="宋体" w:hAnsi="宋体" w:cs="宋体"/>
                <w:color w:val="000000"/>
                <w:sz w:val="24"/>
                <w:szCs w:val="24"/>
                <w:highlight w:val="none"/>
                <w:lang w:bidi="ar"/>
              </w:rPr>
            </w:pPr>
          </w:p>
        </w:tc>
        <w:tc>
          <w:tcPr>
            <w:tcW w:w="6496" w:type="dxa"/>
            <w:shd w:val="clear" w:color="auto" w:fill="auto"/>
            <w:vAlign w:val="center"/>
          </w:tcPr>
          <w:p w14:paraId="0B41A233">
            <w:pPr>
              <w:widowControl/>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lang w:bidi="ar"/>
              </w:rPr>
              <w:t xml:space="preserve">12. </w:t>
            </w:r>
            <w:r>
              <w:rPr>
                <w:rStyle w:val="266"/>
                <w:highlight w:val="none"/>
                <w:lang w:bidi="ar"/>
              </w:rPr>
              <w:t>展板属性：展板大小、位置、角度样式都可以根据用户的需求实现灵活调整；</w:t>
            </w:r>
          </w:p>
        </w:tc>
      </w:tr>
      <w:tr w14:paraId="0D281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6" w:type="dxa"/>
            <w:vMerge w:val="continue"/>
            <w:shd w:val="clear" w:color="auto" w:fill="auto"/>
            <w:vAlign w:val="center"/>
          </w:tcPr>
          <w:p w14:paraId="2188EC2E">
            <w:pPr>
              <w:widowControl/>
              <w:textAlignment w:val="center"/>
              <w:rPr>
                <w:rFonts w:hint="eastAsia" w:ascii="宋体" w:hAnsi="宋体" w:cs="宋体"/>
                <w:color w:val="000000"/>
                <w:sz w:val="24"/>
                <w:szCs w:val="24"/>
                <w:highlight w:val="none"/>
                <w:lang w:bidi="ar"/>
              </w:rPr>
            </w:pPr>
          </w:p>
        </w:tc>
        <w:tc>
          <w:tcPr>
            <w:tcW w:w="1161" w:type="dxa"/>
            <w:vMerge w:val="continue"/>
            <w:shd w:val="clear" w:color="auto" w:fill="auto"/>
            <w:vAlign w:val="center"/>
          </w:tcPr>
          <w:p w14:paraId="1CD97442">
            <w:pPr>
              <w:widowControl/>
              <w:textAlignment w:val="center"/>
              <w:rPr>
                <w:rFonts w:hint="eastAsia" w:ascii="宋体" w:hAnsi="宋体" w:cs="宋体"/>
                <w:color w:val="000000"/>
                <w:sz w:val="24"/>
                <w:szCs w:val="24"/>
                <w:highlight w:val="none"/>
                <w:lang w:bidi="ar"/>
              </w:rPr>
            </w:pPr>
          </w:p>
        </w:tc>
        <w:tc>
          <w:tcPr>
            <w:tcW w:w="6496" w:type="dxa"/>
            <w:shd w:val="clear" w:color="auto" w:fill="auto"/>
            <w:vAlign w:val="center"/>
          </w:tcPr>
          <w:p w14:paraId="5D4DCFC2">
            <w:pPr>
              <w:widowControl/>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lang w:bidi="ar"/>
              </w:rPr>
              <w:t xml:space="preserve">13. </w:t>
            </w:r>
            <w:r>
              <w:rPr>
                <w:rStyle w:val="266"/>
                <w:highlight w:val="none"/>
                <w:lang w:bidi="ar"/>
              </w:rPr>
              <w:t>模型属性：支持用户在编辑器中直接创建和编辑模型，可自由调整模型的大小、位置以及动画效果，满足个性化需求；</w:t>
            </w:r>
          </w:p>
        </w:tc>
      </w:tr>
      <w:tr w14:paraId="55148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6" w:type="dxa"/>
            <w:vMerge w:val="continue"/>
            <w:shd w:val="clear" w:color="auto" w:fill="auto"/>
            <w:vAlign w:val="center"/>
          </w:tcPr>
          <w:p w14:paraId="57577752">
            <w:pPr>
              <w:widowControl/>
              <w:textAlignment w:val="center"/>
              <w:rPr>
                <w:rFonts w:hint="eastAsia" w:ascii="宋体" w:hAnsi="宋体" w:cs="宋体"/>
                <w:color w:val="C00000"/>
                <w:sz w:val="24"/>
                <w:szCs w:val="24"/>
                <w:highlight w:val="none"/>
                <w:lang w:bidi="ar"/>
              </w:rPr>
            </w:pPr>
          </w:p>
        </w:tc>
        <w:tc>
          <w:tcPr>
            <w:tcW w:w="1161" w:type="dxa"/>
            <w:vMerge w:val="continue"/>
            <w:shd w:val="clear" w:color="auto" w:fill="auto"/>
            <w:vAlign w:val="center"/>
          </w:tcPr>
          <w:p w14:paraId="51896BD1">
            <w:pPr>
              <w:widowControl/>
              <w:textAlignment w:val="center"/>
              <w:rPr>
                <w:rFonts w:hint="eastAsia" w:ascii="宋体" w:hAnsi="宋体" w:cs="宋体"/>
                <w:color w:val="C00000"/>
                <w:sz w:val="24"/>
                <w:szCs w:val="24"/>
                <w:highlight w:val="none"/>
                <w:lang w:bidi="ar"/>
              </w:rPr>
            </w:pPr>
          </w:p>
        </w:tc>
        <w:tc>
          <w:tcPr>
            <w:tcW w:w="6496" w:type="dxa"/>
            <w:shd w:val="clear" w:color="auto" w:fill="auto"/>
            <w:vAlign w:val="center"/>
          </w:tcPr>
          <w:p w14:paraId="1FFA0167">
            <w:pPr>
              <w:widowControl/>
              <w:textAlignment w:val="center"/>
              <w:rPr>
                <w:rFonts w:hint="eastAsia" w:ascii="宋体" w:hAnsi="宋体" w:cs="宋体"/>
                <w:color w:val="C00000"/>
                <w:sz w:val="24"/>
                <w:szCs w:val="24"/>
                <w:highlight w:val="none"/>
              </w:rPr>
            </w:pPr>
            <w:r>
              <w:rPr>
                <w:rFonts w:hint="eastAsia" w:ascii="宋体" w:hAnsi="宋体" w:cs="宋体"/>
                <w:color w:val="000000"/>
                <w:sz w:val="24"/>
                <w:szCs w:val="24"/>
                <w:highlight w:val="none"/>
                <w:lang w:bidi="ar"/>
              </w:rPr>
              <w:t xml:space="preserve">14. </w:t>
            </w:r>
            <w:r>
              <w:rPr>
                <w:rStyle w:val="266"/>
                <w:highlight w:val="none"/>
                <w:lang w:bidi="ar"/>
              </w:rPr>
              <w:t>内嵌网页：支持输入网页链接内嵌网页展示；</w:t>
            </w:r>
          </w:p>
        </w:tc>
      </w:tr>
      <w:tr w14:paraId="53093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6" w:type="dxa"/>
            <w:vMerge w:val="continue"/>
            <w:shd w:val="clear" w:color="auto" w:fill="auto"/>
            <w:vAlign w:val="center"/>
          </w:tcPr>
          <w:p w14:paraId="0EF4006F">
            <w:pPr>
              <w:widowControl/>
              <w:textAlignment w:val="center"/>
              <w:rPr>
                <w:rFonts w:hint="eastAsia" w:ascii="宋体" w:hAnsi="宋体" w:cs="宋体"/>
                <w:color w:val="C00000"/>
                <w:sz w:val="24"/>
                <w:szCs w:val="24"/>
                <w:highlight w:val="none"/>
                <w:lang w:bidi="ar"/>
              </w:rPr>
            </w:pPr>
          </w:p>
        </w:tc>
        <w:tc>
          <w:tcPr>
            <w:tcW w:w="1161" w:type="dxa"/>
            <w:vMerge w:val="continue"/>
            <w:shd w:val="clear" w:color="auto" w:fill="auto"/>
            <w:vAlign w:val="center"/>
          </w:tcPr>
          <w:p w14:paraId="41C16815">
            <w:pPr>
              <w:widowControl/>
              <w:textAlignment w:val="center"/>
              <w:rPr>
                <w:rFonts w:hint="eastAsia" w:ascii="宋体" w:hAnsi="宋体" w:cs="宋体"/>
                <w:color w:val="C00000"/>
                <w:sz w:val="24"/>
                <w:szCs w:val="24"/>
                <w:highlight w:val="none"/>
                <w:lang w:bidi="ar"/>
              </w:rPr>
            </w:pPr>
          </w:p>
        </w:tc>
        <w:tc>
          <w:tcPr>
            <w:tcW w:w="6496" w:type="dxa"/>
            <w:shd w:val="clear" w:color="auto" w:fill="auto"/>
            <w:vAlign w:val="center"/>
          </w:tcPr>
          <w:p w14:paraId="33C2CB97">
            <w:pPr>
              <w:widowControl/>
              <w:textAlignment w:val="center"/>
              <w:rPr>
                <w:rFonts w:hint="eastAsia" w:ascii="宋体" w:hAnsi="宋体" w:cs="宋体"/>
                <w:color w:val="C00000"/>
                <w:sz w:val="24"/>
                <w:szCs w:val="24"/>
                <w:highlight w:val="none"/>
              </w:rPr>
            </w:pPr>
            <w:r>
              <w:rPr>
                <w:rFonts w:hint="eastAsia" w:ascii="宋体" w:hAnsi="宋体" w:cs="宋体"/>
                <w:color w:val="000000"/>
                <w:sz w:val="24"/>
                <w:szCs w:val="24"/>
                <w:highlight w:val="none"/>
                <w:lang w:bidi="ar"/>
              </w:rPr>
              <w:t xml:space="preserve">15. </w:t>
            </w:r>
            <w:r>
              <w:rPr>
                <w:rStyle w:val="266"/>
                <w:highlight w:val="none"/>
                <w:lang w:bidi="ar"/>
              </w:rPr>
              <w:t>超链接：支持添加超链接，用户通过点击展板、模型即可从当前页面或新页面打开；</w:t>
            </w:r>
          </w:p>
        </w:tc>
      </w:tr>
      <w:tr w14:paraId="6CB31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776" w:type="dxa"/>
            <w:vMerge w:val="continue"/>
            <w:shd w:val="clear" w:color="auto" w:fill="auto"/>
            <w:vAlign w:val="center"/>
          </w:tcPr>
          <w:p w14:paraId="22AF8215">
            <w:pPr>
              <w:widowControl/>
              <w:textAlignment w:val="center"/>
              <w:rPr>
                <w:rFonts w:hint="eastAsia" w:ascii="宋体" w:hAnsi="宋体" w:cs="宋体"/>
                <w:color w:val="C00000"/>
                <w:sz w:val="24"/>
                <w:szCs w:val="24"/>
                <w:highlight w:val="none"/>
                <w:lang w:bidi="ar"/>
              </w:rPr>
            </w:pPr>
          </w:p>
        </w:tc>
        <w:tc>
          <w:tcPr>
            <w:tcW w:w="1161" w:type="dxa"/>
            <w:vMerge w:val="continue"/>
            <w:shd w:val="clear" w:color="auto" w:fill="auto"/>
            <w:vAlign w:val="center"/>
          </w:tcPr>
          <w:p w14:paraId="421E1C19">
            <w:pPr>
              <w:widowControl/>
              <w:textAlignment w:val="center"/>
              <w:rPr>
                <w:rFonts w:hint="eastAsia" w:ascii="宋体" w:hAnsi="宋体" w:cs="宋体"/>
                <w:color w:val="C00000"/>
                <w:sz w:val="24"/>
                <w:szCs w:val="24"/>
                <w:highlight w:val="none"/>
                <w:lang w:bidi="ar"/>
              </w:rPr>
            </w:pPr>
          </w:p>
        </w:tc>
        <w:tc>
          <w:tcPr>
            <w:tcW w:w="6496" w:type="dxa"/>
            <w:shd w:val="clear" w:color="auto" w:fill="auto"/>
            <w:vAlign w:val="center"/>
          </w:tcPr>
          <w:p w14:paraId="1828B4F7">
            <w:pPr>
              <w:widowControl/>
              <w:textAlignment w:val="center"/>
              <w:rPr>
                <w:rFonts w:hint="eastAsia" w:ascii="宋体" w:hAnsi="宋体" w:cs="宋体"/>
                <w:color w:val="C00000"/>
                <w:sz w:val="24"/>
                <w:szCs w:val="24"/>
                <w:highlight w:val="none"/>
              </w:rPr>
            </w:pPr>
            <w:r>
              <w:rPr>
                <w:rFonts w:hint="eastAsia" w:ascii="宋体" w:hAnsi="宋体" w:cs="宋体"/>
                <w:color w:val="000000"/>
                <w:sz w:val="24"/>
                <w:szCs w:val="24"/>
                <w:highlight w:val="none"/>
                <w:lang w:bidi="ar"/>
              </w:rPr>
              <w:t xml:space="preserve">16. </w:t>
            </w:r>
            <w:r>
              <w:rPr>
                <w:rStyle w:val="266"/>
                <w:highlight w:val="none"/>
                <w:lang w:bidi="ar"/>
              </w:rPr>
              <w:t>区域热点设置：支持设置区域热点触发，以使音视频内容在用户进入该区域时实现自动播放；</w:t>
            </w:r>
          </w:p>
        </w:tc>
      </w:tr>
      <w:tr w14:paraId="3309E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6" w:type="dxa"/>
            <w:vMerge w:val="continue"/>
            <w:shd w:val="clear" w:color="auto" w:fill="auto"/>
            <w:vAlign w:val="center"/>
          </w:tcPr>
          <w:p w14:paraId="2EB74B76">
            <w:pPr>
              <w:widowControl/>
              <w:textAlignment w:val="center"/>
              <w:rPr>
                <w:rFonts w:hint="eastAsia" w:ascii="宋体" w:hAnsi="宋体" w:cs="宋体"/>
                <w:color w:val="C00000"/>
                <w:sz w:val="24"/>
                <w:szCs w:val="24"/>
                <w:highlight w:val="none"/>
                <w:lang w:bidi="ar"/>
              </w:rPr>
            </w:pPr>
          </w:p>
        </w:tc>
        <w:tc>
          <w:tcPr>
            <w:tcW w:w="1161" w:type="dxa"/>
            <w:vMerge w:val="continue"/>
            <w:shd w:val="clear" w:color="auto" w:fill="auto"/>
            <w:vAlign w:val="center"/>
          </w:tcPr>
          <w:p w14:paraId="48D6B905">
            <w:pPr>
              <w:widowControl/>
              <w:textAlignment w:val="center"/>
              <w:rPr>
                <w:rFonts w:hint="eastAsia" w:ascii="宋体" w:hAnsi="宋体" w:cs="宋体"/>
                <w:color w:val="C00000"/>
                <w:sz w:val="24"/>
                <w:szCs w:val="24"/>
                <w:highlight w:val="none"/>
                <w:lang w:bidi="ar"/>
              </w:rPr>
            </w:pPr>
          </w:p>
        </w:tc>
        <w:tc>
          <w:tcPr>
            <w:tcW w:w="6496" w:type="dxa"/>
            <w:shd w:val="clear" w:color="auto" w:fill="auto"/>
            <w:vAlign w:val="center"/>
          </w:tcPr>
          <w:p w14:paraId="7084D5C5">
            <w:pPr>
              <w:widowControl/>
              <w:textAlignment w:val="center"/>
              <w:rPr>
                <w:rFonts w:hint="eastAsia" w:ascii="宋体" w:hAnsi="宋体" w:cs="宋体"/>
                <w:color w:val="C00000"/>
                <w:sz w:val="24"/>
                <w:szCs w:val="24"/>
                <w:highlight w:val="none"/>
              </w:rPr>
            </w:pPr>
            <w:r>
              <w:rPr>
                <w:rFonts w:hint="eastAsia" w:ascii="宋体" w:hAnsi="宋体" w:cs="宋体"/>
                <w:color w:val="000000"/>
                <w:sz w:val="24"/>
                <w:szCs w:val="24"/>
                <w:highlight w:val="none"/>
                <w:lang w:bidi="ar"/>
              </w:rPr>
              <w:t xml:space="preserve">17. </w:t>
            </w:r>
            <w:r>
              <w:rPr>
                <w:rStyle w:val="266"/>
                <w:highlight w:val="none"/>
                <w:lang w:bidi="ar"/>
              </w:rPr>
              <w:t>虚拟角色切换：支持上传和管理私有虚拟角色，支持多个虚拟角色中的切换选择；</w:t>
            </w:r>
          </w:p>
        </w:tc>
      </w:tr>
      <w:tr w14:paraId="0F81C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6" w:type="dxa"/>
            <w:vMerge w:val="continue"/>
            <w:shd w:val="clear" w:color="auto" w:fill="auto"/>
            <w:vAlign w:val="center"/>
          </w:tcPr>
          <w:p w14:paraId="1E262278">
            <w:pPr>
              <w:widowControl/>
              <w:textAlignment w:val="center"/>
              <w:rPr>
                <w:rFonts w:hint="eastAsia" w:ascii="宋体" w:hAnsi="宋体" w:cs="宋体"/>
                <w:color w:val="C00000"/>
                <w:sz w:val="24"/>
                <w:szCs w:val="24"/>
                <w:highlight w:val="none"/>
                <w:lang w:bidi="ar"/>
              </w:rPr>
            </w:pPr>
          </w:p>
        </w:tc>
        <w:tc>
          <w:tcPr>
            <w:tcW w:w="1161" w:type="dxa"/>
            <w:vMerge w:val="continue"/>
            <w:shd w:val="clear" w:color="auto" w:fill="auto"/>
            <w:vAlign w:val="center"/>
          </w:tcPr>
          <w:p w14:paraId="38052804">
            <w:pPr>
              <w:widowControl/>
              <w:textAlignment w:val="center"/>
              <w:rPr>
                <w:rFonts w:hint="eastAsia" w:ascii="宋体" w:hAnsi="宋体" w:cs="宋体"/>
                <w:color w:val="C00000"/>
                <w:sz w:val="24"/>
                <w:szCs w:val="24"/>
                <w:highlight w:val="none"/>
                <w:lang w:bidi="ar"/>
              </w:rPr>
            </w:pPr>
          </w:p>
        </w:tc>
        <w:tc>
          <w:tcPr>
            <w:tcW w:w="6496" w:type="dxa"/>
            <w:shd w:val="clear" w:color="auto" w:fill="auto"/>
            <w:vAlign w:val="center"/>
          </w:tcPr>
          <w:p w14:paraId="38DCF3CD">
            <w:pPr>
              <w:widowControl/>
              <w:textAlignment w:val="center"/>
              <w:rPr>
                <w:rFonts w:hint="eastAsia" w:ascii="宋体" w:hAnsi="宋体" w:cs="宋体"/>
                <w:color w:val="C00000"/>
                <w:sz w:val="24"/>
                <w:szCs w:val="24"/>
                <w:highlight w:val="none"/>
              </w:rPr>
            </w:pPr>
            <w:r>
              <w:rPr>
                <w:rFonts w:hint="eastAsia" w:ascii="宋体" w:hAnsi="宋体" w:cs="宋体"/>
                <w:color w:val="000000"/>
                <w:sz w:val="24"/>
                <w:szCs w:val="24"/>
                <w:highlight w:val="none"/>
                <w:lang w:bidi="ar"/>
              </w:rPr>
              <w:t xml:space="preserve">18. </w:t>
            </w:r>
            <w:r>
              <w:rPr>
                <w:rStyle w:val="266"/>
                <w:highlight w:val="none"/>
                <w:lang w:bidi="ar"/>
              </w:rPr>
              <w:t>支持设置场景导航：可添加所有场景及快捷导航，支持对场景进行管理、编辑、删除等操作，支持自定义场景视角，支持初始化取展板聚焦模式视角。</w:t>
            </w:r>
          </w:p>
        </w:tc>
      </w:tr>
      <w:tr w14:paraId="5A839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6" w:type="dxa"/>
            <w:vMerge w:val="continue"/>
            <w:shd w:val="clear" w:color="auto" w:fill="auto"/>
            <w:vAlign w:val="center"/>
          </w:tcPr>
          <w:p w14:paraId="014FDCB3">
            <w:pPr>
              <w:widowControl/>
              <w:textAlignment w:val="center"/>
              <w:rPr>
                <w:rFonts w:hint="eastAsia" w:ascii="宋体" w:hAnsi="宋体" w:cs="宋体"/>
                <w:color w:val="C00000"/>
                <w:sz w:val="24"/>
                <w:szCs w:val="24"/>
                <w:highlight w:val="none"/>
                <w:lang w:bidi="ar"/>
              </w:rPr>
            </w:pPr>
          </w:p>
        </w:tc>
        <w:tc>
          <w:tcPr>
            <w:tcW w:w="1161" w:type="dxa"/>
            <w:vMerge w:val="continue"/>
            <w:shd w:val="clear" w:color="auto" w:fill="auto"/>
            <w:vAlign w:val="center"/>
          </w:tcPr>
          <w:p w14:paraId="6FD267C9">
            <w:pPr>
              <w:widowControl/>
              <w:textAlignment w:val="center"/>
              <w:rPr>
                <w:rFonts w:hint="eastAsia" w:ascii="宋体" w:hAnsi="宋体" w:cs="宋体"/>
                <w:color w:val="C00000"/>
                <w:sz w:val="24"/>
                <w:szCs w:val="24"/>
                <w:highlight w:val="none"/>
                <w:lang w:bidi="ar"/>
              </w:rPr>
            </w:pPr>
          </w:p>
        </w:tc>
        <w:tc>
          <w:tcPr>
            <w:tcW w:w="6496" w:type="dxa"/>
            <w:shd w:val="clear" w:color="auto" w:fill="auto"/>
            <w:vAlign w:val="center"/>
          </w:tcPr>
          <w:p w14:paraId="75E48307">
            <w:pPr>
              <w:widowControl/>
              <w:textAlignment w:val="center"/>
              <w:rPr>
                <w:rFonts w:hint="eastAsia" w:ascii="宋体" w:hAnsi="宋体" w:cs="宋体"/>
                <w:color w:val="C00000"/>
                <w:sz w:val="24"/>
                <w:szCs w:val="24"/>
                <w:highlight w:val="none"/>
              </w:rPr>
            </w:pPr>
            <w:r>
              <w:rPr>
                <w:rFonts w:hint="eastAsia" w:ascii="宋体" w:hAnsi="宋体" w:cs="宋体"/>
                <w:color w:val="000000"/>
                <w:sz w:val="24"/>
                <w:szCs w:val="24"/>
                <w:highlight w:val="none"/>
                <w:lang w:bidi="ar"/>
              </w:rPr>
              <w:t xml:space="preserve">19. </w:t>
            </w:r>
            <w:r>
              <w:rPr>
                <w:rStyle w:val="266"/>
                <w:highlight w:val="none"/>
                <w:lang w:bidi="ar"/>
              </w:rPr>
              <w:t>自动漫游：无需手动操作，自动沿着预设的路线浏览展厅；</w:t>
            </w:r>
          </w:p>
        </w:tc>
      </w:tr>
      <w:tr w14:paraId="23856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6" w:type="dxa"/>
            <w:vMerge w:val="continue"/>
            <w:shd w:val="clear" w:color="auto" w:fill="auto"/>
            <w:vAlign w:val="center"/>
          </w:tcPr>
          <w:p w14:paraId="052DFF28">
            <w:pPr>
              <w:widowControl/>
              <w:textAlignment w:val="center"/>
              <w:rPr>
                <w:rFonts w:hint="eastAsia" w:ascii="宋体" w:hAnsi="宋体" w:cs="宋体"/>
                <w:color w:val="C00000"/>
                <w:sz w:val="24"/>
                <w:szCs w:val="24"/>
                <w:highlight w:val="none"/>
                <w:lang w:bidi="ar"/>
              </w:rPr>
            </w:pPr>
          </w:p>
        </w:tc>
        <w:tc>
          <w:tcPr>
            <w:tcW w:w="1161" w:type="dxa"/>
            <w:vMerge w:val="continue"/>
            <w:shd w:val="clear" w:color="auto" w:fill="auto"/>
            <w:vAlign w:val="center"/>
          </w:tcPr>
          <w:p w14:paraId="50A2602C">
            <w:pPr>
              <w:widowControl/>
              <w:textAlignment w:val="center"/>
              <w:rPr>
                <w:rFonts w:hint="eastAsia" w:ascii="宋体" w:hAnsi="宋体" w:cs="宋体"/>
                <w:color w:val="C00000"/>
                <w:sz w:val="24"/>
                <w:szCs w:val="24"/>
                <w:highlight w:val="none"/>
                <w:lang w:bidi="ar"/>
              </w:rPr>
            </w:pPr>
          </w:p>
        </w:tc>
        <w:tc>
          <w:tcPr>
            <w:tcW w:w="6496" w:type="dxa"/>
            <w:shd w:val="clear" w:color="auto" w:fill="auto"/>
            <w:vAlign w:val="center"/>
          </w:tcPr>
          <w:p w14:paraId="00504C22">
            <w:pPr>
              <w:widowControl/>
              <w:textAlignment w:val="center"/>
              <w:rPr>
                <w:rFonts w:hint="eastAsia" w:ascii="宋体" w:hAnsi="宋体" w:cs="宋体"/>
                <w:color w:val="C00000"/>
                <w:sz w:val="24"/>
                <w:szCs w:val="24"/>
                <w:highlight w:val="none"/>
              </w:rPr>
            </w:pPr>
            <w:r>
              <w:rPr>
                <w:rFonts w:hint="eastAsia" w:ascii="宋体" w:hAnsi="宋体" w:cs="宋体"/>
                <w:color w:val="000000"/>
                <w:sz w:val="24"/>
                <w:szCs w:val="24"/>
                <w:highlight w:val="none"/>
                <w:lang w:bidi="ar"/>
              </w:rPr>
              <w:t xml:space="preserve">20. </w:t>
            </w:r>
            <w:r>
              <w:rPr>
                <w:rStyle w:val="266"/>
                <w:highlight w:val="none"/>
                <w:lang w:bidi="ar"/>
              </w:rPr>
              <w:t>支持设置视角高度：自由选择和调整展厅界面展示画面的观看高度；</w:t>
            </w:r>
          </w:p>
        </w:tc>
      </w:tr>
      <w:tr w14:paraId="0AAC3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6" w:type="dxa"/>
            <w:vMerge w:val="continue"/>
            <w:shd w:val="clear" w:color="auto" w:fill="auto"/>
            <w:vAlign w:val="center"/>
          </w:tcPr>
          <w:p w14:paraId="4FD322DA">
            <w:pPr>
              <w:widowControl/>
              <w:textAlignment w:val="center"/>
              <w:rPr>
                <w:rFonts w:hint="eastAsia" w:ascii="宋体" w:hAnsi="宋体" w:cs="宋体"/>
                <w:color w:val="C00000"/>
                <w:sz w:val="24"/>
                <w:szCs w:val="24"/>
                <w:highlight w:val="none"/>
                <w:lang w:bidi="ar"/>
              </w:rPr>
            </w:pPr>
          </w:p>
        </w:tc>
        <w:tc>
          <w:tcPr>
            <w:tcW w:w="1161" w:type="dxa"/>
            <w:vMerge w:val="continue"/>
            <w:shd w:val="clear" w:color="auto" w:fill="auto"/>
            <w:vAlign w:val="center"/>
          </w:tcPr>
          <w:p w14:paraId="71ECEBB2">
            <w:pPr>
              <w:widowControl/>
              <w:textAlignment w:val="center"/>
              <w:rPr>
                <w:rFonts w:hint="eastAsia" w:ascii="宋体" w:hAnsi="宋体" w:cs="宋体"/>
                <w:color w:val="C00000"/>
                <w:sz w:val="24"/>
                <w:szCs w:val="24"/>
                <w:highlight w:val="none"/>
                <w:lang w:bidi="ar"/>
              </w:rPr>
            </w:pPr>
          </w:p>
        </w:tc>
        <w:tc>
          <w:tcPr>
            <w:tcW w:w="6496" w:type="dxa"/>
            <w:shd w:val="clear" w:color="auto" w:fill="auto"/>
            <w:vAlign w:val="center"/>
          </w:tcPr>
          <w:p w14:paraId="291AF816">
            <w:pPr>
              <w:widowControl/>
              <w:textAlignment w:val="center"/>
              <w:rPr>
                <w:rFonts w:hint="eastAsia" w:ascii="宋体" w:hAnsi="宋体" w:cs="宋体"/>
                <w:color w:val="C00000"/>
                <w:sz w:val="24"/>
                <w:szCs w:val="24"/>
                <w:highlight w:val="none"/>
              </w:rPr>
            </w:pPr>
            <w:r>
              <w:rPr>
                <w:rFonts w:hint="eastAsia" w:ascii="宋体" w:hAnsi="宋体" w:cs="宋体"/>
                <w:color w:val="000000"/>
                <w:sz w:val="24"/>
                <w:szCs w:val="24"/>
                <w:highlight w:val="none"/>
                <w:lang w:bidi="ar"/>
              </w:rPr>
              <w:t xml:space="preserve">21. </w:t>
            </w:r>
            <w:r>
              <w:rPr>
                <w:rStyle w:val="266"/>
                <w:highlight w:val="none"/>
                <w:lang w:bidi="ar"/>
              </w:rPr>
              <w:t>支持设置垂直视野范围：调整在虚拟环境中页面视角的垂直高度；</w:t>
            </w:r>
          </w:p>
        </w:tc>
      </w:tr>
      <w:tr w14:paraId="142CD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6" w:type="dxa"/>
            <w:vMerge w:val="continue"/>
            <w:shd w:val="clear" w:color="auto" w:fill="auto"/>
            <w:vAlign w:val="center"/>
          </w:tcPr>
          <w:p w14:paraId="0BDB70EB">
            <w:pPr>
              <w:widowControl/>
              <w:textAlignment w:val="center"/>
              <w:rPr>
                <w:rFonts w:hint="eastAsia" w:ascii="宋体" w:hAnsi="宋体" w:cs="宋体"/>
                <w:color w:val="C00000"/>
                <w:sz w:val="24"/>
                <w:szCs w:val="24"/>
                <w:highlight w:val="none"/>
                <w:lang w:bidi="ar"/>
              </w:rPr>
            </w:pPr>
          </w:p>
        </w:tc>
        <w:tc>
          <w:tcPr>
            <w:tcW w:w="1161" w:type="dxa"/>
            <w:vMerge w:val="continue"/>
            <w:shd w:val="clear" w:color="auto" w:fill="auto"/>
            <w:vAlign w:val="center"/>
          </w:tcPr>
          <w:p w14:paraId="7C879B4B">
            <w:pPr>
              <w:widowControl/>
              <w:textAlignment w:val="center"/>
              <w:rPr>
                <w:rFonts w:hint="eastAsia" w:ascii="宋体" w:hAnsi="宋体" w:cs="宋体"/>
                <w:color w:val="C00000"/>
                <w:sz w:val="24"/>
                <w:szCs w:val="24"/>
                <w:highlight w:val="none"/>
                <w:lang w:bidi="ar"/>
              </w:rPr>
            </w:pPr>
          </w:p>
        </w:tc>
        <w:tc>
          <w:tcPr>
            <w:tcW w:w="6496" w:type="dxa"/>
            <w:shd w:val="clear" w:color="auto" w:fill="auto"/>
            <w:vAlign w:val="center"/>
          </w:tcPr>
          <w:p w14:paraId="795D87BA">
            <w:pPr>
              <w:widowControl/>
              <w:textAlignment w:val="center"/>
              <w:rPr>
                <w:rFonts w:hint="eastAsia" w:ascii="宋体" w:hAnsi="宋体" w:cs="宋体"/>
                <w:color w:val="C00000"/>
                <w:sz w:val="24"/>
                <w:szCs w:val="24"/>
                <w:highlight w:val="none"/>
              </w:rPr>
            </w:pPr>
            <w:r>
              <w:rPr>
                <w:rFonts w:hint="eastAsia" w:ascii="宋体" w:hAnsi="宋体" w:cs="宋体"/>
                <w:color w:val="000000"/>
                <w:sz w:val="24"/>
                <w:szCs w:val="24"/>
                <w:highlight w:val="none"/>
                <w:lang w:bidi="ar"/>
              </w:rPr>
              <w:t xml:space="preserve">22. </w:t>
            </w:r>
            <w:r>
              <w:rPr>
                <w:rStyle w:val="266"/>
                <w:highlight w:val="none"/>
                <w:lang w:bidi="ar"/>
              </w:rPr>
              <w:t>支持设置移动速度：通过设置移动速度，可以选择更快或更慢的移动速度；</w:t>
            </w:r>
          </w:p>
        </w:tc>
      </w:tr>
      <w:tr w14:paraId="47674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6" w:type="dxa"/>
            <w:vMerge w:val="continue"/>
            <w:shd w:val="clear" w:color="auto" w:fill="auto"/>
            <w:vAlign w:val="center"/>
          </w:tcPr>
          <w:p w14:paraId="1671AB22">
            <w:pPr>
              <w:widowControl/>
              <w:textAlignment w:val="center"/>
              <w:rPr>
                <w:rFonts w:hint="eastAsia" w:ascii="宋体" w:hAnsi="宋体" w:cs="宋体"/>
                <w:color w:val="C00000"/>
                <w:sz w:val="24"/>
                <w:szCs w:val="24"/>
                <w:highlight w:val="none"/>
                <w:lang w:bidi="ar"/>
              </w:rPr>
            </w:pPr>
          </w:p>
        </w:tc>
        <w:tc>
          <w:tcPr>
            <w:tcW w:w="1161" w:type="dxa"/>
            <w:vMerge w:val="continue"/>
            <w:shd w:val="clear" w:color="auto" w:fill="auto"/>
            <w:vAlign w:val="center"/>
          </w:tcPr>
          <w:p w14:paraId="21BEF4F2">
            <w:pPr>
              <w:widowControl/>
              <w:textAlignment w:val="center"/>
              <w:rPr>
                <w:rFonts w:hint="eastAsia" w:ascii="宋体" w:hAnsi="宋体" w:cs="宋体"/>
                <w:color w:val="C00000"/>
                <w:sz w:val="24"/>
                <w:szCs w:val="24"/>
                <w:highlight w:val="none"/>
                <w:lang w:bidi="ar"/>
              </w:rPr>
            </w:pPr>
          </w:p>
        </w:tc>
        <w:tc>
          <w:tcPr>
            <w:tcW w:w="6496" w:type="dxa"/>
            <w:shd w:val="clear" w:color="auto" w:fill="auto"/>
            <w:vAlign w:val="center"/>
          </w:tcPr>
          <w:p w14:paraId="35C7A73B">
            <w:pPr>
              <w:widowControl/>
              <w:textAlignment w:val="center"/>
              <w:rPr>
                <w:rFonts w:hint="eastAsia" w:ascii="宋体" w:hAnsi="宋体" w:cs="宋体"/>
                <w:color w:val="C00000"/>
                <w:sz w:val="24"/>
                <w:szCs w:val="24"/>
                <w:highlight w:val="none"/>
              </w:rPr>
            </w:pPr>
            <w:r>
              <w:rPr>
                <w:rFonts w:hint="eastAsia" w:ascii="宋体" w:hAnsi="宋体" w:cs="宋体"/>
                <w:color w:val="000000"/>
                <w:sz w:val="24"/>
                <w:szCs w:val="24"/>
                <w:highlight w:val="none"/>
                <w:lang w:bidi="ar"/>
              </w:rPr>
              <w:t xml:space="preserve">23. </w:t>
            </w:r>
            <w:r>
              <w:rPr>
                <w:rStyle w:val="266"/>
                <w:highlight w:val="none"/>
                <w:lang w:bidi="ar"/>
              </w:rPr>
              <w:t>支持设置移动端高清渲染范围：根据移动设备的性能和网络条件，调整展示画面的清晰度和细节；</w:t>
            </w:r>
          </w:p>
        </w:tc>
      </w:tr>
      <w:tr w14:paraId="6E598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6" w:type="dxa"/>
            <w:vMerge w:val="continue"/>
            <w:shd w:val="clear" w:color="auto" w:fill="auto"/>
            <w:vAlign w:val="center"/>
          </w:tcPr>
          <w:p w14:paraId="6057BD1D">
            <w:pPr>
              <w:widowControl/>
              <w:textAlignment w:val="center"/>
              <w:rPr>
                <w:rFonts w:hint="eastAsia" w:ascii="宋体" w:hAnsi="宋体" w:cs="宋体"/>
                <w:color w:val="000000"/>
                <w:sz w:val="24"/>
                <w:szCs w:val="24"/>
                <w:highlight w:val="none"/>
                <w:lang w:bidi="ar"/>
              </w:rPr>
            </w:pPr>
          </w:p>
        </w:tc>
        <w:tc>
          <w:tcPr>
            <w:tcW w:w="1161" w:type="dxa"/>
            <w:vMerge w:val="continue"/>
            <w:shd w:val="clear" w:color="auto" w:fill="auto"/>
            <w:vAlign w:val="center"/>
          </w:tcPr>
          <w:p w14:paraId="20FEE498">
            <w:pPr>
              <w:widowControl/>
              <w:textAlignment w:val="center"/>
              <w:rPr>
                <w:rFonts w:hint="eastAsia" w:ascii="宋体" w:hAnsi="宋体" w:cs="宋体"/>
                <w:color w:val="000000"/>
                <w:sz w:val="24"/>
                <w:szCs w:val="24"/>
                <w:highlight w:val="none"/>
                <w:lang w:bidi="ar"/>
              </w:rPr>
            </w:pPr>
          </w:p>
        </w:tc>
        <w:tc>
          <w:tcPr>
            <w:tcW w:w="6496" w:type="dxa"/>
            <w:shd w:val="clear" w:color="auto" w:fill="auto"/>
            <w:vAlign w:val="center"/>
          </w:tcPr>
          <w:p w14:paraId="6D9453A3">
            <w:pPr>
              <w:widowControl/>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lang w:bidi="ar"/>
              </w:rPr>
              <w:t xml:space="preserve">24. </w:t>
            </w:r>
            <w:r>
              <w:rPr>
                <w:rStyle w:val="266"/>
                <w:highlight w:val="none"/>
                <w:lang w:bidi="ar"/>
              </w:rPr>
              <w:t>支持设置移动端横竖屏显示形式：通过支持横竖屏显示形式，以适配不同方向的屏幕；</w:t>
            </w:r>
          </w:p>
        </w:tc>
      </w:tr>
      <w:tr w14:paraId="01161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6" w:type="dxa"/>
            <w:vMerge w:val="continue"/>
            <w:shd w:val="clear" w:color="auto" w:fill="auto"/>
            <w:vAlign w:val="center"/>
          </w:tcPr>
          <w:p w14:paraId="7C550D69">
            <w:pPr>
              <w:widowControl/>
              <w:textAlignment w:val="center"/>
              <w:rPr>
                <w:rFonts w:hint="eastAsia" w:ascii="宋体" w:hAnsi="宋体" w:cs="宋体"/>
                <w:color w:val="C00000"/>
                <w:sz w:val="24"/>
                <w:szCs w:val="24"/>
                <w:highlight w:val="none"/>
                <w:lang w:bidi="ar"/>
              </w:rPr>
            </w:pPr>
          </w:p>
        </w:tc>
        <w:tc>
          <w:tcPr>
            <w:tcW w:w="1161" w:type="dxa"/>
            <w:vMerge w:val="continue"/>
            <w:shd w:val="clear" w:color="auto" w:fill="auto"/>
            <w:vAlign w:val="center"/>
          </w:tcPr>
          <w:p w14:paraId="65F08288">
            <w:pPr>
              <w:widowControl/>
              <w:textAlignment w:val="center"/>
              <w:rPr>
                <w:rFonts w:hint="eastAsia" w:ascii="宋体" w:hAnsi="宋体" w:cs="宋体"/>
                <w:color w:val="C00000"/>
                <w:sz w:val="24"/>
                <w:szCs w:val="24"/>
                <w:highlight w:val="none"/>
                <w:lang w:bidi="ar"/>
              </w:rPr>
            </w:pPr>
          </w:p>
        </w:tc>
        <w:tc>
          <w:tcPr>
            <w:tcW w:w="6496" w:type="dxa"/>
            <w:shd w:val="clear" w:color="auto" w:fill="auto"/>
            <w:vAlign w:val="center"/>
          </w:tcPr>
          <w:p w14:paraId="56CC9251">
            <w:pPr>
              <w:widowControl/>
              <w:textAlignment w:val="center"/>
              <w:rPr>
                <w:rFonts w:hint="eastAsia" w:ascii="宋体" w:hAnsi="宋体" w:cs="宋体"/>
                <w:color w:val="C00000"/>
                <w:sz w:val="24"/>
                <w:szCs w:val="24"/>
                <w:highlight w:val="none"/>
              </w:rPr>
            </w:pPr>
            <w:r>
              <w:rPr>
                <w:rFonts w:hint="eastAsia" w:ascii="宋体" w:hAnsi="宋体" w:eastAsia="宋体" w:cs="宋体"/>
                <w:bCs/>
                <w:color w:val="000000"/>
                <w:sz w:val="24"/>
                <w:szCs w:val="24"/>
                <w:highlight w:val="none"/>
              </w:rPr>
              <w:t>▲</w:t>
            </w:r>
            <w:r>
              <w:rPr>
                <w:rFonts w:hint="eastAsia" w:ascii="宋体" w:hAnsi="宋体" w:cs="宋体"/>
                <w:color w:val="000000"/>
                <w:sz w:val="24"/>
                <w:szCs w:val="24"/>
                <w:highlight w:val="none"/>
                <w:lang w:bidi="ar"/>
              </w:rPr>
              <w:t xml:space="preserve">25. </w:t>
            </w:r>
            <w:r>
              <w:rPr>
                <w:rStyle w:val="266"/>
                <w:highlight w:val="none"/>
                <w:lang w:bidi="ar"/>
              </w:rPr>
              <w:t>PPT播放模式：支持用户选择打开PPT播放模式，使展厅直接进入场景播放状态，不可打断；</w:t>
            </w:r>
          </w:p>
        </w:tc>
      </w:tr>
      <w:tr w14:paraId="4B45F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6" w:type="dxa"/>
            <w:vMerge w:val="continue"/>
            <w:shd w:val="clear" w:color="auto" w:fill="auto"/>
            <w:vAlign w:val="center"/>
          </w:tcPr>
          <w:p w14:paraId="46A59BEA">
            <w:pPr>
              <w:widowControl/>
              <w:textAlignment w:val="center"/>
              <w:rPr>
                <w:rFonts w:hint="eastAsia" w:ascii="宋体" w:hAnsi="宋体" w:cs="宋体"/>
                <w:color w:val="000000"/>
                <w:sz w:val="24"/>
                <w:szCs w:val="24"/>
                <w:highlight w:val="none"/>
                <w:lang w:bidi="ar"/>
              </w:rPr>
            </w:pPr>
          </w:p>
        </w:tc>
        <w:tc>
          <w:tcPr>
            <w:tcW w:w="1161" w:type="dxa"/>
            <w:vMerge w:val="continue"/>
            <w:shd w:val="clear" w:color="auto" w:fill="auto"/>
            <w:vAlign w:val="center"/>
          </w:tcPr>
          <w:p w14:paraId="5A5B4C81">
            <w:pPr>
              <w:widowControl/>
              <w:textAlignment w:val="center"/>
              <w:rPr>
                <w:rFonts w:hint="eastAsia" w:ascii="宋体" w:hAnsi="宋体" w:cs="宋体"/>
                <w:color w:val="000000"/>
                <w:sz w:val="24"/>
                <w:szCs w:val="24"/>
                <w:highlight w:val="none"/>
                <w:lang w:bidi="ar"/>
              </w:rPr>
            </w:pPr>
          </w:p>
        </w:tc>
        <w:tc>
          <w:tcPr>
            <w:tcW w:w="6496" w:type="dxa"/>
            <w:shd w:val="clear" w:color="auto" w:fill="auto"/>
            <w:vAlign w:val="center"/>
          </w:tcPr>
          <w:p w14:paraId="7B92D6C3">
            <w:pPr>
              <w:widowControl/>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lang w:bidi="ar"/>
              </w:rPr>
              <w:t xml:space="preserve">26. </w:t>
            </w:r>
            <w:r>
              <w:rPr>
                <w:rStyle w:val="266"/>
                <w:highlight w:val="none"/>
                <w:lang w:bidi="ar"/>
              </w:rPr>
              <w:t>展厅背景音乐：支持用户设置展厅背景音乐，前台进入进入展厅时，自动启动背景音乐；</w:t>
            </w:r>
          </w:p>
        </w:tc>
      </w:tr>
      <w:tr w14:paraId="17123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6" w:type="dxa"/>
            <w:vMerge w:val="continue"/>
            <w:shd w:val="clear" w:color="auto" w:fill="auto"/>
            <w:vAlign w:val="center"/>
          </w:tcPr>
          <w:p w14:paraId="565130AC">
            <w:pPr>
              <w:widowControl/>
              <w:textAlignment w:val="center"/>
              <w:rPr>
                <w:rFonts w:hint="eastAsia" w:ascii="宋体" w:hAnsi="宋体" w:cs="宋体"/>
                <w:color w:val="C00000"/>
                <w:sz w:val="24"/>
                <w:szCs w:val="24"/>
                <w:highlight w:val="none"/>
                <w:lang w:bidi="ar"/>
              </w:rPr>
            </w:pPr>
          </w:p>
        </w:tc>
        <w:tc>
          <w:tcPr>
            <w:tcW w:w="1161" w:type="dxa"/>
            <w:vMerge w:val="continue"/>
            <w:shd w:val="clear" w:color="auto" w:fill="auto"/>
            <w:vAlign w:val="center"/>
          </w:tcPr>
          <w:p w14:paraId="03C521A3">
            <w:pPr>
              <w:widowControl/>
              <w:textAlignment w:val="center"/>
              <w:rPr>
                <w:rFonts w:hint="eastAsia" w:ascii="宋体" w:hAnsi="宋体" w:cs="宋体"/>
                <w:color w:val="C00000"/>
                <w:sz w:val="24"/>
                <w:szCs w:val="24"/>
                <w:highlight w:val="none"/>
                <w:lang w:bidi="ar"/>
              </w:rPr>
            </w:pPr>
          </w:p>
        </w:tc>
        <w:tc>
          <w:tcPr>
            <w:tcW w:w="6496" w:type="dxa"/>
            <w:shd w:val="clear" w:color="auto" w:fill="auto"/>
            <w:vAlign w:val="center"/>
          </w:tcPr>
          <w:p w14:paraId="3CA813F3">
            <w:pPr>
              <w:widowControl/>
              <w:textAlignment w:val="center"/>
              <w:rPr>
                <w:rFonts w:hint="eastAsia" w:ascii="宋体" w:hAnsi="宋体" w:cs="宋体"/>
                <w:color w:val="C00000"/>
                <w:sz w:val="24"/>
                <w:szCs w:val="24"/>
                <w:highlight w:val="none"/>
              </w:rPr>
            </w:pPr>
            <w:r>
              <w:rPr>
                <w:rFonts w:hint="eastAsia" w:ascii="宋体" w:hAnsi="宋体" w:cs="宋体"/>
                <w:color w:val="000000"/>
                <w:sz w:val="24"/>
                <w:szCs w:val="24"/>
                <w:highlight w:val="none"/>
                <w:lang w:bidi="ar"/>
              </w:rPr>
              <w:t xml:space="preserve">27. </w:t>
            </w:r>
            <w:r>
              <w:rPr>
                <w:rStyle w:val="266"/>
                <w:highlight w:val="none"/>
                <w:lang w:bidi="ar"/>
              </w:rPr>
              <w:t>碰撞检测：内置碰撞检测机制，避免展板、模型间相互干扰；</w:t>
            </w:r>
          </w:p>
        </w:tc>
      </w:tr>
      <w:tr w14:paraId="562D7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6" w:type="dxa"/>
            <w:vMerge w:val="continue"/>
            <w:shd w:val="clear" w:color="auto" w:fill="auto"/>
            <w:vAlign w:val="center"/>
          </w:tcPr>
          <w:p w14:paraId="300CC410">
            <w:pPr>
              <w:widowControl/>
              <w:textAlignment w:val="center"/>
              <w:rPr>
                <w:rFonts w:hint="eastAsia" w:ascii="宋体" w:hAnsi="宋体" w:cs="宋体"/>
                <w:color w:val="C00000"/>
                <w:sz w:val="24"/>
                <w:szCs w:val="24"/>
                <w:highlight w:val="none"/>
                <w:lang w:bidi="ar"/>
              </w:rPr>
            </w:pPr>
          </w:p>
        </w:tc>
        <w:tc>
          <w:tcPr>
            <w:tcW w:w="1161" w:type="dxa"/>
            <w:vMerge w:val="continue"/>
            <w:shd w:val="clear" w:color="auto" w:fill="auto"/>
            <w:vAlign w:val="center"/>
          </w:tcPr>
          <w:p w14:paraId="74CA5DB2">
            <w:pPr>
              <w:widowControl/>
              <w:textAlignment w:val="center"/>
              <w:rPr>
                <w:rFonts w:hint="eastAsia" w:ascii="宋体" w:hAnsi="宋体" w:cs="宋体"/>
                <w:color w:val="C00000"/>
                <w:sz w:val="24"/>
                <w:szCs w:val="24"/>
                <w:highlight w:val="none"/>
                <w:lang w:bidi="ar"/>
              </w:rPr>
            </w:pPr>
          </w:p>
        </w:tc>
        <w:tc>
          <w:tcPr>
            <w:tcW w:w="6496" w:type="dxa"/>
            <w:shd w:val="clear" w:color="auto" w:fill="auto"/>
            <w:vAlign w:val="center"/>
          </w:tcPr>
          <w:p w14:paraId="1279653C">
            <w:pPr>
              <w:widowControl/>
              <w:textAlignment w:val="center"/>
              <w:rPr>
                <w:rFonts w:hint="eastAsia" w:ascii="宋体" w:hAnsi="宋体" w:cs="宋体"/>
                <w:color w:val="C00000"/>
                <w:sz w:val="24"/>
                <w:szCs w:val="24"/>
                <w:highlight w:val="none"/>
              </w:rPr>
            </w:pPr>
            <w:r>
              <w:rPr>
                <w:rFonts w:hint="eastAsia" w:ascii="宋体" w:hAnsi="宋体" w:cs="宋体"/>
                <w:color w:val="000000"/>
                <w:sz w:val="24"/>
                <w:szCs w:val="24"/>
                <w:highlight w:val="none"/>
                <w:lang w:bidi="ar"/>
              </w:rPr>
              <w:t xml:space="preserve">28. </w:t>
            </w:r>
            <w:r>
              <w:rPr>
                <w:rStyle w:val="266"/>
                <w:highlight w:val="none"/>
                <w:lang w:bidi="ar"/>
              </w:rPr>
              <w:t>展厅管理员权限：支持在展厅中设置管理员权限；</w:t>
            </w:r>
          </w:p>
        </w:tc>
      </w:tr>
      <w:tr w14:paraId="6333E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6" w:type="dxa"/>
            <w:vMerge w:val="continue"/>
            <w:shd w:val="clear" w:color="auto" w:fill="auto"/>
            <w:vAlign w:val="center"/>
          </w:tcPr>
          <w:p w14:paraId="28CC0A53">
            <w:pPr>
              <w:widowControl/>
              <w:textAlignment w:val="center"/>
              <w:rPr>
                <w:rFonts w:hint="eastAsia" w:ascii="宋体" w:hAnsi="宋体" w:cs="宋体"/>
                <w:color w:val="C00000"/>
                <w:sz w:val="24"/>
                <w:szCs w:val="24"/>
                <w:highlight w:val="none"/>
                <w:lang w:bidi="ar"/>
              </w:rPr>
            </w:pPr>
          </w:p>
        </w:tc>
        <w:tc>
          <w:tcPr>
            <w:tcW w:w="1161" w:type="dxa"/>
            <w:vMerge w:val="continue"/>
            <w:shd w:val="clear" w:color="auto" w:fill="auto"/>
            <w:vAlign w:val="center"/>
          </w:tcPr>
          <w:p w14:paraId="36B4D5D0">
            <w:pPr>
              <w:widowControl/>
              <w:textAlignment w:val="center"/>
              <w:rPr>
                <w:rFonts w:hint="eastAsia" w:ascii="宋体" w:hAnsi="宋体" w:cs="宋体"/>
                <w:color w:val="C00000"/>
                <w:sz w:val="24"/>
                <w:szCs w:val="24"/>
                <w:highlight w:val="none"/>
                <w:lang w:bidi="ar"/>
              </w:rPr>
            </w:pPr>
          </w:p>
        </w:tc>
        <w:tc>
          <w:tcPr>
            <w:tcW w:w="6496" w:type="dxa"/>
            <w:shd w:val="clear" w:color="auto" w:fill="auto"/>
            <w:vAlign w:val="center"/>
          </w:tcPr>
          <w:p w14:paraId="527B673A">
            <w:pPr>
              <w:widowControl/>
              <w:textAlignment w:val="center"/>
              <w:rPr>
                <w:rFonts w:hint="eastAsia" w:ascii="宋体" w:hAnsi="宋体" w:cs="宋体"/>
                <w:color w:val="C00000"/>
                <w:sz w:val="24"/>
                <w:szCs w:val="24"/>
                <w:highlight w:val="none"/>
              </w:rPr>
            </w:pPr>
            <w:r>
              <w:rPr>
                <w:rFonts w:hint="eastAsia" w:ascii="宋体" w:hAnsi="宋体" w:eastAsia="宋体" w:cs="宋体"/>
                <w:bCs/>
                <w:color w:val="000000"/>
                <w:sz w:val="24"/>
                <w:szCs w:val="24"/>
                <w:highlight w:val="none"/>
              </w:rPr>
              <w:t>▲</w:t>
            </w:r>
            <w:r>
              <w:rPr>
                <w:rFonts w:hint="eastAsia" w:ascii="宋体" w:hAnsi="宋体" w:cs="宋体"/>
                <w:color w:val="000000"/>
                <w:sz w:val="24"/>
                <w:szCs w:val="24"/>
                <w:highlight w:val="none"/>
                <w:lang w:bidi="ar"/>
              </w:rPr>
              <w:t xml:space="preserve">29. </w:t>
            </w:r>
            <w:r>
              <w:rPr>
                <w:rStyle w:val="266"/>
                <w:highlight w:val="none"/>
                <w:lang w:bidi="ar"/>
              </w:rPr>
              <w:t>2D/3D文本编辑：支持用户直接在编辑器中创建和编辑2D、3D文本，包括字体、大小、颜色等属性的自定义；</w:t>
            </w:r>
          </w:p>
        </w:tc>
      </w:tr>
      <w:tr w14:paraId="36344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6" w:type="dxa"/>
            <w:vMerge w:val="continue"/>
            <w:shd w:val="clear" w:color="auto" w:fill="auto"/>
            <w:vAlign w:val="center"/>
          </w:tcPr>
          <w:p w14:paraId="5A318B8A">
            <w:pPr>
              <w:widowControl/>
              <w:textAlignment w:val="center"/>
              <w:rPr>
                <w:rFonts w:hint="eastAsia" w:ascii="宋体" w:hAnsi="宋体" w:cs="宋体"/>
                <w:color w:val="C00000"/>
                <w:sz w:val="24"/>
                <w:szCs w:val="24"/>
                <w:highlight w:val="none"/>
                <w:lang w:bidi="ar"/>
              </w:rPr>
            </w:pPr>
          </w:p>
        </w:tc>
        <w:tc>
          <w:tcPr>
            <w:tcW w:w="1161" w:type="dxa"/>
            <w:vMerge w:val="continue"/>
            <w:shd w:val="clear" w:color="auto" w:fill="auto"/>
            <w:vAlign w:val="center"/>
          </w:tcPr>
          <w:p w14:paraId="39C325D8">
            <w:pPr>
              <w:widowControl/>
              <w:textAlignment w:val="center"/>
              <w:rPr>
                <w:rFonts w:hint="eastAsia" w:ascii="宋体" w:hAnsi="宋体" w:cs="宋体"/>
                <w:color w:val="C00000"/>
                <w:sz w:val="24"/>
                <w:szCs w:val="24"/>
                <w:highlight w:val="none"/>
                <w:lang w:bidi="ar"/>
              </w:rPr>
            </w:pPr>
          </w:p>
        </w:tc>
        <w:tc>
          <w:tcPr>
            <w:tcW w:w="6496" w:type="dxa"/>
            <w:shd w:val="clear" w:color="auto" w:fill="auto"/>
            <w:vAlign w:val="center"/>
          </w:tcPr>
          <w:p w14:paraId="0E8F9ADA">
            <w:pPr>
              <w:widowControl/>
              <w:textAlignment w:val="center"/>
              <w:rPr>
                <w:rFonts w:hint="eastAsia" w:ascii="宋体" w:hAnsi="宋体" w:cs="宋体"/>
                <w:color w:val="C00000"/>
                <w:sz w:val="24"/>
                <w:szCs w:val="24"/>
                <w:highlight w:val="none"/>
              </w:rPr>
            </w:pPr>
            <w:r>
              <w:rPr>
                <w:rFonts w:hint="eastAsia" w:ascii="宋体" w:hAnsi="宋体" w:cs="宋体"/>
                <w:color w:val="000000"/>
                <w:sz w:val="24"/>
                <w:szCs w:val="24"/>
                <w:highlight w:val="none"/>
                <w:lang w:bidi="ar"/>
              </w:rPr>
              <w:t xml:space="preserve">30. </w:t>
            </w:r>
            <w:r>
              <w:rPr>
                <w:rStyle w:val="266"/>
                <w:highlight w:val="none"/>
                <w:lang w:bidi="ar"/>
              </w:rPr>
              <w:t>AI智能体：支持对接AI智能体，实现智能化交互体验；</w:t>
            </w:r>
          </w:p>
        </w:tc>
      </w:tr>
      <w:tr w14:paraId="664B4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6" w:type="dxa"/>
            <w:vMerge w:val="continue"/>
            <w:shd w:val="clear" w:color="auto" w:fill="auto"/>
            <w:vAlign w:val="center"/>
          </w:tcPr>
          <w:p w14:paraId="0E7AFA02">
            <w:pPr>
              <w:widowControl/>
              <w:textAlignment w:val="center"/>
              <w:rPr>
                <w:rFonts w:hint="eastAsia" w:ascii="宋体" w:hAnsi="宋体" w:cs="宋体"/>
                <w:color w:val="C00000"/>
                <w:sz w:val="24"/>
                <w:szCs w:val="24"/>
                <w:highlight w:val="none"/>
                <w:lang w:bidi="ar"/>
              </w:rPr>
            </w:pPr>
          </w:p>
        </w:tc>
        <w:tc>
          <w:tcPr>
            <w:tcW w:w="1161" w:type="dxa"/>
            <w:vMerge w:val="continue"/>
            <w:shd w:val="clear" w:color="auto" w:fill="auto"/>
            <w:vAlign w:val="center"/>
          </w:tcPr>
          <w:p w14:paraId="1ED5CB03">
            <w:pPr>
              <w:widowControl/>
              <w:textAlignment w:val="center"/>
              <w:rPr>
                <w:rFonts w:hint="eastAsia" w:ascii="宋体" w:hAnsi="宋体" w:cs="宋体"/>
                <w:color w:val="C00000"/>
                <w:sz w:val="24"/>
                <w:szCs w:val="24"/>
                <w:highlight w:val="none"/>
                <w:lang w:bidi="ar"/>
              </w:rPr>
            </w:pPr>
          </w:p>
        </w:tc>
        <w:tc>
          <w:tcPr>
            <w:tcW w:w="6496" w:type="dxa"/>
            <w:shd w:val="clear" w:color="auto" w:fill="auto"/>
            <w:vAlign w:val="center"/>
          </w:tcPr>
          <w:p w14:paraId="0AD9F2FB">
            <w:pPr>
              <w:widowControl/>
              <w:textAlignment w:val="center"/>
              <w:rPr>
                <w:rFonts w:hint="eastAsia" w:ascii="宋体" w:hAnsi="宋体" w:cs="宋体"/>
                <w:color w:val="C00000"/>
                <w:sz w:val="24"/>
                <w:szCs w:val="24"/>
                <w:highlight w:val="none"/>
              </w:rPr>
            </w:pPr>
            <w:r>
              <w:rPr>
                <w:rFonts w:hint="eastAsia" w:ascii="宋体" w:hAnsi="宋体" w:cs="宋体"/>
                <w:color w:val="000000"/>
                <w:sz w:val="24"/>
                <w:szCs w:val="24"/>
                <w:highlight w:val="none"/>
                <w:lang w:bidi="ar"/>
              </w:rPr>
              <w:t xml:space="preserve">31. </w:t>
            </w:r>
            <w:r>
              <w:rPr>
                <w:rStyle w:val="266"/>
                <w:highlight w:val="none"/>
                <w:lang w:bidi="ar"/>
              </w:rPr>
              <w:t>AI智能体音色自定义：支持用户根据需要选择男声或女声作为智能体的发音音色，满足不同场景下的声音需求</w:t>
            </w:r>
          </w:p>
        </w:tc>
      </w:tr>
      <w:tr w14:paraId="66BDA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6" w:type="dxa"/>
            <w:vMerge w:val="continue"/>
            <w:shd w:val="clear" w:color="auto" w:fill="auto"/>
            <w:vAlign w:val="center"/>
          </w:tcPr>
          <w:p w14:paraId="70D0E326">
            <w:pPr>
              <w:widowControl/>
              <w:textAlignment w:val="center"/>
              <w:rPr>
                <w:rFonts w:hint="eastAsia" w:ascii="宋体" w:hAnsi="宋体" w:cs="宋体"/>
                <w:color w:val="C00000"/>
                <w:sz w:val="24"/>
                <w:szCs w:val="24"/>
                <w:highlight w:val="none"/>
                <w:lang w:bidi="ar"/>
              </w:rPr>
            </w:pPr>
          </w:p>
        </w:tc>
        <w:tc>
          <w:tcPr>
            <w:tcW w:w="1161" w:type="dxa"/>
            <w:vMerge w:val="continue"/>
            <w:shd w:val="clear" w:color="auto" w:fill="auto"/>
            <w:vAlign w:val="center"/>
          </w:tcPr>
          <w:p w14:paraId="18A713BB">
            <w:pPr>
              <w:widowControl/>
              <w:textAlignment w:val="center"/>
              <w:rPr>
                <w:rFonts w:hint="eastAsia" w:ascii="宋体" w:hAnsi="宋体" w:cs="宋体"/>
                <w:color w:val="C00000"/>
                <w:sz w:val="24"/>
                <w:szCs w:val="24"/>
                <w:highlight w:val="none"/>
                <w:lang w:bidi="ar"/>
              </w:rPr>
            </w:pPr>
          </w:p>
        </w:tc>
        <w:tc>
          <w:tcPr>
            <w:tcW w:w="6496" w:type="dxa"/>
            <w:shd w:val="clear" w:color="auto" w:fill="auto"/>
            <w:vAlign w:val="center"/>
          </w:tcPr>
          <w:p w14:paraId="5CACA833">
            <w:pPr>
              <w:widowControl/>
              <w:textAlignment w:val="center"/>
              <w:rPr>
                <w:rFonts w:hint="eastAsia" w:ascii="宋体" w:hAnsi="宋体" w:cs="宋体"/>
                <w:color w:val="C00000"/>
                <w:sz w:val="24"/>
                <w:szCs w:val="24"/>
                <w:highlight w:val="none"/>
              </w:rPr>
            </w:pPr>
            <w:r>
              <w:rPr>
                <w:rFonts w:hint="eastAsia" w:ascii="宋体" w:hAnsi="宋体" w:cs="宋体"/>
                <w:color w:val="000000"/>
                <w:sz w:val="24"/>
                <w:szCs w:val="24"/>
                <w:highlight w:val="none"/>
                <w:lang w:bidi="ar"/>
              </w:rPr>
              <w:t xml:space="preserve">32. </w:t>
            </w:r>
            <w:r>
              <w:rPr>
                <w:rStyle w:val="266"/>
                <w:highlight w:val="none"/>
                <w:lang w:bidi="ar"/>
              </w:rPr>
              <w:t>AI智能体区域触发范围设置：支持设定AI智能体的触发区域，当用户进入该区域时，智能体将自动激活并执行预设提示图标；</w:t>
            </w:r>
          </w:p>
        </w:tc>
      </w:tr>
      <w:tr w14:paraId="08E2C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6" w:type="dxa"/>
            <w:vMerge w:val="continue"/>
            <w:shd w:val="clear" w:color="auto" w:fill="auto"/>
            <w:vAlign w:val="center"/>
          </w:tcPr>
          <w:p w14:paraId="13BE08F2">
            <w:pPr>
              <w:widowControl/>
              <w:textAlignment w:val="center"/>
              <w:rPr>
                <w:rFonts w:hint="eastAsia" w:ascii="宋体" w:hAnsi="宋体" w:cs="宋体"/>
                <w:color w:val="C00000"/>
                <w:sz w:val="24"/>
                <w:szCs w:val="24"/>
                <w:highlight w:val="none"/>
                <w:lang w:bidi="ar"/>
              </w:rPr>
            </w:pPr>
          </w:p>
        </w:tc>
        <w:tc>
          <w:tcPr>
            <w:tcW w:w="1161" w:type="dxa"/>
            <w:vMerge w:val="continue"/>
            <w:shd w:val="clear" w:color="auto" w:fill="auto"/>
            <w:vAlign w:val="center"/>
          </w:tcPr>
          <w:p w14:paraId="7C69FABC">
            <w:pPr>
              <w:widowControl/>
              <w:textAlignment w:val="center"/>
              <w:rPr>
                <w:rFonts w:hint="eastAsia" w:ascii="宋体" w:hAnsi="宋体" w:cs="宋体"/>
                <w:color w:val="C00000"/>
                <w:sz w:val="24"/>
                <w:szCs w:val="24"/>
                <w:highlight w:val="none"/>
                <w:lang w:bidi="ar"/>
              </w:rPr>
            </w:pPr>
          </w:p>
        </w:tc>
        <w:tc>
          <w:tcPr>
            <w:tcW w:w="6496" w:type="dxa"/>
            <w:shd w:val="clear" w:color="auto" w:fill="auto"/>
            <w:vAlign w:val="center"/>
          </w:tcPr>
          <w:p w14:paraId="08C501CD">
            <w:pPr>
              <w:widowControl/>
              <w:textAlignment w:val="center"/>
              <w:rPr>
                <w:rFonts w:hint="eastAsia" w:ascii="宋体" w:hAnsi="宋体" w:cs="宋体"/>
                <w:color w:val="000000"/>
                <w:sz w:val="24"/>
                <w:szCs w:val="24"/>
                <w:highlight w:val="none"/>
                <w:lang w:bidi="ar"/>
              </w:rPr>
            </w:pPr>
            <w:r>
              <w:rPr>
                <w:rFonts w:hint="eastAsia" w:ascii="宋体" w:hAnsi="宋体" w:cs="宋体"/>
                <w:color w:val="000000"/>
                <w:sz w:val="24"/>
                <w:szCs w:val="24"/>
                <w:highlight w:val="none"/>
                <w:lang w:bidi="ar"/>
              </w:rPr>
              <w:t>33. AI智能体朝向相机功能：智能体能够智能识别并始终面向相机；</w:t>
            </w:r>
          </w:p>
        </w:tc>
      </w:tr>
      <w:tr w14:paraId="19D8C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6" w:type="dxa"/>
            <w:vMerge w:val="continue"/>
            <w:shd w:val="clear" w:color="auto" w:fill="auto"/>
            <w:vAlign w:val="center"/>
          </w:tcPr>
          <w:p w14:paraId="7E01F26E">
            <w:pPr>
              <w:widowControl/>
              <w:textAlignment w:val="center"/>
              <w:rPr>
                <w:rFonts w:hint="eastAsia" w:ascii="宋体" w:hAnsi="宋体" w:cs="宋体"/>
                <w:color w:val="C00000"/>
                <w:sz w:val="24"/>
                <w:szCs w:val="24"/>
                <w:highlight w:val="none"/>
                <w:lang w:bidi="ar"/>
              </w:rPr>
            </w:pPr>
          </w:p>
        </w:tc>
        <w:tc>
          <w:tcPr>
            <w:tcW w:w="1161" w:type="dxa"/>
            <w:vMerge w:val="continue"/>
            <w:shd w:val="clear" w:color="auto" w:fill="auto"/>
            <w:vAlign w:val="center"/>
          </w:tcPr>
          <w:p w14:paraId="2BBE66EA">
            <w:pPr>
              <w:widowControl/>
              <w:textAlignment w:val="center"/>
              <w:rPr>
                <w:rFonts w:hint="eastAsia" w:ascii="宋体" w:hAnsi="宋体" w:cs="宋体"/>
                <w:color w:val="C00000"/>
                <w:sz w:val="24"/>
                <w:szCs w:val="24"/>
                <w:highlight w:val="none"/>
                <w:lang w:bidi="ar"/>
              </w:rPr>
            </w:pPr>
          </w:p>
        </w:tc>
        <w:tc>
          <w:tcPr>
            <w:tcW w:w="6496" w:type="dxa"/>
            <w:shd w:val="clear" w:color="auto" w:fill="auto"/>
            <w:vAlign w:val="center"/>
          </w:tcPr>
          <w:p w14:paraId="427EE9B6">
            <w:pPr>
              <w:widowControl/>
              <w:textAlignment w:val="center"/>
              <w:rPr>
                <w:rFonts w:hint="eastAsia" w:ascii="宋体" w:hAnsi="宋体" w:cs="宋体"/>
                <w:color w:val="000000"/>
                <w:sz w:val="24"/>
                <w:szCs w:val="24"/>
                <w:highlight w:val="none"/>
                <w:lang w:bidi="ar"/>
              </w:rPr>
            </w:pPr>
            <w:r>
              <w:rPr>
                <w:rFonts w:hint="eastAsia" w:ascii="宋体" w:hAnsi="宋体" w:eastAsia="宋体" w:cs="宋体"/>
                <w:bCs/>
                <w:color w:val="000000"/>
                <w:sz w:val="24"/>
                <w:szCs w:val="24"/>
                <w:highlight w:val="none"/>
              </w:rPr>
              <w:t>▲</w:t>
            </w:r>
            <w:r>
              <w:rPr>
                <w:rFonts w:hint="eastAsia" w:ascii="宋体" w:hAnsi="宋体" w:cs="宋体"/>
                <w:color w:val="000000"/>
                <w:sz w:val="24"/>
                <w:szCs w:val="24"/>
                <w:highlight w:val="none"/>
                <w:lang w:bidi="ar"/>
              </w:rPr>
              <w:t>34. 智能客服：支持对接智能客服，能够即时解答用户在操作过程中的疑问，提供全天候、高效的在线支持服务；</w:t>
            </w:r>
          </w:p>
        </w:tc>
      </w:tr>
    </w:tbl>
    <w:p w14:paraId="4B132391">
      <w:pPr>
        <w:autoSpaceDE w:val="0"/>
        <w:autoSpaceDN w:val="0"/>
        <w:adjustRightInd w:val="0"/>
        <w:snapToGrid w:val="0"/>
        <w:spacing w:line="360" w:lineRule="auto"/>
        <w:ind w:firstLine="482" w:firstLineChars="200"/>
        <w:outlineLvl w:val="1"/>
        <w:rPr>
          <w:rFonts w:hint="eastAsia" w:ascii="宋体" w:hAnsi="宋体" w:cs="宋体"/>
          <w:b/>
          <w:color w:val="000000"/>
          <w:sz w:val="24"/>
          <w:szCs w:val="24"/>
          <w:highlight w:val="none"/>
        </w:rPr>
      </w:pPr>
      <w:bookmarkStart w:id="101" w:name="_Toc16230"/>
      <w:r>
        <w:rPr>
          <w:rFonts w:hint="eastAsia" w:ascii="宋体" w:hAnsi="宋体" w:cs="宋体"/>
          <w:b/>
          <w:color w:val="000000"/>
          <w:sz w:val="24"/>
          <w:szCs w:val="24"/>
          <w:highlight w:val="none"/>
        </w:rPr>
        <w:t>4、服务要求</w:t>
      </w:r>
      <w:bookmarkEnd w:id="101"/>
    </w:p>
    <w:p w14:paraId="384846B8">
      <w:pPr>
        <w:autoSpaceDE w:val="0"/>
        <w:autoSpaceDN w:val="0"/>
        <w:adjustRightInd w:val="0"/>
        <w:snapToGrid w:val="0"/>
        <w:spacing w:line="360" w:lineRule="auto"/>
        <w:ind w:firstLine="482" w:firstLineChars="200"/>
        <w:rPr>
          <w:rFonts w:hint="eastAsia" w:ascii="宋体" w:hAnsi="宋体" w:cs="宋体"/>
          <w:b/>
          <w:color w:val="000000"/>
          <w:sz w:val="24"/>
          <w:szCs w:val="24"/>
          <w:highlight w:val="none"/>
        </w:rPr>
      </w:pPr>
      <w:r>
        <w:rPr>
          <w:rFonts w:hint="eastAsia" w:ascii="宋体" w:hAnsi="宋体" w:cs="宋体"/>
          <w:b/>
          <w:color w:val="000000"/>
          <w:sz w:val="24"/>
          <w:szCs w:val="24"/>
          <w:highlight w:val="none"/>
        </w:rPr>
        <w:t>4.1. 售后服务期限</w:t>
      </w:r>
    </w:p>
    <w:p w14:paraId="47CDE0E7">
      <w:pPr>
        <w:autoSpaceDE w:val="0"/>
        <w:autoSpaceDN w:val="0"/>
        <w:adjustRightInd w:val="0"/>
        <w:snapToGrid w:val="0"/>
        <w:spacing w:line="360" w:lineRule="auto"/>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本项目免费售后服务周期为壹年，服务内容包括但不限于数据服务、平台维护、相关技术培训等。</w:t>
      </w:r>
    </w:p>
    <w:p w14:paraId="4039D283">
      <w:pPr>
        <w:autoSpaceDE w:val="0"/>
        <w:autoSpaceDN w:val="0"/>
        <w:adjustRightInd w:val="0"/>
        <w:snapToGrid w:val="0"/>
        <w:spacing w:line="360" w:lineRule="auto"/>
        <w:ind w:firstLine="482" w:firstLineChars="200"/>
        <w:rPr>
          <w:rFonts w:hint="eastAsia" w:ascii="宋体" w:hAnsi="宋体" w:cs="宋体"/>
          <w:b/>
          <w:color w:val="000000"/>
          <w:sz w:val="24"/>
          <w:szCs w:val="24"/>
          <w:highlight w:val="none"/>
        </w:rPr>
      </w:pPr>
      <w:r>
        <w:rPr>
          <w:rFonts w:hint="eastAsia" w:ascii="宋体" w:hAnsi="宋体" w:cs="宋体"/>
          <w:b/>
          <w:color w:val="000000"/>
          <w:sz w:val="24"/>
          <w:szCs w:val="24"/>
          <w:highlight w:val="none"/>
        </w:rPr>
        <w:t>4.2. 成果发布服务</w:t>
      </w:r>
    </w:p>
    <w:p w14:paraId="054DC835">
      <w:pPr>
        <w:autoSpaceDE w:val="0"/>
        <w:autoSpaceDN w:val="0"/>
        <w:adjustRightInd w:val="0"/>
        <w:snapToGrid w:val="0"/>
        <w:spacing w:line="360" w:lineRule="auto"/>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供应商应为本项目提供和安装数据成果发布平台，平台应具备基本的发布功能，包括但不限于：（1）支持多种检索方式，如简单检索、高级检索、二次检索、空检索等；（2）支持自建古籍分类导航；（3）支持古籍卷目篇目分级导航；（4）支持全文检索；（5）支持文本与图像对比展示；（6）支持数据防爬、数据加密等安全功能。</w:t>
      </w:r>
    </w:p>
    <w:p w14:paraId="140639DA">
      <w:pPr>
        <w:autoSpaceDE w:val="0"/>
        <w:autoSpaceDN w:val="0"/>
        <w:adjustRightInd w:val="0"/>
        <w:snapToGrid w:val="0"/>
        <w:spacing w:line="360" w:lineRule="auto"/>
        <w:ind w:firstLine="482" w:firstLineChars="200"/>
        <w:outlineLvl w:val="1"/>
        <w:rPr>
          <w:rFonts w:hint="eastAsia" w:ascii="宋体" w:hAnsi="宋体" w:cs="宋体"/>
          <w:b/>
          <w:color w:val="000000"/>
          <w:sz w:val="24"/>
          <w:szCs w:val="24"/>
          <w:highlight w:val="none"/>
        </w:rPr>
      </w:pPr>
      <w:bookmarkStart w:id="102" w:name="_Toc565"/>
      <w:r>
        <w:rPr>
          <w:rFonts w:hint="eastAsia" w:ascii="宋体" w:hAnsi="宋体" w:cs="宋体"/>
          <w:b/>
          <w:color w:val="000000"/>
          <w:sz w:val="24"/>
          <w:szCs w:val="24"/>
          <w:highlight w:val="none"/>
        </w:rPr>
        <w:t>5、付款方式</w:t>
      </w:r>
      <w:bookmarkEnd w:id="102"/>
    </w:p>
    <w:p w14:paraId="4DE61432">
      <w:pPr>
        <w:autoSpaceDE w:val="0"/>
        <w:autoSpaceDN w:val="0"/>
        <w:adjustRightInd w:val="0"/>
        <w:snapToGrid w:val="0"/>
        <w:spacing w:line="360" w:lineRule="auto"/>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（1）采购人在合同签订后，10天内向成交供应商支付40%合同款；</w:t>
      </w:r>
    </w:p>
    <w:p w14:paraId="0EA19E41">
      <w:pPr>
        <w:autoSpaceDE w:val="0"/>
        <w:autoSpaceDN w:val="0"/>
        <w:adjustRightInd w:val="0"/>
        <w:snapToGrid w:val="0"/>
        <w:spacing w:line="360" w:lineRule="auto"/>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（2）成交供应商完成所有项目内容且通过采购人验收合格后，采购人在一周内向供应商支付50%合同款。</w:t>
      </w:r>
    </w:p>
    <w:p w14:paraId="6940E027">
      <w:pPr>
        <w:autoSpaceDE w:val="0"/>
        <w:autoSpaceDN w:val="0"/>
        <w:adjustRightInd w:val="0"/>
        <w:snapToGrid w:val="0"/>
        <w:spacing w:line="360" w:lineRule="auto"/>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（3）</w:t>
      </w:r>
      <w:r>
        <w:rPr>
          <w:rFonts w:hint="eastAsia" w:ascii="宋体" w:hAnsi="宋体" w:cs="宋体"/>
          <w:bCs/>
          <w:color w:val="auto"/>
          <w:sz w:val="24"/>
          <w:szCs w:val="24"/>
          <w:highlight w:val="none"/>
        </w:rPr>
        <w:t>所有项目内容通过国家图书馆终验合格后，采购人向供应商支付剩余10%合同款。</w:t>
      </w:r>
    </w:p>
    <w:p w14:paraId="78E42F60">
      <w:pPr>
        <w:autoSpaceDE w:val="0"/>
        <w:autoSpaceDN w:val="0"/>
        <w:adjustRightInd w:val="0"/>
        <w:snapToGrid w:val="0"/>
        <w:spacing w:line="360" w:lineRule="auto"/>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由采购通知成交供应商提交相关发票并办理支付手续，采购人在各项手续、票据齐全下完成对外支付。</w:t>
      </w:r>
    </w:p>
    <w:p w14:paraId="5217E2F1">
      <w:pPr>
        <w:spacing w:line="800" w:lineRule="exact"/>
        <w:ind w:left="547" w:firstLine="883"/>
        <w:jc w:val="center"/>
        <w:rPr>
          <w:rFonts w:hint="eastAsia" w:ascii="宋体" w:hAnsi="宋体" w:cs="宋体"/>
          <w:szCs w:val="44"/>
          <w:highlight w:val="none"/>
        </w:rPr>
      </w:pPr>
      <w:r>
        <w:rPr>
          <w:rFonts w:hint="eastAsia" w:ascii="宋体" w:hAnsi="宋体" w:cs="宋体"/>
          <w:b/>
          <w:sz w:val="44"/>
          <w:szCs w:val="44"/>
          <w:highlight w:val="none"/>
        </w:rPr>
        <w:t xml:space="preserve">第四章  </w:t>
      </w:r>
      <w:bookmarkStart w:id="103" w:name="_Toc38121794"/>
      <w:bookmarkStart w:id="104" w:name="_Toc182848996"/>
      <w:bookmarkStart w:id="105" w:name="_Toc43217893"/>
      <w:bookmarkStart w:id="106" w:name="_Toc37322565"/>
      <w:bookmarkStart w:id="107" w:name="_Toc85627670"/>
      <w:r>
        <w:rPr>
          <w:rFonts w:hint="eastAsia" w:ascii="宋体" w:hAnsi="宋体" w:cs="宋体"/>
          <w:b/>
          <w:sz w:val="44"/>
          <w:szCs w:val="44"/>
          <w:highlight w:val="none"/>
        </w:rPr>
        <w:t>评审方法和程序</w:t>
      </w:r>
      <w:bookmarkEnd w:id="103"/>
      <w:bookmarkEnd w:id="104"/>
      <w:bookmarkEnd w:id="105"/>
      <w:bookmarkEnd w:id="106"/>
      <w:bookmarkEnd w:id="107"/>
    </w:p>
    <w:p w14:paraId="796A1056">
      <w:pPr>
        <w:spacing w:line="360" w:lineRule="auto"/>
        <w:ind w:firstLine="482"/>
        <w:jc w:val="left"/>
        <w:rPr>
          <w:rFonts w:hint="eastAsia" w:cs="宋体" w:asciiTheme="minorEastAsia" w:hAnsiTheme="minorEastAsia" w:eastAsiaTheme="minorEastAsia"/>
          <w:b/>
          <w:sz w:val="24"/>
          <w:szCs w:val="24"/>
          <w:highlight w:val="none"/>
        </w:rPr>
      </w:pPr>
      <w:bookmarkStart w:id="108" w:name="_Toc363573857"/>
      <w:bookmarkEnd w:id="108"/>
      <w:r>
        <w:rPr>
          <w:rFonts w:hint="eastAsia" w:cs="宋体" w:asciiTheme="minorEastAsia" w:hAnsiTheme="minorEastAsia" w:eastAsiaTheme="minorEastAsia"/>
          <w:b/>
          <w:sz w:val="24"/>
          <w:szCs w:val="24"/>
          <w:highlight w:val="none"/>
        </w:rPr>
        <w:t>一、磋商模式</w:t>
      </w:r>
    </w:p>
    <w:p w14:paraId="7501BCCF">
      <w:pPr>
        <w:spacing w:line="360" w:lineRule="auto"/>
        <w:ind w:firstLine="480"/>
        <w:jc w:val="left"/>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不见面远程磋商模式：开标当天各供应商在各自地点通过苏采云系统及时登录不见面开标大厅，参加磋商活动。</w:t>
      </w:r>
    </w:p>
    <w:p w14:paraId="5EB53DEB">
      <w:pPr>
        <w:spacing w:line="360" w:lineRule="auto"/>
        <w:ind w:firstLine="482"/>
        <w:jc w:val="left"/>
        <w:rPr>
          <w:rFonts w:hint="eastAsia" w:cs="宋体" w:asciiTheme="minorEastAsia" w:hAnsiTheme="minorEastAsia" w:eastAsiaTheme="minorEastAsia"/>
          <w:b/>
          <w:sz w:val="24"/>
          <w:szCs w:val="24"/>
          <w:highlight w:val="none"/>
        </w:rPr>
      </w:pPr>
      <w:r>
        <w:rPr>
          <w:rFonts w:hint="eastAsia" w:cs="宋体" w:asciiTheme="minorEastAsia" w:hAnsiTheme="minorEastAsia" w:eastAsiaTheme="minorEastAsia"/>
          <w:b/>
          <w:sz w:val="24"/>
          <w:szCs w:val="24"/>
          <w:highlight w:val="none"/>
        </w:rPr>
        <w:t>二、磋商组织及磋商小组职责</w:t>
      </w:r>
    </w:p>
    <w:p w14:paraId="6A154FCA">
      <w:pPr>
        <w:spacing w:line="360" w:lineRule="auto"/>
        <w:ind w:firstLine="480"/>
        <w:jc w:val="left"/>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1.本次竞争性磋商依据《中华人民共和国政府采购法》《政府采购竞争性磋商采购方式管理暂行办法》及有关法规成立磋商小组。磋商小组由采购人代表和评审专家共3人及以上单数组成。</w:t>
      </w:r>
    </w:p>
    <w:p w14:paraId="4EA2D60B">
      <w:pPr>
        <w:spacing w:line="360" w:lineRule="auto"/>
        <w:ind w:firstLine="480"/>
        <w:jc w:val="left"/>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2.磋商小组的职责：</w:t>
      </w:r>
    </w:p>
    <w:p w14:paraId="57FA3FC8">
      <w:pPr>
        <w:spacing w:line="360" w:lineRule="auto"/>
        <w:ind w:firstLine="480"/>
        <w:jc w:val="left"/>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1）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366DC90D">
      <w:pPr>
        <w:spacing w:line="360" w:lineRule="auto"/>
        <w:ind w:firstLine="480"/>
        <w:jc w:val="left"/>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（2）磋商文件内容违反国家有关强制性规定的，磋商小组应当停止评审并向采购人或者采购代理机构说明情况</w:t>
      </w:r>
    </w:p>
    <w:p w14:paraId="2CC6D90E">
      <w:pPr>
        <w:spacing w:line="360" w:lineRule="auto"/>
        <w:ind w:firstLine="480"/>
        <w:jc w:val="left"/>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（3）磋商小组成员应当遵守评审工作纪律，不得泄露评审情况和评审中获悉的商业秘密，对个人的评审意见承担法律责任；</w:t>
      </w:r>
    </w:p>
    <w:p w14:paraId="6381C60D">
      <w:pPr>
        <w:spacing w:line="360" w:lineRule="auto"/>
        <w:ind w:firstLine="480"/>
        <w:jc w:val="left"/>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（4）磋商小组成员在评审过程中发现供应商有行贿、提供虚假材料或者串通等违法行为的，应当及时向财政部门报告。</w:t>
      </w:r>
    </w:p>
    <w:p w14:paraId="0497C402">
      <w:pPr>
        <w:spacing w:line="360" w:lineRule="auto"/>
        <w:ind w:firstLine="480"/>
        <w:jc w:val="left"/>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（5）磋商小组成员在评审过程中受到非法干涉的，应当及时向财政、监察等部门举报。</w:t>
      </w:r>
    </w:p>
    <w:p w14:paraId="4D4727B0">
      <w:pPr>
        <w:spacing w:line="360" w:lineRule="auto"/>
        <w:ind w:firstLine="480"/>
        <w:jc w:val="left"/>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（6）配合采购单位答复供应商提出的质疑；配合财政部门的投诉处理和监督检查工作。</w:t>
      </w:r>
    </w:p>
    <w:p w14:paraId="3DCA7629">
      <w:pPr>
        <w:spacing w:line="360" w:lineRule="auto"/>
        <w:ind w:firstLine="480"/>
        <w:jc w:val="left"/>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3.评审有关记录由磋商小组成员签名，存档备查。</w:t>
      </w:r>
    </w:p>
    <w:p w14:paraId="1B23D9F7">
      <w:pPr>
        <w:spacing w:line="360" w:lineRule="auto"/>
        <w:ind w:firstLine="482"/>
        <w:outlineLvl w:val="1"/>
        <w:rPr>
          <w:rFonts w:hint="eastAsia" w:cs="宋体" w:asciiTheme="minorEastAsia" w:hAnsiTheme="minorEastAsia" w:eastAsiaTheme="minorEastAsia"/>
          <w:b/>
          <w:sz w:val="24"/>
          <w:szCs w:val="24"/>
          <w:highlight w:val="none"/>
        </w:rPr>
      </w:pPr>
      <w:r>
        <w:rPr>
          <w:rFonts w:hint="eastAsia" w:cs="宋体" w:asciiTheme="minorEastAsia" w:hAnsiTheme="minorEastAsia" w:eastAsiaTheme="minorEastAsia"/>
          <w:b/>
          <w:sz w:val="24"/>
          <w:szCs w:val="24"/>
          <w:highlight w:val="none"/>
        </w:rPr>
        <w:t>三、评审步骤</w:t>
      </w:r>
    </w:p>
    <w:p w14:paraId="496D8EC1">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lang w:val="zh-CN"/>
        </w:rPr>
        <w:t>第一阶段：</w:t>
      </w:r>
      <w:r>
        <w:rPr>
          <w:rFonts w:hint="eastAsia" w:cs="宋体" w:asciiTheme="minorEastAsia" w:hAnsiTheme="minorEastAsia" w:eastAsiaTheme="minorEastAsia"/>
          <w:sz w:val="24"/>
          <w:szCs w:val="24"/>
          <w:highlight w:val="none"/>
        </w:rPr>
        <w:t>磋商小组</w:t>
      </w:r>
      <w:r>
        <w:rPr>
          <w:rFonts w:hint="eastAsia" w:cs="宋体" w:asciiTheme="minorEastAsia" w:hAnsiTheme="minorEastAsia" w:eastAsiaTheme="minorEastAsia"/>
          <w:sz w:val="24"/>
          <w:szCs w:val="24"/>
          <w:highlight w:val="none"/>
          <w:lang w:val="zh-CN"/>
        </w:rPr>
        <w:t>对每个供应商的资格进行审查。</w:t>
      </w:r>
      <w:r>
        <w:rPr>
          <w:rFonts w:hint="eastAsia" w:cs="宋体" w:asciiTheme="minorEastAsia" w:hAnsiTheme="minorEastAsia" w:eastAsiaTheme="minorEastAsia"/>
          <w:sz w:val="24"/>
          <w:szCs w:val="24"/>
          <w:highlight w:val="none"/>
        </w:rPr>
        <w:t>供应商资格不合格的，其响应文件判定为无效响应文件。</w:t>
      </w:r>
    </w:p>
    <w:p w14:paraId="0B0A5A88">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lang w:val="zh-CN"/>
        </w:rPr>
        <w:t>第二阶段：</w:t>
      </w:r>
      <w:r>
        <w:rPr>
          <w:rFonts w:hint="eastAsia" w:cs="宋体" w:asciiTheme="minorEastAsia" w:hAnsiTheme="minorEastAsia" w:eastAsiaTheme="minorEastAsia"/>
          <w:sz w:val="24"/>
          <w:szCs w:val="24"/>
          <w:highlight w:val="none"/>
        </w:rPr>
        <w:t>依据磋商文件的规定，由磋商小组</w:t>
      </w:r>
      <w:r>
        <w:rPr>
          <w:rFonts w:hint="eastAsia" w:cs="宋体" w:asciiTheme="minorEastAsia" w:hAnsiTheme="minorEastAsia" w:eastAsiaTheme="minorEastAsia"/>
          <w:sz w:val="24"/>
          <w:szCs w:val="24"/>
          <w:highlight w:val="none"/>
          <w:lang w:val="zh-CN"/>
        </w:rPr>
        <w:t>对每个符合资格要求的供应商</w:t>
      </w:r>
      <w:r>
        <w:rPr>
          <w:rFonts w:hint="eastAsia" w:cs="宋体" w:asciiTheme="minorEastAsia" w:hAnsiTheme="minorEastAsia" w:eastAsiaTheme="minorEastAsia"/>
          <w:sz w:val="24"/>
          <w:szCs w:val="24"/>
          <w:highlight w:val="none"/>
        </w:rPr>
        <w:t xml:space="preserve">从响应文件的有效性、完整性和对磋商文件的响应程度进行审查，以确定是否对磋商文件的实质性要求作出响应。未通过符合性审查的响应文件，将被判为不满足磋商文件实质性要求。 </w:t>
      </w:r>
    </w:p>
    <w:p w14:paraId="273FD3C6">
      <w:pPr>
        <w:tabs>
          <w:tab w:val="left" w:pos="900"/>
        </w:tabs>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lang w:val="zh-CN"/>
        </w:rPr>
        <w:t>第三阶段：以供应商价格标文件内的竞争性磋商报价（即首次报价）为基础，磋商小组与供应商单一分别进行磋商。单一分别</w:t>
      </w:r>
      <w:r>
        <w:rPr>
          <w:rFonts w:hint="eastAsia" w:cs="宋体" w:asciiTheme="minorEastAsia" w:hAnsiTheme="minorEastAsia" w:eastAsiaTheme="minorEastAsia"/>
          <w:sz w:val="24"/>
          <w:szCs w:val="24"/>
          <w:highlight w:val="none"/>
        </w:rPr>
        <w:t>磋商</w:t>
      </w:r>
      <w:r>
        <w:rPr>
          <w:rFonts w:hint="eastAsia" w:cs="宋体" w:asciiTheme="minorEastAsia" w:hAnsiTheme="minorEastAsia" w:eastAsiaTheme="minorEastAsia"/>
          <w:sz w:val="24"/>
          <w:szCs w:val="24"/>
          <w:highlight w:val="none"/>
          <w:lang w:val="zh-CN"/>
        </w:rPr>
        <w:t>结束后，</w:t>
      </w:r>
      <w:r>
        <w:rPr>
          <w:rFonts w:hint="eastAsia" w:cs="宋体" w:asciiTheme="minorEastAsia" w:hAnsiTheme="minorEastAsia" w:eastAsiaTheme="minorEastAsia"/>
          <w:bCs/>
          <w:sz w:val="24"/>
          <w:szCs w:val="24"/>
          <w:highlight w:val="none"/>
        </w:rPr>
        <w:t>系统进入报价环节。</w:t>
      </w:r>
      <w:r>
        <w:rPr>
          <w:rFonts w:hint="eastAsia" w:cs="宋体" w:asciiTheme="minorEastAsia" w:hAnsiTheme="minorEastAsia" w:eastAsiaTheme="minorEastAsia"/>
          <w:sz w:val="24"/>
          <w:szCs w:val="24"/>
          <w:highlight w:val="none"/>
          <w:lang w:val="zh-CN"/>
        </w:rPr>
        <w:t>（</w:t>
      </w:r>
      <w:r>
        <w:rPr>
          <w:rFonts w:hint="eastAsia" w:cs="宋体" w:asciiTheme="minorEastAsia" w:hAnsiTheme="minorEastAsia" w:eastAsiaTheme="minorEastAsia"/>
          <w:sz w:val="24"/>
          <w:szCs w:val="24"/>
          <w:highlight w:val="none"/>
        </w:rPr>
        <w:t>磋商程序见本章第四条</w:t>
      </w:r>
      <w:r>
        <w:rPr>
          <w:rFonts w:hint="eastAsia" w:cs="宋体" w:asciiTheme="minorEastAsia" w:hAnsiTheme="minorEastAsia" w:eastAsiaTheme="minorEastAsia"/>
          <w:sz w:val="24"/>
          <w:szCs w:val="24"/>
          <w:highlight w:val="none"/>
          <w:lang w:val="zh-CN"/>
        </w:rPr>
        <w:t>）。</w:t>
      </w:r>
    </w:p>
    <w:p w14:paraId="56AC0787">
      <w:pPr>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sz w:val="24"/>
          <w:szCs w:val="24"/>
          <w:highlight w:val="none"/>
          <w:lang w:val="zh-CN"/>
        </w:rPr>
        <w:t>第</w:t>
      </w:r>
      <w:r>
        <w:rPr>
          <w:rFonts w:hint="eastAsia" w:cs="宋体" w:asciiTheme="minorEastAsia" w:hAnsiTheme="minorEastAsia" w:eastAsiaTheme="minorEastAsia"/>
          <w:sz w:val="24"/>
          <w:szCs w:val="24"/>
          <w:highlight w:val="none"/>
        </w:rPr>
        <w:t>四</w:t>
      </w:r>
      <w:r>
        <w:rPr>
          <w:rFonts w:hint="eastAsia" w:cs="宋体" w:asciiTheme="minorEastAsia" w:hAnsiTheme="minorEastAsia" w:eastAsiaTheme="minorEastAsia"/>
          <w:sz w:val="24"/>
          <w:szCs w:val="24"/>
          <w:highlight w:val="none"/>
          <w:lang w:val="zh-CN"/>
        </w:rPr>
        <w:t>阶段：</w:t>
      </w:r>
      <w:r>
        <w:rPr>
          <w:rFonts w:hint="eastAsia" w:cs="宋体" w:asciiTheme="minorEastAsia" w:hAnsiTheme="minorEastAsia" w:eastAsiaTheme="minorEastAsia"/>
          <w:bCs/>
          <w:sz w:val="24"/>
          <w:szCs w:val="24"/>
          <w:highlight w:val="none"/>
        </w:rPr>
        <w:t>系统最后报价环节结束后，磋商小组对响应报价的供应商进行商务技术部分评审。</w:t>
      </w:r>
    </w:p>
    <w:p w14:paraId="20A9B384">
      <w:pPr>
        <w:spacing w:line="360" w:lineRule="auto"/>
        <w:ind w:firstLine="482"/>
        <w:jc w:val="left"/>
        <w:rPr>
          <w:rFonts w:hint="eastAsia" w:cs="宋体" w:asciiTheme="minorEastAsia" w:hAnsiTheme="minorEastAsia" w:eastAsiaTheme="minorEastAsia"/>
          <w:b/>
          <w:sz w:val="24"/>
          <w:szCs w:val="24"/>
          <w:highlight w:val="none"/>
        </w:rPr>
      </w:pPr>
      <w:r>
        <w:rPr>
          <w:rFonts w:hint="eastAsia" w:cs="宋体" w:asciiTheme="minorEastAsia" w:hAnsiTheme="minorEastAsia" w:eastAsiaTheme="minorEastAsia"/>
          <w:b/>
          <w:sz w:val="24"/>
          <w:szCs w:val="24"/>
          <w:highlight w:val="none"/>
        </w:rPr>
        <w:t>四、磋商程序</w:t>
      </w:r>
    </w:p>
    <w:p w14:paraId="295890E4">
      <w:pPr>
        <w:tabs>
          <w:tab w:val="left" w:pos="900"/>
        </w:tabs>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对于通过资格审查和符合性审查的供应商，磋商小组将集中与单一供应商分别进行磋商。磋商小组通过苏采云系统向供应商发布“磋商函”，供应商应当按照要求在苏采云系统提交“磋商响应函”并加盖CA电子公章。</w:t>
      </w:r>
    </w:p>
    <w:p w14:paraId="45BB4EAC">
      <w:pPr>
        <w:tabs>
          <w:tab w:val="left" w:pos="900"/>
        </w:tabs>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在磋商过程中，磋商小组可能根据磋商文件和磋商情况实质性变动的内容有：</w:t>
      </w:r>
      <w:r>
        <w:rPr>
          <w:rFonts w:hint="eastAsia" w:cs="宋体" w:asciiTheme="minorEastAsia" w:hAnsiTheme="minorEastAsia" w:eastAsiaTheme="minorEastAsia"/>
          <w:b/>
          <w:bCs/>
          <w:sz w:val="24"/>
          <w:szCs w:val="24"/>
          <w:highlight w:val="none"/>
          <w:u w:val="single"/>
        </w:rPr>
        <w:t>采购需求中的技术、服务要求以及合同草案条款。</w:t>
      </w:r>
      <w:r>
        <w:rPr>
          <w:rFonts w:hint="eastAsia" w:cs="宋体" w:asciiTheme="minorEastAsia" w:hAnsiTheme="minorEastAsia" w:eastAsiaTheme="minorEastAsia"/>
          <w:sz w:val="24"/>
          <w:szCs w:val="24"/>
          <w:highlight w:val="none"/>
        </w:rPr>
        <w:t>对磋商文件作出的实质性变动是磋商文件的有效组成部分，磋商小组将在苏采云系统中通知所有参加磋商的供应商。供应商应当按照磋商文件的变动情况和磋商小组的要求在苏采云系统中重新提交响应文件，并加盖CA电子公章。</w:t>
      </w:r>
    </w:p>
    <w:p w14:paraId="3DC60024">
      <w:pPr>
        <w:tabs>
          <w:tab w:val="left" w:pos="900"/>
        </w:tabs>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 xml:space="preserve"> 2.磋商文件能够详细列明采购标的的技术、服务要求的，磋商结束后，磋商小组将在苏采云系统向所有实质性响应的供应商发布“最后报价要求函”及最后报价格式表，要求所有实质性响应的供应商在规定时间内提交最后报价。</w:t>
      </w:r>
    </w:p>
    <w:p w14:paraId="70002EE1">
      <w:pPr>
        <w:tabs>
          <w:tab w:val="left" w:pos="900"/>
        </w:tabs>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磋商文件不能详细列明采购标的的技术、服务要求，需经磋商由供应商提供最终设计方案或解决方案的，磋商结束后，磋商小组将按照少数服从多数的原则投票推荐3家以上供应商的设计方案或者解决方案，在苏采云系统中向其发布“最后报价要求函”及最后报价格式表，要求其</w:t>
      </w:r>
      <w:r>
        <w:rPr>
          <w:rFonts w:hint="eastAsia" w:cs="宋体" w:asciiTheme="minorEastAsia" w:hAnsiTheme="minorEastAsia" w:eastAsiaTheme="minorEastAsia"/>
          <w:bCs/>
          <w:sz w:val="24"/>
          <w:szCs w:val="24"/>
          <w:highlight w:val="none"/>
        </w:rPr>
        <w:t>在</w:t>
      </w:r>
      <w:r>
        <w:rPr>
          <w:rFonts w:hint="eastAsia" w:cs="宋体" w:asciiTheme="minorEastAsia" w:hAnsiTheme="minorEastAsia" w:eastAsiaTheme="minorEastAsia"/>
          <w:b/>
          <w:sz w:val="24"/>
          <w:szCs w:val="24"/>
          <w:highlight w:val="none"/>
        </w:rPr>
        <w:t>15分钟内</w:t>
      </w:r>
      <w:r>
        <w:rPr>
          <w:rFonts w:hint="eastAsia" w:cs="宋体" w:asciiTheme="minorEastAsia" w:hAnsiTheme="minorEastAsia" w:eastAsiaTheme="minorEastAsia"/>
          <w:sz w:val="24"/>
          <w:szCs w:val="24"/>
          <w:highlight w:val="none"/>
        </w:rPr>
        <w:t>提交最后报价。</w:t>
      </w:r>
    </w:p>
    <w:p w14:paraId="52136AB8">
      <w:pPr>
        <w:tabs>
          <w:tab w:val="left" w:pos="900"/>
        </w:tabs>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最后报价是供应商响应文件的有效组成部分。符合《政府采购竞争性磋商采购方式理暂行办法》第三条第一款第四项及《财政部关于竞争性磋商采购方式管理暂行办法有关问题的补充通知》（财库[2015]124号）规定情形的，提交最后报价的供应商可以为2家。</w:t>
      </w:r>
    </w:p>
    <w:p w14:paraId="4DF1EDC8">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3.供应商未在磋商小组规定的时间内在苏采云系统中提交最后报价的视为放弃磋商，其响应文件按无效响应处理，最后报价格式表须加盖CA电子公章,否则视为未提交最后报价。已提交响应文件的供应商，在提交最后报价之前，可以根据磋商情况退出磋商，并在苏采云系统中提交“退出磋商函”并加盖CA电子公章。</w:t>
      </w:r>
    </w:p>
    <w:p w14:paraId="553C02CC">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4.除非在磋商中磋商小组对采购需求中的技术、服务要求以及合同草案条款作了实质性变更，否则</w:t>
      </w:r>
      <w:r>
        <w:rPr>
          <w:rFonts w:hint="eastAsia" w:cs="宋体" w:asciiTheme="minorEastAsia" w:hAnsiTheme="minorEastAsia" w:eastAsiaTheme="minorEastAsia"/>
          <w:b/>
          <w:sz w:val="24"/>
          <w:szCs w:val="24"/>
          <w:highlight w:val="none"/>
        </w:rPr>
        <w:t>采购单位不接受供应商高于自己前一轮的磋商报价</w:t>
      </w:r>
      <w:r>
        <w:rPr>
          <w:rFonts w:hint="eastAsia" w:cs="宋体" w:asciiTheme="minorEastAsia" w:hAnsiTheme="minorEastAsia" w:eastAsiaTheme="minorEastAsia"/>
          <w:sz w:val="24"/>
          <w:szCs w:val="24"/>
          <w:highlight w:val="none"/>
        </w:rPr>
        <w:t>。</w:t>
      </w:r>
    </w:p>
    <w:p w14:paraId="7A443096">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5.在磋商中，磋商的任何一方不得透露与磋商有关的其他响应磋商的供应商的技术资料、价格及其他信息。</w:t>
      </w:r>
    </w:p>
    <w:p w14:paraId="2508DA96">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6.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做无效报价，按无效标处理。</w:t>
      </w:r>
    </w:p>
    <w:p w14:paraId="5FB67C24">
      <w:pPr>
        <w:spacing w:line="360" w:lineRule="auto"/>
        <w:ind w:firstLine="482"/>
        <w:jc w:val="left"/>
        <w:rPr>
          <w:rFonts w:hint="eastAsia" w:cs="宋体" w:asciiTheme="minorEastAsia" w:hAnsiTheme="minorEastAsia" w:eastAsiaTheme="minorEastAsia"/>
          <w:b/>
          <w:sz w:val="24"/>
          <w:szCs w:val="24"/>
          <w:highlight w:val="none"/>
        </w:rPr>
      </w:pPr>
      <w:r>
        <w:rPr>
          <w:rFonts w:hint="eastAsia" w:cs="宋体" w:asciiTheme="minorEastAsia" w:hAnsiTheme="minorEastAsia" w:eastAsiaTheme="minorEastAsia"/>
          <w:b/>
          <w:sz w:val="24"/>
          <w:szCs w:val="24"/>
          <w:highlight w:val="none"/>
        </w:rPr>
        <w:t>五、评审方法</w:t>
      </w:r>
    </w:p>
    <w:p w14:paraId="76C54E23">
      <w:pPr>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sz w:val="24"/>
          <w:szCs w:val="24"/>
          <w:highlight w:val="none"/>
        </w:rPr>
        <w:t>1.</w:t>
      </w:r>
      <w:r>
        <w:rPr>
          <w:rFonts w:hint="eastAsia" w:cs="宋体" w:asciiTheme="minorEastAsia" w:hAnsiTheme="minorEastAsia" w:eastAsiaTheme="minorEastAsia"/>
          <w:bCs/>
          <w:sz w:val="24"/>
          <w:szCs w:val="24"/>
          <w:highlight w:val="none"/>
        </w:rPr>
        <w:t>评审方法：综合评分法。经磋商确定最终采购需求和提交最后报价的供应商后，由磋商小组采用综合评分法对系统提交最后报价的供应商的响应文件和最后报价进行综合评分。</w:t>
      </w:r>
    </w:p>
    <w:p w14:paraId="0A53857C">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bCs/>
          <w:sz w:val="24"/>
          <w:szCs w:val="24"/>
          <w:highlight w:val="none"/>
        </w:rPr>
        <w:t>2.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w:t>
      </w:r>
      <w:r>
        <w:rPr>
          <w:rFonts w:hint="eastAsia" w:cs="宋体" w:asciiTheme="minorEastAsia" w:hAnsiTheme="minorEastAsia" w:eastAsiaTheme="minorEastAsia"/>
          <w:sz w:val="24"/>
          <w:szCs w:val="24"/>
          <w:highlight w:val="none"/>
        </w:rPr>
        <w:t>（计算结果均四舍五入保留两位小数）。</w:t>
      </w:r>
    </w:p>
    <w:p w14:paraId="4134A7C2">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 xml:space="preserve">3.本次项目磋商的商务技术和报价评审总分值为100分。两部分评审因素比重如下： </w:t>
      </w:r>
    </w:p>
    <w:p w14:paraId="1C14A2C8">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商务技术分值占总分值的比重为</w:t>
      </w:r>
      <w:r>
        <w:rPr>
          <w:rFonts w:hint="eastAsia" w:cs="宋体" w:asciiTheme="minorEastAsia" w:hAnsiTheme="minorEastAsia" w:eastAsiaTheme="minorEastAsia"/>
          <w:b/>
          <w:sz w:val="24"/>
          <w:szCs w:val="24"/>
          <w:highlight w:val="none"/>
          <w:u w:val="single"/>
        </w:rPr>
        <w:t>85%（权重）</w:t>
      </w:r>
      <w:r>
        <w:rPr>
          <w:rFonts w:hint="eastAsia" w:cs="宋体" w:asciiTheme="minorEastAsia" w:hAnsiTheme="minorEastAsia" w:eastAsiaTheme="minorEastAsia"/>
          <w:sz w:val="24"/>
          <w:szCs w:val="24"/>
          <w:highlight w:val="none"/>
        </w:rPr>
        <w:t>（四舍五入保留两位小数）；</w:t>
      </w:r>
    </w:p>
    <w:p w14:paraId="5EB59C4F">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报价分值占总分值的比重为</w:t>
      </w:r>
      <w:r>
        <w:rPr>
          <w:rFonts w:hint="eastAsia" w:cs="宋体" w:asciiTheme="minorEastAsia" w:hAnsiTheme="minorEastAsia" w:eastAsiaTheme="minorEastAsia"/>
          <w:b/>
          <w:sz w:val="24"/>
          <w:szCs w:val="24"/>
          <w:highlight w:val="none"/>
          <w:u w:val="single"/>
        </w:rPr>
        <w:t>15%（权重）</w:t>
      </w:r>
      <w:r>
        <w:rPr>
          <w:rFonts w:hint="eastAsia" w:cs="宋体" w:asciiTheme="minorEastAsia" w:hAnsiTheme="minorEastAsia" w:eastAsiaTheme="minorEastAsia"/>
          <w:sz w:val="24"/>
          <w:szCs w:val="24"/>
          <w:highlight w:val="none"/>
        </w:rPr>
        <w:t>（四舍五入保留两位小数）。</w:t>
      </w:r>
    </w:p>
    <w:p w14:paraId="783A71BD">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4.商务技术分按算术平均值计算，分值四舍五入保留两位小数。</w:t>
      </w:r>
    </w:p>
    <w:p w14:paraId="752A6734">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5.</w:t>
      </w:r>
      <w:r>
        <w:rPr>
          <w:rFonts w:hint="eastAsia" w:cs="宋体" w:asciiTheme="minorEastAsia" w:hAnsiTheme="minorEastAsia" w:eastAsiaTheme="minorEastAsia"/>
          <w:bCs/>
          <w:sz w:val="24"/>
          <w:szCs w:val="24"/>
          <w:highlight w:val="none"/>
        </w:rPr>
        <w:t>供应商价格部分和商务技术部分的合计分值，为该供应商的评审总得分</w:t>
      </w:r>
      <w:r>
        <w:rPr>
          <w:rFonts w:hint="eastAsia" w:cs="宋体" w:asciiTheme="minorEastAsia" w:hAnsiTheme="minorEastAsia" w:eastAsiaTheme="minorEastAsia"/>
          <w:sz w:val="24"/>
          <w:szCs w:val="24"/>
          <w:highlight w:val="none"/>
        </w:rPr>
        <w:t>（四舍五入保留两位小数）。</w:t>
      </w:r>
    </w:p>
    <w:p w14:paraId="76C6265B">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bCs/>
          <w:sz w:val="24"/>
          <w:szCs w:val="24"/>
          <w:highlight w:val="none"/>
        </w:rPr>
        <w:t>6.评委在认真审阅响应文件的基础上，根据各响应文件的响应程度独立评判，不得统一打分</w:t>
      </w:r>
      <w:r>
        <w:rPr>
          <w:rFonts w:hint="eastAsia" w:cs="宋体" w:asciiTheme="minorEastAsia" w:hAnsiTheme="minorEastAsia" w:eastAsiaTheme="minorEastAsia"/>
          <w:sz w:val="24"/>
          <w:szCs w:val="24"/>
          <w:highlight w:val="none"/>
        </w:rPr>
        <w:t>。</w:t>
      </w:r>
    </w:p>
    <w:p w14:paraId="2ABA63A0">
      <w:pPr>
        <w:spacing w:line="360" w:lineRule="auto"/>
        <w:ind w:firstLine="482"/>
        <w:jc w:val="left"/>
        <w:rPr>
          <w:rFonts w:hint="eastAsia" w:cs="宋体" w:asciiTheme="minorEastAsia" w:hAnsiTheme="minorEastAsia" w:eastAsiaTheme="minorEastAsia"/>
          <w:b/>
          <w:sz w:val="24"/>
          <w:szCs w:val="24"/>
          <w:highlight w:val="none"/>
        </w:rPr>
      </w:pPr>
      <w:r>
        <w:rPr>
          <w:rFonts w:hint="eastAsia" w:cs="宋体" w:asciiTheme="minorEastAsia" w:hAnsiTheme="minorEastAsia" w:eastAsiaTheme="minorEastAsia"/>
          <w:b/>
          <w:sz w:val="24"/>
          <w:szCs w:val="24"/>
          <w:highlight w:val="none"/>
        </w:rPr>
        <w:t>六、综合评分评审标准</w:t>
      </w:r>
    </w:p>
    <w:p w14:paraId="4B8CC0A0">
      <w:pPr>
        <w:spacing w:line="360" w:lineRule="auto"/>
        <w:ind w:firstLine="480"/>
        <w:rPr>
          <w:rFonts w:hint="eastAsia" w:cs="宋体" w:asciiTheme="minorEastAsia" w:hAnsiTheme="minorEastAsia" w:eastAsiaTheme="minorEastAsia"/>
          <w:b/>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b/>
          <w:color w:val="000000" w:themeColor="text1"/>
          <w:sz w:val="24"/>
          <w:szCs w:val="24"/>
          <w:highlight w:val="none"/>
          <w14:textFill>
            <w14:solidFill>
              <w14:schemeClr w14:val="tx1"/>
            </w14:solidFill>
          </w14:textFill>
        </w:rPr>
        <w:t>（一）商务技术分（85分）</w:t>
      </w:r>
    </w:p>
    <w:tbl>
      <w:tblPr>
        <w:tblStyle w:val="42"/>
        <w:tblW w:w="7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1134"/>
        <w:gridCol w:w="851"/>
        <w:gridCol w:w="5387"/>
      </w:tblGrid>
      <w:tr w14:paraId="61EB4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99" w:type="dxa"/>
          </w:tcPr>
          <w:p w14:paraId="71C6893F">
            <w:pPr>
              <w:spacing w:line="440" w:lineRule="exact"/>
              <w:jc w:val="center"/>
              <w:rPr>
                <w:rFonts w:hint="eastAsia" w:asciiTheme="minorEastAsia" w:hAnsiTheme="minorEastAsia" w:eastAsiaTheme="minorEastAsia"/>
                <w:b/>
                <w:bCs/>
                <w:sz w:val="24"/>
                <w:szCs w:val="24"/>
                <w:highlight w:val="none"/>
              </w:rPr>
            </w:pPr>
            <w:r>
              <w:rPr>
                <w:rFonts w:hint="eastAsia" w:asciiTheme="minorEastAsia" w:hAnsiTheme="minorEastAsia" w:eastAsiaTheme="minorEastAsia"/>
                <w:b/>
                <w:bCs/>
                <w:sz w:val="24"/>
                <w:szCs w:val="24"/>
                <w:highlight w:val="none"/>
              </w:rPr>
              <w:t>序号</w:t>
            </w:r>
          </w:p>
        </w:tc>
        <w:tc>
          <w:tcPr>
            <w:tcW w:w="1134" w:type="dxa"/>
            <w:vAlign w:val="center"/>
          </w:tcPr>
          <w:p w14:paraId="688C2EE5">
            <w:pPr>
              <w:spacing w:line="440" w:lineRule="exact"/>
              <w:jc w:val="center"/>
              <w:rPr>
                <w:rFonts w:hint="eastAsia" w:asciiTheme="minorEastAsia" w:hAnsiTheme="minorEastAsia" w:eastAsiaTheme="minorEastAsia"/>
                <w:b/>
                <w:bCs/>
                <w:sz w:val="24"/>
                <w:szCs w:val="24"/>
                <w:highlight w:val="none"/>
              </w:rPr>
            </w:pPr>
            <w:r>
              <w:rPr>
                <w:rFonts w:hint="eastAsia" w:asciiTheme="minorEastAsia" w:hAnsiTheme="minorEastAsia" w:eastAsiaTheme="minorEastAsia"/>
                <w:b/>
                <w:bCs/>
                <w:sz w:val="24"/>
                <w:szCs w:val="24"/>
                <w:highlight w:val="none"/>
              </w:rPr>
              <w:t>评分</w:t>
            </w:r>
          </w:p>
          <w:p w14:paraId="64EFEE84">
            <w:pPr>
              <w:spacing w:line="440" w:lineRule="exact"/>
              <w:jc w:val="center"/>
              <w:rPr>
                <w:rFonts w:hint="eastAsia" w:asciiTheme="minorEastAsia" w:hAnsiTheme="minorEastAsia" w:eastAsiaTheme="minorEastAsia"/>
                <w:b/>
                <w:bCs/>
                <w:sz w:val="24"/>
                <w:szCs w:val="24"/>
                <w:highlight w:val="none"/>
              </w:rPr>
            </w:pPr>
            <w:r>
              <w:rPr>
                <w:rFonts w:hint="eastAsia" w:asciiTheme="minorEastAsia" w:hAnsiTheme="minorEastAsia" w:eastAsiaTheme="minorEastAsia"/>
                <w:b/>
                <w:bCs/>
                <w:sz w:val="24"/>
                <w:szCs w:val="24"/>
                <w:highlight w:val="none"/>
              </w:rPr>
              <w:t>因素</w:t>
            </w:r>
          </w:p>
        </w:tc>
        <w:tc>
          <w:tcPr>
            <w:tcW w:w="851" w:type="dxa"/>
            <w:vAlign w:val="center"/>
          </w:tcPr>
          <w:p w14:paraId="639E2A4C">
            <w:pPr>
              <w:spacing w:line="440" w:lineRule="exact"/>
              <w:jc w:val="center"/>
              <w:rPr>
                <w:rFonts w:hint="eastAsia" w:asciiTheme="minorEastAsia" w:hAnsiTheme="minorEastAsia" w:eastAsiaTheme="minorEastAsia"/>
                <w:b/>
                <w:bCs/>
                <w:sz w:val="24"/>
                <w:szCs w:val="24"/>
                <w:highlight w:val="none"/>
              </w:rPr>
            </w:pPr>
            <w:r>
              <w:rPr>
                <w:rFonts w:hint="eastAsia" w:asciiTheme="minorEastAsia" w:hAnsiTheme="minorEastAsia" w:eastAsiaTheme="minorEastAsia"/>
                <w:b/>
                <w:bCs/>
                <w:sz w:val="24"/>
                <w:szCs w:val="24"/>
                <w:highlight w:val="none"/>
              </w:rPr>
              <w:t>分值</w:t>
            </w:r>
          </w:p>
        </w:tc>
        <w:tc>
          <w:tcPr>
            <w:tcW w:w="5387" w:type="dxa"/>
            <w:vAlign w:val="center"/>
          </w:tcPr>
          <w:p w14:paraId="45C99879">
            <w:pPr>
              <w:spacing w:line="440" w:lineRule="exact"/>
              <w:jc w:val="center"/>
              <w:rPr>
                <w:rFonts w:hint="eastAsia" w:asciiTheme="minorEastAsia" w:hAnsiTheme="minorEastAsia" w:eastAsiaTheme="minorEastAsia"/>
                <w:b/>
                <w:bCs/>
                <w:sz w:val="24"/>
                <w:szCs w:val="24"/>
                <w:highlight w:val="none"/>
              </w:rPr>
            </w:pPr>
            <w:r>
              <w:rPr>
                <w:rFonts w:hint="eastAsia" w:asciiTheme="minorEastAsia" w:hAnsiTheme="minorEastAsia" w:eastAsiaTheme="minorEastAsia"/>
                <w:b/>
                <w:bCs/>
                <w:sz w:val="24"/>
                <w:szCs w:val="24"/>
                <w:highlight w:val="none"/>
              </w:rPr>
              <w:t>评审标准</w:t>
            </w:r>
          </w:p>
        </w:tc>
      </w:tr>
      <w:tr w14:paraId="54BFB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jc w:val="center"/>
        </w:trPr>
        <w:tc>
          <w:tcPr>
            <w:tcW w:w="599" w:type="dxa"/>
            <w:vAlign w:val="center"/>
          </w:tcPr>
          <w:p w14:paraId="19CCACA7">
            <w:pPr>
              <w:spacing w:line="440" w:lineRule="exact"/>
              <w:jc w:val="center"/>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w:t>
            </w:r>
          </w:p>
        </w:tc>
        <w:tc>
          <w:tcPr>
            <w:tcW w:w="1134" w:type="dxa"/>
            <w:vAlign w:val="center"/>
          </w:tcPr>
          <w:p w14:paraId="5C083492">
            <w:pPr>
              <w:spacing w:line="360" w:lineRule="exact"/>
              <w:jc w:val="center"/>
              <w:rPr>
                <w:rFonts w:hint="eastAsia" w:asciiTheme="minorEastAsia" w:hAnsiTheme="minorEastAsia" w:eastAsiaTheme="minorEastAsia"/>
                <w:sz w:val="24"/>
                <w:szCs w:val="24"/>
                <w:highlight w:val="none"/>
              </w:rPr>
            </w:pPr>
            <w:r>
              <w:rPr>
                <w:rFonts w:hint="eastAsia" w:ascii="宋体" w:hAnsi="宋体" w:cs="宋体" w:eastAsiaTheme="minorEastAsia"/>
                <w:sz w:val="24"/>
                <w:highlight w:val="none"/>
              </w:rPr>
              <w:t>类似业绩</w:t>
            </w:r>
          </w:p>
        </w:tc>
        <w:tc>
          <w:tcPr>
            <w:tcW w:w="851" w:type="dxa"/>
            <w:vAlign w:val="center"/>
          </w:tcPr>
          <w:p w14:paraId="41D59DD4">
            <w:pPr>
              <w:spacing w:line="440" w:lineRule="exact"/>
              <w:jc w:val="center"/>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5分</w:t>
            </w:r>
          </w:p>
        </w:tc>
        <w:tc>
          <w:tcPr>
            <w:tcW w:w="5387" w:type="dxa"/>
            <w:vAlign w:val="center"/>
          </w:tcPr>
          <w:p w14:paraId="3B14B139">
            <w:pPr>
              <w:spacing w:line="360" w:lineRule="exact"/>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投标供应商提供自2021年1月1日以来至今完成过的同类业绩案例，每提供一个得1分，最高得5分。</w:t>
            </w:r>
          </w:p>
          <w:p w14:paraId="23DF9E11">
            <w:pPr>
              <w:spacing w:line="360" w:lineRule="exact"/>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注：响应文件中应同时提供项目业绩合同复印件（合同应包含合同首页、签字盖章页）和付款发票复印件或者中标通知书复印件。（缺项或漏项项目业绩不计分）</w:t>
            </w:r>
          </w:p>
        </w:tc>
      </w:tr>
      <w:tr w14:paraId="49285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599" w:type="dxa"/>
            <w:vAlign w:val="center"/>
          </w:tcPr>
          <w:p w14:paraId="5A7BC439">
            <w:pPr>
              <w:spacing w:line="440" w:lineRule="exact"/>
              <w:jc w:val="center"/>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w:t>
            </w:r>
          </w:p>
        </w:tc>
        <w:tc>
          <w:tcPr>
            <w:tcW w:w="1134" w:type="dxa"/>
            <w:vAlign w:val="center"/>
          </w:tcPr>
          <w:p w14:paraId="59239E9D">
            <w:pPr>
              <w:spacing w:line="360" w:lineRule="exact"/>
              <w:jc w:val="center"/>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企业资质</w:t>
            </w:r>
          </w:p>
        </w:tc>
        <w:tc>
          <w:tcPr>
            <w:tcW w:w="851" w:type="dxa"/>
            <w:vAlign w:val="center"/>
          </w:tcPr>
          <w:p w14:paraId="4688DA0E">
            <w:pPr>
              <w:spacing w:line="440" w:lineRule="exact"/>
              <w:jc w:val="center"/>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5分</w:t>
            </w:r>
          </w:p>
        </w:tc>
        <w:tc>
          <w:tcPr>
            <w:tcW w:w="5387" w:type="dxa"/>
            <w:vAlign w:val="center"/>
          </w:tcPr>
          <w:p w14:paraId="0B222FF1">
            <w:pPr>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投标供应商具备有效的古籍文献数据保护安全类软件著作权证书、古籍数字化加工管理类软件著作权证书、</w:t>
            </w:r>
            <w:r>
              <w:rPr>
                <w:rFonts w:hint="eastAsia" w:ascii="宋体" w:hAnsi="宋体" w:eastAsia="宋体" w:cs="宋体"/>
                <w:sz w:val="24"/>
                <w:highlight w:val="none"/>
                <w:lang w:val="en-US" w:eastAsia="zh-CN"/>
              </w:rPr>
              <w:t>筒子叶拼接软</w:t>
            </w:r>
            <w:r>
              <w:rPr>
                <w:rFonts w:hint="eastAsia" w:ascii="宋体" w:hAnsi="宋体" w:cs="宋体"/>
                <w:sz w:val="24"/>
                <w:highlight w:val="none"/>
                <w:lang w:val="en-US" w:eastAsia="zh-CN"/>
              </w:rPr>
              <w:t>件类著作权证书、数字孪生展馆管理类软件著作权证书、知识资源管理应用类软件著作权证书、古籍数字化修复检索分析软件著作权证书</w:t>
            </w:r>
            <w:r>
              <w:rPr>
                <w:rFonts w:hint="eastAsia" w:ascii="宋体" w:hAnsi="宋体" w:cs="宋体"/>
                <w:sz w:val="24"/>
                <w:highlight w:val="none"/>
                <w:lang w:eastAsia="zh-CN"/>
              </w:rPr>
              <w:t>。</w:t>
            </w:r>
            <w:r>
              <w:rPr>
                <w:rFonts w:hint="eastAsia" w:ascii="宋体" w:hAnsi="宋体" w:cs="宋体"/>
                <w:sz w:val="24"/>
                <w:highlight w:val="none"/>
              </w:rPr>
              <w:t>具有信息系统安全等级保护的三级等保证书、知识产权管理体系认证证书、3D文物展示平台软件著作权证书的、第三方安全评估报告，每提供一个得0.5分，此项满分5分。</w:t>
            </w:r>
          </w:p>
          <w:p w14:paraId="3995F6C2">
            <w:pPr>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注：提供有效期内的证书复印件，无效或示提供不得分。</w:t>
            </w:r>
          </w:p>
        </w:tc>
      </w:tr>
      <w:tr w14:paraId="07DC7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599" w:type="dxa"/>
            <w:vAlign w:val="center"/>
          </w:tcPr>
          <w:p w14:paraId="2ADA2A0A">
            <w:pPr>
              <w:spacing w:line="440" w:lineRule="exact"/>
              <w:jc w:val="center"/>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3</w:t>
            </w:r>
          </w:p>
        </w:tc>
        <w:tc>
          <w:tcPr>
            <w:tcW w:w="1134" w:type="dxa"/>
            <w:vAlign w:val="center"/>
          </w:tcPr>
          <w:p w14:paraId="0E8B7A6F">
            <w:pPr>
              <w:spacing w:line="360" w:lineRule="exact"/>
              <w:jc w:val="center"/>
              <w:rPr>
                <w:rFonts w:hint="eastAsia" w:asciiTheme="minorEastAsia" w:hAnsiTheme="minorEastAsia" w:eastAsiaTheme="minorEastAsia"/>
                <w:spacing w:val="-10"/>
                <w:sz w:val="24"/>
                <w:szCs w:val="24"/>
                <w:highlight w:val="none"/>
              </w:rPr>
            </w:pPr>
            <w:r>
              <w:rPr>
                <w:rFonts w:hint="eastAsia" w:asciiTheme="minorEastAsia" w:hAnsiTheme="minorEastAsia" w:eastAsiaTheme="minorEastAsia"/>
                <w:spacing w:val="-10"/>
                <w:sz w:val="24"/>
                <w:szCs w:val="24"/>
                <w:highlight w:val="none"/>
              </w:rPr>
              <w:t>项目需求指标响应</w:t>
            </w:r>
          </w:p>
        </w:tc>
        <w:tc>
          <w:tcPr>
            <w:tcW w:w="851" w:type="dxa"/>
            <w:vAlign w:val="center"/>
          </w:tcPr>
          <w:p w14:paraId="17E49BAA">
            <w:pPr>
              <w:spacing w:line="440" w:lineRule="exact"/>
              <w:jc w:val="center"/>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12分</w:t>
            </w:r>
          </w:p>
        </w:tc>
        <w:tc>
          <w:tcPr>
            <w:tcW w:w="5387" w:type="dxa"/>
            <w:vAlign w:val="center"/>
          </w:tcPr>
          <w:p w14:paraId="38348A19">
            <w:pPr>
              <w:spacing w:line="440" w:lineRule="exact"/>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评委根据供应商投标文件中提供的《技术要求响应及偏离表》和《商务要求响应及偏离表》响应及偏离情况进行评审：</w:t>
            </w:r>
          </w:p>
          <w:p w14:paraId="52A2A38B">
            <w:pPr>
              <w:spacing w:line="440" w:lineRule="exact"/>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（1）投标人全部满足文件“第三章 项目需求”要求，响应情况为无偏离或正偏离的得满分12分。</w:t>
            </w:r>
          </w:p>
          <w:p w14:paraId="4468E9C2">
            <w:pPr>
              <w:spacing w:line="440" w:lineRule="exact"/>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（2）招标文件“第三章 项目需求”中带“▲”项要求为重要技术要求，有一项负偏离扣1分；非带“▲”项，每有一项负偏离扣0.5分，满分12分，扣完为止。</w:t>
            </w:r>
          </w:p>
        </w:tc>
      </w:tr>
      <w:tr w14:paraId="11FD0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atLeast"/>
          <w:jc w:val="center"/>
        </w:trPr>
        <w:tc>
          <w:tcPr>
            <w:tcW w:w="599" w:type="dxa"/>
            <w:vAlign w:val="center"/>
          </w:tcPr>
          <w:p w14:paraId="30E582F3">
            <w:pPr>
              <w:spacing w:line="440" w:lineRule="exact"/>
              <w:jc w:val="center"/>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4</w:t>
            </w:r>
          </w:p>
          <w:p w14:paraId="6FDD623E">
            <w:pPr>
              <w:spacing w:line="440" w:lineRule="exact"/>
              <w:jc w:val="center"/>
              <w:rPr>
                <w:rFonts w:hint="eastAsia" w:asciiTheme="minorEastAsia" w:hAnsiTheme="minorEastAsia" w:eastAsiaTheme="minorEastAsia"/>
                <w:sz w:val="24"/>
                <w:szCs w:val="24"/>
                <w:highlight w:val="none"/>
              </w:rPr>
            </w:pPr>
          </w:p>
        </w:tc>
        <w:tc>
          <w:tcPr>
            <w:tcW w:w="1134" w:type="dxa"/>
            <w:vAlign w:val="center"/>
          </w:tcPr>
          <w:p w14:paraId="1B0EC6AF">
            <w:pPr>
              <w:spacing w:line="440" w:lineRule="exact"/>
              <w:jc w:val="center"/>
              <w:rPr>
                <w:rFonts w:hint="eastAsia" w:cs="宋体"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人员团队</w:t>
            </w:r>
          </w:p>
        </w:tc>
        <w:tc>
          <w:tcPr>
            <w:tcW w:w="851" w:type="dxa"/>
            <w:vAlign w:val="center"/>
          </w:tcPr>
          <w:p w14:paraId="20E8D941">
            <w:pPr>
              <w:spacing w:line="440" w:lineRule="exact"/>
              <w:jc w:val="center"/>
              <w:rPr>
                <w:rFonts w:hint="eastAsia" w:asciiTheme="minorEastAsia" w:hAnsiTheme="minorEastAsia" w:eastAsiaTheme="minorEastAsia"/>
                <w:sz w:val="24"/>
                <w:szCs w:val="24"/>
                <w:highlight w:val="none"/>
              </w:rPr>
            </w:pPr>
          </w:p>
        </w:tc>
        <w:tc>
          <w:tcPr>
            <w:tcW w:w="5387" w:type="dxa"/>
            <w:vMerge w:val="restart"/>
            <w:vAlign w:val="center"/>
          </w:tcPr>
          <w:p w14:paraId="1FE35680">
            <w:pPr>
              <w:spacing w:line="440" w:lineRule="exact"/>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1、本项目拟派项目负责人具有政府机构颁发的图书类专业资格副研究员及以上职称的得3分。</w:t>
            </w:r>
          </w:p>
          <w:p w14:paraId="6F7A35B4">
            <w:pPr>
              <w:spacing w:line="440" w:lineRule="exact"/>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 xml:space="preserve">注：投标供应商应提供以下全部证明材料，缺项或漏项不得分：a、投标供应商提供项目负责人的职称证书复印件（包含但不限于个人工作简历、参与项目履约合同等）；b、投标供应商提供为项目负责人缴纳的近三个月内（2024年10月-12月）任意1个月的社保证明材料。（如项目负责人为退休返聘人员，应提供退休返聘劳动合同和近三个月内（2024年10月-12月）任意1个月的企业账户支付工资证明材料。 </w:t>
            </w:r>
          </w:p>
          <w:p w14:paraId="3E6B25FD">
            <w:pPr>
              <w:pStyle w:val="41"/>
              <w:spacing w:after="0" w:line="360" w:lineRule="auto"/>
              <w:ind w:left="0" w:firstLine="240" w:firstLineChars="100"/>
              <w:rPr>
                <w:rFonts w:hint="eastAsia" w:asciiTheme="minorEastAsia" w:hAnsiTheme="minorEastAsia"/>
                <w:sz w:val="24"/>
                <w:highlight w:val="none"/>
              </w:rPr>
            </w:pPr>
            <w:r>
              <w:rPr>
                <w:rFonts w:hint="eastAsia" w:asciiTheme="minorEastAsia" w:hAnsiTheme="minorEastAsia"/>
                <w:sz w:val="24"/>
                <w:highlight w:val="none"/>
              </w:rPr>
              <w:t>2、拟派项目成员（不含拟派项目负责人）满足下列条件：</w:t>
            </w:r>
            <w:bookmarkStart w:id="113" w:name="_GoBack"/>
            <w:bookmarkEnd w:id="113"/>
          </w:p>
          <w:p w14:paraId="2F9D2E75">
            <w:pPr>
              <w:pStyle w:val="41"/>
              <w:spacing w:after="0" w:line="360" w:lineRule="auto"/>
              <w:ind w:left="0" w:firstLine="0"/>
              <w:rPr>
                <w:rFonts w:hint="eastAsia" w:asciiTheme="minorEastAsia" w:hAnsiTheme="minorEastAsia"/>
                <w:sz w:val="24"/>
                <w:highlight w:val="none"/>
              </w:rPr>
            </w:pPr>
            <w:r>
              <w:rPr>
                <w:rFonts w:hint="eastAsia" w:asciiTheme="minorEastAsia" w:hAnsiTheme="minorEastAsia"/>
                <w:sz w:val="24"/>
                <w:highlight w:val="none"/>
              </w:rPr>
              <w:t>（1）项目团队成员具备计算机类中级及以上职称。每提供一个得0.5分，最高得1分；</w:t>
            </w:r>
          </w:p>
          <w:p w14:paraId="3C0C0649">
            <w:pPr>
              <w:pStyle w:val="41"/>
              <w:spacing w:after="0" w:line="360" w:lineRule="auto"/>
              <w:ind w:left="0" w:firstLine="0"/>
              <w:rPr>
                <w:rFonts w:hint="eastAsia" w:asciiTheme="minorEastAsia" w:hAnsiTheme="minorEastAsia"/>
                <w:sz w:val="24"/>
                <w:highlight w:val="none"/>
              </w:rPr>
            </w:pPr>
            <w:r>
              <w:rPr>
                <w:rFonts w:hint="eastAsia" w:asciiTheme="minorEastAsia" w:hAnsiTheme="minorEastAsia"/>
                <w:sz w:val="24"/>
                <w:highlight w:val="none"/>
              </w:rPr>
              <w:t>（2）项目团队成员拥有</w:t>
            </w:r>
            <w:bookmarkStart w:id="109" w:name="OLE_LINK2"/>
            <w:r>
              <w:rPr>
                <w:rFonts w:hint="eastAsia" w:asciiTheme="minorEastAsia" w:hAnsiTheme="minorEastAsia"/>
                <w:sz w:val="24"/>
                <w:highlight w:val="none"/>
              </w:rPr>
              <w:t>国家图书馆培训中心</w:t>
            </w:r>
            <w:bookmarkEnd w:id="109"/>
            <w:r>
              <w:rPr>
                <w:rFonts w:hint="eastAsia" w:asciiTheme="minorEastAsia" w:hAnsiTheme="minorEastAsia"/>
                <w:sz w:val="24"/>
                <w:highlight w:val="none"/>
              </w:rPr>
              <w:t>颁发的图书文献编目</w:t>
            </w:r>
            <w:bookmarkStart w:id="110" w:name="OLE_LINK4"/>
            <w:r>
              <w:rPr>
                <w:rFonts w:hint="eastAsia" w:asciiTheme="minorEastAsia" w:hAnsiTheme="minorEastAsia"/>
                <w:sz w:val="24"/>
                <w:highlight w:val="none"/>
              </w:rPr>
              <w:t>证书或</w:t>
            </w:r>
            <w:bookmarkEnd w:id="110"/>
            <w:r>
              <w:rPr>
                <w:rFonts w:hint="eastAsia" w:asciiTheme="minorEastAsia" w:hAnsiTheme="minorEastAsia"/>
                <w:sz w:val="24"/>
                <w:highlight w:val="none"/>
              </w:rPr>
              <w:t>拥有国家古籍保护中心或江苏省古籍保护中心颁发的古籍工作类培训证书。每提供一个得0.1分，最高得2分；</w:t>
            </w:r>
          </w:p>
          <w:p w14:paraId="3459F8CF">
            <w:pPr>
              <w:pStyle w:val="41"/>
              <w:spacing w:after="0" w:line="360" w:lineRule="auto"/>
              <w:ind w:left="0" w:firstLine="240" w:firstLineChars="100"/>
              <w:rPr>
                <w:rFonts w:hint="eastAsia" w:asciiTheme="minorEastAsia" w:hAnsiTheme="minorEastAsia"/>
                <w:sz w:val="24"/>
                <w:highlight w:val="none"/>
              </w:rPr>
            </w:pPr>
            <w:r>
              <w:rPr>
                <w:rFonts w:hint="eastAsia" w:asciiTheme="minorEastAsia" w:hAnsiTheme="minorEastAsia"/>
                <w:sz w:val="24"/>
                <w:highlight w:val="none"/>
              </w:rPr>
              <w:t>3、项目团队成员具备PMP项目经理资格认证的，每提供1个，得1分；</w:t>
            </w:r>
          </w:p>
          <w:p w14:paraId="7AAAF251">
            <w:pPr>
              <w:pStyle w:val="41"/>
              <w:spacing w:after="0" w:line="360" w:lineRule="auto"/>
              <w:ind w:left="0" w:firstLine="0"/>
              <w:rPr>
                <w:rFonts w:hint="eastAsia" w:asciiTheme="minorEastAsia" w:hAnsiTheme="minorEastAsia"/>
                <w:sz w:val="24"/>
                <w:highlight w:val="none"/>
              </w:rPr>
            </w:pPr>
            <w:r>
              <w:rPr>
                <w:rFonts w:hint="eastAsia" w:asciiTheme="minorEastAsia" w:hAnsiTheme="minorEastAsia"/>
                <w:sz w:val="24"/>
                <w:highlight w:val="none"/>
              </w:rPr>
              <w:t>注：投标供应商需提供以上拟派项目团队成员的职称证书或相应技能证书复印件和投标供应商为项目团队成员缴纳的</w:t>
            </w:r>
            <w:r>
              <w:rPr>
                <w:rFonts w:hint="eastAsia" w:cs="宋体" w:asciiTheme="minorEastAsia" w:hAnsiTheme="minorEastAsia" w:eastAsiaTheme="minorEastAsia"/>
                <w:sz w:val="24"/>
                <w:highlight w:val="none"/>
              </w:rPr>
              <w:t>近三个月内（2024年10月-12月）任意1个月的社保证明材料</w:t>
            </w:r>
            <w:r>
              <w:rPr>
                <w:rFonts w:hint="eastAsia" w:asciiTheme="minorEastAsia" w:hAnsiTheme="minorEastAsia"/>
                <w:sz w:val="24"/>
                <w:highlight w:val="none"/>
              </w:rPr>
              <w:t>。</w:t>
            </w:r>
          </w:p>
          <w:p w14:paraId="0B1EF475">
            <w:pPr>
              <w:pStyle w:val="41"/>
              <w:spacing w:after="0" w:line="360" w:lineRule="auto"/>
              <w:ind w:left="0" w:firstLine="240" w:firstLineChars="100"/>
              <w:rPr>
                <w:rFonts w:hint="eastAsia" w:asciiTheme="minorEastAsia" w:hAnsiTheme="minorEastAsia"/>
                <w:sz w:val="24"/>
                <w:highlight w:val="none"/>
              </w:rPr>
            </w:pPr>
            <w:r>
              <w:rPr>
                <w:rFonts w:hint="eastAsia" w:asciiTheme="minorEastAsia" w:hAnsiTheme="minorEastAsia"/>
                <w:sz w:val="24"/>
                <w:highlight w:val="none"/>
              </w:rPr>
              <w:t>4、拟派项目团队成员数量在满足24人的基础上，每增加一人得0.5分且具有全国图书馆联合编目中心资格证书。此项满分3分。</w:t>
            </w:r>
          </w:p>
          <w:p w14:paraId="3D94D6B0">
            <w:pPr>
              <w:pStyle w:val="41"/>
              <w:spacing w:after="0" w:line="360" w:lineRule="auto"/>
              <w:ind w:left="0" w:firstLine="480" w:firstLineChars="200"/>
              <w:rPr>
                <w:highlight w:val="none"/>
              </w:rPr>
            </w:pPr>
            <w:r>
              <w:rPr>
                <w:rFonts w:hint="eastAsia" w:asciiTheme="minorEastAsia" w:hAnsiTheme="minorEastAsia"/>
                <w:sz w:val="24"/>
                <w:highlight w:val="none"/>
              </w:rPr>
              <w:t>注：应在响应文件中提供人员配备一览表。未在人员配备一览表中列明的成员，不计分。且还需投标供应商为拟派项目团队所有成员缴纳的近三个月内（2024年10月-12月）任意1个月的社保证明材料。</w:t>
            </w:r>
          </w:p>
        </w:tc>
      </w:tr>
      <w:tr w14:paraId="68B2C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599" w:type="dxa"/>
            <w:vAlign w:val="center"/>
          </w:tcPr>
          <w:p w14:paraId="323E6D82">
            <w:pPr>
              <w:spacing w:line="440" w:lineRule="exact"/>
              <w:jc w:val="center"/>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6</w:t>
            </w:r>
          </w:p>
        </w:tc>
        <w:tc>
          <w:tcPr>
            <w:tcW w:w="1134" w:type="dxa"/>
            <w:vAlign w:val="center"/>
          </w:tcPr>
          <w:p w14:paraId="1FFBDA5D">
            <w:pPr>
              <w:spacing w:line="440" w:lineRule="exact"/>
              <w:jc w:val="center"/>
              <w:rPr>
                <w:rFonts w:hint="eastAsia" w:cs="宋体" w:asciiTheme="minorEastAsia" w:hAnsiTheme="minorEastAsia" w:eastAsiaTheme="minorEastAsia"/>
                <w:sz w:val="24"/>
                <w:szCs w:val="24"/>
                <w:highlight w:val="none"/>
              </w:rPr>
            </w:pPr>
          </w:p>
        </w:tc>
        <w:tc>
          <w:tcPr>
            <w:tcW w:w="851" w:type="dxa"/>
            <w:vAlign w:val="center"/>
          </w:tcPr>
          <w:p w14:paraId="1BF4D5DD">
            <w:pPr>
              <w:spacing w:line="440" w:lineRule="exact"/>
              <w:jc w:val="center"/>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10分</w:t>
            </w:r>
          </w:p>
        </w:tc>
        <w:tc>
          <w:tcPr>
            <w:tcW w:w="5387" w:type="dxa"/>
            <w:vMerge w:val="continue"/>
            <w:vAlign w:val="center"/>
          </w:tcPr>
          <w:p w14:paraId="1ABD3BFB">
            <w:pPr>
              <w:pStyle w:val="41"/>
              <w:spacing w:after="0" w:line="360" w:lineRule="auto"/>
              <w:ind w:left="0" w:firstLine="420" w:firstLineChars="200"/>
              <w:rPr>
                <w:highlight w:val="none"/>
              </w:rPr>
            </w:pPr>
          </w:p>
        </w:tc>
      </w:tr>
      <w:tr w14:paraId="78E02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599" w:type="dxa"/>
            <w:vAlign w:val="center"/>
          </w:tcPr>
          <w:p w14:paraId="2D2D3F88">
            <w:pPr>
              <w:spacing w:line="440" w:lineRule="exact"/>
              <w:jc w:val="center"/>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7</w:t>
            </w:r>
          </w:p>
        </w:tc>
        <w:tc>
          <w:tcPr>
            <w:tcW w:w="1134" w:type="dxa"/>
            <w:vAlign w:val="center"/>
          </w:tcPr>
          <w:p w14:paraId="3BEB1A59">
            <w:pPr>
              <w:spacing w:line="440" w:lineRule="exact"/>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拟投入扫描仪设备</w:t>
            </w:r>
          </w:p>
        </w:tc>
        <w:tc>
          <w:tcPr>
            <w:tcW w:w="851" w:type="dxa"/>
            <w:vAlign w:val="center"/>
          </w:tcPr>
          <w:p w14:paraId="455EAF49">
            <w:pPr>
              <w:spacing w:line="440" w:lineRule="exact"/>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4分</w:t>
            </w:r>
          </w:p>
        </w:tc>
        <w:tc>
          <w:tcPr>
            <w:tcW w:w="5387" w:type="dxa"/>
            <w:vAlign w:val="center"/>
          </w:tcPr>
          <w:p w14:paraId="5C774D06">
            <w:pPr>
              <w:spacing w:line="440" w:lineRule="exact"/>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投标供应商拟投入本项目中使用的专用非接触式书刊类扫描仪，每提供一台得0.2分，此项满分4分。</w:t>
            </w:r>
          </w:p>
          <w:p w14:paraId="67D2C049">
            <w:pPr>
              <w:spacing w:line="440" w:lineRule="exact"/>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注：应提供以下证明材料，缺项或漏项对应扫描仪不计分：</w:t>
            </w:r>
          </w:p>
          <w:p w14:paraId="1B2799F2">
            <w:pPr>
              <w:spacing w:line="440" w:lineRule="exact"/>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①提供扫描仪设备配备一览表（包含但不限于产品名称、规格型号、技术参数、数量等）。</w:t>
            </w:r>
          </w:p>
          <w:p w14:paraId="5949A231">
            <w:pPr>
              <w:spacing w:line="440" w:lineRule="exact"/>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②提供扫描仪采购发票复印件（发票购买者名称应与投标人企业名称、税号一致；扫描仪发票产品型号规格应与对应设备一致）；如产品设备为租赁的，应同时提供租赁合同复印件和出租方购买设备发票复印件（发票购买者名称应与出租方名称、税号一致；扫描仪发票产品型号规格应与对应设备一致）。</w:t>
            </w:r>
          </w:p>
        </w:tc>
      </w:tr>
      <w:tr w14:paraId="401DA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599" w:type="dxa"/>
            <w:vAlign w:val="center"/>
          </w:tcPr>
          <w:p w14:paraId="49DFF992">
            <w:pPr>
              <w:spacing w:line="440" w:lineRule="exact"/>
              <w:jc w:val="center"/>
              <w:rPr>
                <w:rFonts w:hint="eastAsia" w:asciiTheme="minorEastAsia" w:hAnsiTheme="minorEastAsia" w:eastAsiaTheme="minorEastAsia"/>
                <w:sz w:val="24"/>
                <w:szCs w:val="24"/>
                <w:highlight w:val="none"/>
              </w:rPr>
            </w:pPr>
          </w:p>
        </w:tc>
        <w:tc>
          <w:tcPr>
            <w:tcW w:w="1134" w:type="dxa"/>
            <w:vAlign w:val="center"/>
          </w:tcPr>
          <w:p w14:paraId="3076448F">
            <w:pPr>
              <w:spacing w:line="440" w:lineRule="exact"/>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项目实施方案</w:t>
            </w:r>
          </w:p>
        </w:tc>
        <w:tc>
          <w:tcPr>
            <w:tcW w:w="851" w:type="dxa"/>
            <w:vAlign w:val="center"/>
          </w:tcPr>
          <w:p w14:paraId="4430F8B7">
            <w:pPr>
              <w:spacing w:line="440" w:lineRule="exact"/>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9分</w:t>
            </w:r>
          </w:p>
        </w:tc>
        <w:tc>
          <w:tcPr>
            <w:tcW w:w="5387" w:type="dxa"/>
            <w:vAlign w:val="center"/>
          </w:tcPr>
          <w:p w14:paraId="25C26B5C">
            <w:pPr>
              <w:spacing w:line="440" w:lineRule="exact"/>
              <w:ind w:firstLine="480" w:firstLineChars="20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投标供应商提供对本项目的实施方案包括a、组织管理、实施进度计划；（3分）b、加工流程规范、数据校验、古籍数字化利用、统一检索功能；（3分）c、制定本项目完善的质量管控方案，包含：项目各阶段质量管控重点划分，控制措施等等；（3分）</w:t>
            </w:r>
          </w:p>
          <w:p w14:paraId="2E9D6AF6">
            <w:pPr>
              <w:spacing w:line="440" w:lineRule="exact"/>
              <w:ind w:firstLine="240" w:firstLineChars="10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投标供应商应在响应文件中设置专节来对上述内容作出响应性说明，每缺一项说明扣相应分值，评标委员会根据项目的实施需求和各投标人提供的方案进行综合对比，对每项中出现一处不完善或不合理扣减1分，直至扣完为止。（注： 以上所述错误是项目名称、实施地点、时间、涉及的规范、标准与本项目要求不一致；瑕疵是指：内容不完整或缺少关键节点、内容前后矛盾、套用其他方案、内容阐述与实际情况不符、不利于项目实施、不可能实现的情形、存在与本项目无关的内容描述或内容过于简略、对本项目的理解不准确等）</w:t>
            </w:r>
          </w:p>
          <w:p w14:paraId="681D1E3B">
            <w:pPr>
              <w:spacing w:line="440" w:lineRule="exact"/>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未提供方案不得分。</w:t>
            </w:r>
          </w:p>
        </w:tc>
      </w:tr>
      <w:tr w14:paraId="72720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599" w:type="dxa"/>
            <w:vAlign w:val="center"/>
          </w:tcPr>
          <w:p w14:paraId="4C88AFD9">
            <w:pPr>
              <w:spacing w:line="440" w:lineRule="exact"/>
              <w:jc w:val="center"/>
              <w:rPr>
                <w:rFonts w:hint="eastAsia" w:asciiTheme="minorEastAsia" w:hAnsiTheme="minorEastAsia" w:eastAsiaTheme="minorEastAsia"/>
                <w:sz w:val="24"/>
                <w:szCs w:val="24"/>
                <w:highlight w:val="none"/>
              </w:rPr>
            </w:pPr>
          </w:p>
        </w:tc>
        <w:tc>
          <w:tcPr>
            <w:tcW w:w="1134" w:type="dxa"/>
            <w:vAlign w:val="center"/>
          </w:tcPr>
          <w:p w14:paraId="32CEF8A4">
            <w:pPr>
              <w:spacing w:line="440" w:lineRule="exact"/>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培训方案</w:t>
            </w:r>
          </w:p>
        </w:tc>
        <w:tc>
          <w:tcPr>
            <w:tcW w:w="851" w:type="dxa"/>
            <w:vAlign w:val="center"/>
          </w:tcPr>
          <w:p w14:paraId="49257921">
            <w:pPr>
              <w:spacing w:line="440" w:lineRule="exact"/>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6分</w:t>
            </w:r>
          </w:p>
        </w:tc>
        <w:tc>
          <w:tcPr>
            <w:tcW w:w="5387" w:type="dxa"/>
            <w:vAlign w:val="center"/>
          </w:tcPr>
          <w:p w14:paraId="3DA4C0C1">
            <w:pPr>
              <w:spacing w:line="440" w:lineRule="exact"/>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 xml:space="preserve">投标供应商提供对本项目提供培训方案包含：针对本项目制订的培训内容、培训方法、培训相关材料、培训计划按排、评估和反馈、合规性等。（6分） </w:t>
            </w:r>
          </w:p>
          <w:p w14:paraId="748376D0">
            <w:pPr>
              <w:spacing w:line="440" w:lineRule="exact"/>
              <w:ind w:firstLine="480" w:firstLineChars="20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投标供应商应在响应文件中设置专节来对上述内容作出响应性说明，每缺一项说明扣相应分值，评标委员会根据项目的实施需求和各投标人提供的方案进行综合对比，对每项中出现一处不完善或不合理扣减1分，直至扣完为止。</w:t>
            </w:r>
          </w:p>
        </w:tc>
      </w:tr>
      <w:tr w14:paraId="66010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599" w:type="dxa"/>
            <w:vAlign w:val="center"/>
          </w:tcPr>
          <w:p w14:paraId="1C7A4F8A">
            <w:pPr>
              <w:spacing w:line="440" w:lineRule="exact"/>
              <w:jc w:val="center"/>
              <w:rPr>
                <w:rFonts w:hint="eastAsia" w:asciiTheme="minorEastAsia" w:hAnsiTheme="minorEastAsia" w:eastAsiaTheme="minorEastAsia"/>
                <w:sz w:val="24"/>
                <w:szCs w:val="24"/>
                <w:highlight w:val="none"/>
              </w:rPr>
            </w:pPr>
          </w:p>
        </w:tc>
        <w:tc>
          <w:tcPr>
            <w:tcW w:w="1134" w:type="dxa"/>
            <w:vAlign w:val="center"/>
          </w:tcPr>
          <w:p w14:paraId="1B4A307C">
            <w:pPr>
              <w:spacing w:line="440" w:lineRule="exact"/>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数据安全保障方案</w:t>
            </w:r>
          </w:p>
        </w:tc>
        <w:tc>
          <w:tcPr>
            <w:tcW w:w="851" w:type="dxa"/>
            <w:vAlign w:val="center"/>
          </w:tcPr>
          <w:p w14:paraId="0832C63D">
            <w:pPr>
              <w:spacing w:line="440" w:lineRule="exact"/>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10分</w:t>
            </w:r>
          </w:p>
        </w:tc>
        <w:tc>
          <w:tcPr>
            <w:tcW w:w="5387" w:type="dxa"/>
            <w:vAlign w:val="center"/>
          </w:tcPr>
          <w:p w14:paraId="1EEBC6B0">
            <w:pPr>
              <w:spacing w:line="440" w:lineRule="exact"/>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投标供应商提供对本项目的数据安全使用方案，包括：a、对数据加工和使用的安全性、数据分类能力和风险评估古籍数字化利用、统一检索功能；（4分）b、数据加密技术、数据备份和恢复策略、网络安全策略、安全保障软硬件工具和设备。（4分）</w:t>
            </w:r>
          </w:p>
          <w:p w14:paraId="56320E13">
            <w:pPr>
              <w:spacing w:line="440" w:lineRule="exact"/>
              <w:ind w:firstLine="480" w:firstLineChars="20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投标供应商应在响应文件中设置专节来对上述内容作出响应性说明，每缺一项说明扣相应分值，评标委员会根据项目的实施需求和各投标人提供的方案进行综合对比，对每项中出现一处不完善或不合理扣减1分，直至扣完为止。</w:t>
            </w:r>
          </w:p>
          <w:p w14:paraId="5952DB53">
            <w:pPr>
              <w:numPr>
                <w:ilvl w:val="0"/>
                <w:numId w:val="1"/>
              </w:numPr>
              <w:spacing w:line="440" w:lineRule="exact"/>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投标供应商具有国家颁发的涉密档案数字化加工资格证书的，得2分。未提供不得分。</w:t>
            </w:r>
          </w:p>
          <w:p w14:paraId="5AB4D29F">
            <w:pPr>
              <w:spacing w:line="440" w:lineRule="exact"/>
              <w:ind w:firstLine="480" w:firstLineChars="20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提供证书扫描件或复印件。</w:t>
            </w:r>
          </w:p>
        </w:tc>
      </w:tr>
      <w:tr w14:paraId="10B23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599" w:type="dxa"/>
            <w:vAlign w:val="center"/>
          </w:tcPr>
          <w:p w14:paraId="50274999">
            <w:pPr>
              <w:spacing w:line="440" w:lineRule="exact"/>
              <w:jc w:val="center"/>
              <w:rPr>
                <w:rFonts w:hint="eastAsia" w:asciiTheme="minorEastAsia" w:hAnsiTheme="minorEastAsia" w:eastAsiaTheme="minorEastAsia"/>
                <w:sz w:val="24"/>
                <w:szCs w:val="24"/>
                <w:highlight w:val="none"/>
              </w:rPr>
            </w:pPr>
          </w:p>
        </w:tc>
        <w:tc>
          <w:tcPr>
            <w:tcW w:w="1134" w:type="dxa"/>
            <w:vAlign w:val="center"/>
          </w:tcPr>
          <w:p w14:paraId="0E3F4754">
            <w:pPr>
              <w:spacing w:line="440" w:lineRule="exact"/>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售后方案</w:t>
            </w:r>
          </w:p>
        </w:tc>
        <w:tc>
          <w:tcPr>
            <w:tcW w:w="851" w:type="dxa"/>
            <w:vAlign w:val="center"/>
          </w:tcPr>
          <w:p w14:paraId="2CA025B4">
            <w:pPr>
              <w:spacing w:line="440" w:lineRule="exact"/>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6分</w:t>
            </w:r>
          </w:p>
        </w:tc>
        <w:tc>
          <w:tcPr>
            <w:tcW w:w="5387" w:type="dxa"/>
            <w:vAlign w:val="center"/>
          </w:tcPr>
          <w:p w14:paraId="16D3291C">
            <w:pPr>
              <w:spacing w:line="440" w:lineRule="exact"/>
              <w:ind w:firstLine="240" w:firstLineChars="10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1、投标供应商提供对本项目的售后方案，包括：</w:t>
            </w:r>
            <w:r>
              <w:rPr>
                <w:rFonts w:hint="eastAsia" w:asciiTheme="minorEastAsia" w:hAnsiTheme="minorEastAsia" w:eastAsiaTheme="minorEastAsia"/>
                <w:sz w:val="24"/>
                <w:szCs w:val="24"/>
                <w:highlight w:val="none"/>
              </w:rPr>
              <w:fldChar w:fldCharType="begin"/>
            </w:r>
            <w:r>
              <w:rPr>
                <w:rFonts w:hint="eastAsia" w:asciiTheme="minorEastAsia" w:hAnsiTheme="minorEastAsia" w:eastAsiaTheme="minorEastAsia"/>
                <w:sz w:val="24"/>
                <w:szCs w:val="24"/>
                <w:highlight w:val="none"/>
              </w:rPr>
              <w:instrText xml:space="preserve"> = 1 \* GB3 </w:instrText>
            </w:r>
            <w:r>
              <w:rPr>
                <w:rFonts w:hint="eastAsia" w:asciiTheme="minorEastAsia" w:hAnsiTheme="minorEastAsia" w:eastAsiaTheme="minorEastAsia"/>
                <w:sz w:val="24"/>
                <w:szCs w:val="24"/>
                <w:highlight w:val="none"/>
              </w:rPr>
              <w:fldChar w:fldCharType="separate"/>
            </w:r>
            <w:r>
              <w:rPr>
                <w:rFonts w:hint="eastAsia" w:asciiTheme="minorEastAsia" w:hAnsiTheme="minorEastAsia" w:eastAsiaTheme="minorEastAsia"/>
                <w:sz w:val="24"/>
                <w:szCs w:val="24"/>
                <w:highlight w:val="none"/>
              </w:rPr>
              <w:t>①</w:t>
            </w:r>
            <w:r>
              <w:rPr>
                <w:rFonts w:hint="eastAsia" w:asciiTheme="minorEastAsia" w:hAnsiTheme="minorEastAsia" w:eastAsiaTheme="minorEastAsia"/>
                <w:sz w:val="24"/>
                <w:szCs w:val="24"/>
                <w:highlight w:val="none"/>
              </w:rPr>
              <w:fldChar w:fldCharType="end"/>
            </w:r>
            <w:r>
              <w:rPr>
                <w:rFonts w:hint="eastAsia" w:asciiTheme="minorEastAsia" w:hAnsiTheme="minorEastAsia" w:eastAsiaTheme="minorEastAsia"/>
                <w:sz w:val="24"/>
                <w:szCs w:val="24"/>
                <w:highlight w:val="none"/>
              </w:rPr>
              <w:t>售后服务内容（提供古籍数字化成果线上宣传推广方案和古籍数字化利用线下宣传推广方案，包括活动开展形式、流程、预期效果。）</w:t>
            </w:r>
            <w:r>
              <w:rPr>
                <w:rFonts w:hint="eastAsia" w:asciiTheme="minorEastAsia" w:hAnsiTheme="minorEastAsia" w:eastAsiaTheme="minorEastAsia"/>
                <w:sz w:val="24"/>
                <w:szCs w:val="24"/>
                <w:highlight w:val="none"/>
              </w:rPr>
              <w:fldChar w:fldCharType="begin"/>
            </w:r>
            <w:r>
              <w:rPr>
                <w:rFonts w:hint="eastAsia" w:asciiTheme="minorEastAsia" w:hAnsiTheme="minorEastAsia" w:eastAsiaTheme="minorEastAsia"/>
                <w:sz w:val="24"/>
                <w:szCs w:val="24"/>
                <w:highlight w:val="none"/>
              </w:rPr>
              <w:instrText xml:space="preserve"> = 2 \* GB3 </w:instrText>
            </w:r>
            <w:r>
              <w:rPr>
                <w:rFonts w:hint="eastAsia" w:asciiTheme="minorEastAsia" w:hAnsiTheme="minorEastAsia" w:eastAsiaTheme="minorEastAsia"/>
                <w:sz w:val="24"/>
                <w:szCs w:val="24"/>
                <w:highlight w:val="none"/>
              </w:rPr>
              <w:fldChar w:fldCharType="separate"/>
            </w:r>
            <w:r>
              <w:rPr>
                <w:rFonts w:hint="eastAsia" w:asciiTheme="minorEastAsia" w:hAnsiTheme="minorEastAsia" w:eastAsiaTheme="minorEastAsia"/>
                <w:sz w:val="24"/>
                <w:szCs w:val="24"/>
                <w:highlight w:val="none"/>
              </w:rPr>
              <w:t>②</w:t>
            </w:r>
            <w:r>
              <w:rPr>
                <w:rFonts w:hint="eastAsia" w:asciiTheme="minorEastAsia" w:hAnsiTheme="minorEastAsia" w:eastAsiaTheme="minorEastAsia"/>
                <w:sz w:val="24"/>
                <w:szCs w:val="24"/>
                <w:highlight w:val="none"/>
              </w:rPr>
              <w:fldChar w:fldCharType="end"/>
            </w:r>
            <w:r>
              <w:rPr>
                <w:rFonts w:hint="eastAsia" w:asciiTheme="minorEastAsia" w:hAnsiTheme="minorEastAsia" w:eastAsiaTheme="minorEastAsia"/>
                <w:sz w:val="24"/>
                <w:szCs w:val="24"/>
                <w:highlight w:val="none"/>
              </w:rPr>
              <w:t>售后服务流程③售后服务保障措施</w:t>
            </w:r>
            <w:r>
              <w:rPr>
                <w:rFonts w:hint="eastAsia" w:asciiTheme="minorEastAsia" w:hAnsiTheme="minorEastAsia" w:eastAsiaTheme="minorEastAsia"/>
                <w:sz w:val="24"/>
                <w:szCs w:val="24"/>
                <w:highlight w:val="none"/>
              </w:rPr>
              <w:fldChar w:fldCharType="begin"/>
            </w:r>
            <w:r>
              <w:rPr>
                <w:rFonts w:hint="eastAsia" w:asciiTheme="minorEastAsia" w:hAnsiTheme="minorEastAsia" w:eastAsiaTheme="minorEastAsia"/>
                <w:sz w:val="24"/>
                <w:szCs w:val="24"/>
                <w:highlight w:val="none"/>
              </w:rPr>
              <w:instrText xml:space="preserve"> = 4 \* GB3 </w:instrText>
            </w:r>
            <w:r>
              <w:rPr>
                <w:rFonts w:hint="eastAsia" w:asciiTheme="minorEastAsia" w:hAnsiTheme="minorEastAsia" w:eastAsiaTheme="minorEastAsia"/>
                <w:sz w:val="24"/>
                <w:szCs w:val="24"/>
                <w:highlight w:val="none"/>
              </w:rPr>
              <w:fldChar w:fldCharType="separate"/>
            </w:r>
            <w:r>
              <w:rPr>
                <w:rFonts w:hint="eastAsia" w:asciiTheme="minorEastAsia" w:hAnsiTheme="minorEastAsia" w:eastAsiaTheme="minorEastAsia"/>
                <w:sz w:val="24"/>
                <w:szCs w:val="24"/>
                <w:highlight w:val="none"/>
              </w:rPr>
              <w:t>④</w:t>
            </w:r>
            <w:r>
              <w:rPr>
                <w:rFonts w:hint="eastAsia" w:asciiTheme="minorEastAsia" w:hAnsiTheme="minorEastAsia" w:eastAsiaTheme="minorEastAsia"/>
                <w:sz w:val="24"/>
                <w:szCs w:val="24"/>
                <w:highlight w:val="none"/>
              </w:rPr>
              <w:fldChar w:fldCharType="end"/>
            </w:r>
            <w:r>
              <w:rPr>
                <w:rFonts w:hint="eastAsia" w:asciiTheme="minorEastAsia" w:hAnsiTheme="minorEastAsia" w:eastAsiaTheme="minorEastAsia"/>
                <w:sz w:val="24"/>
                <w:szCs w:val="24"/>
                <w:highlight w:val="none"/>
              </w:rPr>
              <w:t>服务支撑方式</w:t>
            </w:r>
            <w:r>
              <w:rPr>
                <w:rFonts w:hint="eastAsia" w:asciiTheme="minorEastAsia" w:hAnsiTheme="minorEastAsia" w:eastAsiaTheme="minorEastAsia"/>
                <w:sz w:val="24"/>
                <w:szCs w:val="24"/>
                <w:highlight w:val="none"/>
              </w:rPr>
              <w:fldChar w:fldCharType="begin"/>
            </w:r>
            <w:r>
              <w:rPr>
                <w:rFonts w:hint="eastAsia" w:asciiTheme="minorEastAsia" w:hAnsiTheme="minorEastAsia" w:eastAsiaTheme="minorEastAsia"/>
                <w:sz w:val="24"/>
                <w:szCs w:val="24"/>
                <w:highlight w:val="none"/>
              </w:rPr>
              <w:instrText xml:space="preserve"> = 5 \* GB3 </w:instrText>
            </w:r>
            <w:r>
              <w:rPr>
                <w:rFonts w:hint="eastAsia" w:asciiTheme="minorEastAsia" w:hAnsiTheme="minorEastAsia" w:eastAsiaTheme="minorEastAsia"/>
                <w:sz w:val="24"/>
                <w:szCs w:val="24"/>
                <w:highlight w:val="none"/>
              </w:rPr>
              <w:fldChar w:fldCharType="separate"/>
            </w:r>
            <w:r>
              <w:rPr>
                <w:rFonts w:hint="eastAsia" w:asciiTheme="minorEastAsia" w:hAnsiTheme="minorEastAsia" w:eastAsiaTheme="minorEastAsia"/>
                <w:sz w:val="24"/>
                <w:szCs w:val="24"/>
                <w:highlight w:val="none"/>
              </w:rPr>
              <w:t>⑤</w:t>
            </w:r>
            <w:r>
              <w:rPr>
                <w:rFonts w:hint="eastAsia" w:asciiTheme="minorEastAsia" w:hAnsiTheme="minorEastAsia" w:eastAsiaTheme="minorEastAsia"/>
                <w:sz w:val="24"/>
                <w:szCs w:val="24"/>
                <w:highlight w:val="none"/>
              </w:rPr>
              <w:fldChar w:fldCharType="end"/>
            </w:r>
            <w:r>
              <w:rPr>
                <w:rFonts w:hint="eastAsia" w:asciiTheme="minorEastAsia" w:hAnsiTheme="minorEastAsia" w:eastAsiaTheme="minorEastAsia"/>
                <w:sz w:val="24"/>
                <w:szCs w:val="24"/>
                <w:highlight w:val="none"/>
              </w:rPr>
              <w:t>售后服务时间等。（4分）</w:t>
            </w:r>
          </w:p>
          <w:p w14:paraId="3DDCCBEC">
            <w:pPr>
              <w:spacing w:line="440" w:lineRule="exact"/>
              <w:ind w:firstLine="480" w:firstLineChars="200"/>
              <w:rPr>
                <w:highlight w:val="none"/>
              </w:rPr>
            </w:pPr>
            <w:r>
              <w:rPr>
                <w:rFonts w:hint="eastAsia" w:asciiTheme="minorEastAsia" w:hAnsiTheme="minorEastAsia" w:eastAsiaTheme="minorEastAsia"/>
                <w:sz w:val="24"/>
                <w:szCs w:val="24"/>
                <w:highlight w:val="none"/>
              </w:rPr>
              <w:t>投标供应商应在响应文件中设置专节来对上述内容作出响应性说明，每缺一项说明扣相应分值，评标委员会根据项目的实施需求和各投标人提供的方案进行综合对比，对每项中出现一处不完善或不合理扣减1分，直至扣完为止。</w:t>
            </w:r>
          </w:p>
          <w:p w14:paraId="5A87F1C7">
            <w:pPr>
              <w:numPr>
                <w:ilvl w:val="0"/>
                <w:numId w:val="2"/>
              </w:numPr>
              <w:spacing w:line="440" w:lineRule="exact"/>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投标人具有数字化加工服务类的五星级售后服务认证证书的得2分，具有数字化加工服务类的五星级售后服务以下的得1分。未提供不得分。</w:t>
            </w:r>
          </w:p>
          <w:p w14:paraId="2C533F5A">
            <w:pPr>
              <w:pStyle w:val="41"/>
              <w:ind w:left="0" w:firstLine="240" w:firstLineChars="100"/>
              <w:rPr>
                <w:highlight w:val="none"/>
              </w:rPr>
            </w:pPr>
            <w:r>
              <w:rPr>
                <w:rFonts w:hint="eastAsia" w:asciiTheme="minorEastAsia" w:hAnsiTheme="minorEastAsia" w:eastAsiaTheme="minorEastAsia"/>
                <w:sz w:val="24"/>
                <w:highlight w:val="none"/>
              </w:rPr>
              <w:t>提供证明材料。</w:t>
            </w:r>
          </w:p>
        </w:tc>
      </w:tr>
      <w:tr w14:paraId="29EE5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599" w:type="dxa"/>
            <w:vAlign w:val="center"/>
          </w:tcPr>
          <w:p w14:paraId="1F8CD77F">
            <w:pPr>
              <w:spacing w:line="440" w:lineRule="exact"/>
              <w:jc w:val="center"/>
              <w:rPr>
                <w:rFonts w:hint="eastAsia" w:asciiTheme="minorEastAsia" w:hAnsiTheme="minorEastAsia" w:eastAsiaTheme="minorEastAsia"/>
                <w:sz w:val="24"/>
                <w:szCs w:val="24"/>
                <w:highlight w:val="none"/>
              </w:rPr>
            </w:pPr>
          </w:p>
        </w:tc>
        <w:tc>
          <w:tcPr>
            <w:tcW w:w="1134" w:type="dxa"/>
            <w:vAlign w:val="center"/>
          </w:tcPr>
          <w:p w14:paraId="7933EA17">
            <w:pPr>
              <w:spacing w:line="440" w:lineRule="exact"/>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现场演示</w:t>
            </w:r>
          </w:p>
        </w:tc>
        <w:tc>
          <w:tcPr>
            <w:tcW w:w="851" w:type="dxa"/>
            <w:vAlign w:val="center"/>
          </w:tcPr>
          <w:p w14:paraId="57A87515">
            <w:pPr>
              <w:spacing w:line="440" w:lineRule="exact"/>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18分</w:t>
            </w:r>
          </w:p>
        </w:tc>
        <w:tc>
          <w:tcPr>
            <w:tcW w:w="5387" w:type="dxa"/>
            <w:vAlign w:val="center"/>
          </w:tcPr>
          <w:p w14:paraId="74A082DD">
            <w:pPr>
              <w:pStyle w:val="54"/>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演示内容：</w:t>
            </w:r>
          </w:p>
          <w:p w14:paraId="22706F86">
            <w:pPr>
              <w:pStyle w:val="14"/>
              <w:rPr>
                <w:rFonts w:hint="eastAsia" w:cs="Times New Roman" w:asciiTheme="minorEastAsia" w:hAnsiTheme="minorEastAsia" w:eastAsiaTheme="minorEastAsia"/>
                <w:color w:val="000000" w:themeColor="text1"/>
                <w:sz w:val="24"/>
                <w:szCs w:val="24"/>
                <w:highlight w:val="none"/>
                <w:lang w:val="en-US" w:eastAsia="zh-CN"/>
                <w14:textFill>
                  <w14:solidFill>
                    <w14:schemeClr w14:val="tx1"/>
                  </w14:solidFill>
                </w14:textFill>
              </w:rPr>
            </w:pPr>
            <w:r>
              <w:rPr>
                <w:rFonts w:hint="eastAsia"/>
                <w:highlight w:val="none"/>
                <w:lang w:val="en-US" w:eastAsia="zh-CN"/>
              </w:rPr>
              <w:t>1.</w:t>
            </w:r>
            <w:r>
              <w:rPr>
                <w:rFonts w:hint="eastAsia" w:cs="Times New Roman" w:asciiTheme="minorEastAsia" w:hAnsiTheme="minorEastAsia" w:eastAsiaTheme="minorEastAsia"/>
                <w:color w:val="000000" w:themeColor="text1"/>
                <w:sz w:val="24"/>
                <w:szCs w:val="24"/>
                <w:highlight w:val="none"/>
                <w:lang w:val="en-US" w:eastAsia="zh-CN"/>
                <w14:textFill>
                  <w14:solidFill>
                    <w14:schemeClr w14:val="tx1"/>
                  </w14:solidFill>
                </w14:textFill>
              </w:rPr>
              <w:t>古籍数字化成果展示页面自定义布局：平台采用前后端分离技术，具有可视化页面设计后台、拖拽式页面布局，可快速配置轮播图、图文、图标、检索等应用。（3分）</w:t>
            </w:r>
          </w:p>
          <w:p w14:paraId="4CC94920">
            <w:pPr>
              <w:pStyle w:val="14"/>
              <w:rPr>
                <w:rFonts w:hint="eastAsia" w:asciiTheme="minorEastAsia" w:hAnsiTheme="minorEastAsia" w:eastAsiaTheme="minorEastAsia"/>
                <w:sz w:val="24"/>
                <w:szCs w:val="24"/>
                <w:highlight w:val="none"/>
              </w:rPr>
            </w:pPr>
            <w:r>
              <w:rPr>
                <w:rFonts w:hint="eastAsia" w:cs="Times New Roman" w:asciiTheme="minorEastAsia" w:hAnsiTheme="minorEastAsia" w:eastAsiaTheme="minorEastAsia"/>
                <w:color w:val="000000" w:themeColor="text1"/>
                <w:sz w:val="24"/>
                <w:szCs w:val="24"/>
                <w:highlight w:val="none"/>
                <w:lang w:val="en-US" w:eastAsia="zh-CN"/>
                <w14:textFill>
                  <w14:solidFill>
                    <w14:schemeClr w14:val="tx1"/>
                  </w14:solidFill>
                </w14:textFill>
              </w:rPr>
              <w:t>2.古籍展示平台支持智能自动标点断句：支持“，，。《》？”等常用现代标点符号；支持用户对结果文本一键复制；支持古籍文本进行自动句读。（3分）</w:t>
            </w:r>
          </w:p>
          <w:p w14:paraId="61073FBE">
            <w:pPr>
              <w:spacing w:line="440" w:lineRule="exact"/>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lang w:val="en-US" w:eastAsia="zh-CN"/>
              </w:rPr>
              <w:t>3</w:t>
            </w:r>
            <w:r>
              <w:rPr>
                <w:rFonts w:hint="eastAsia" w:asciiTheme="minorEastAsia" w:hAnsiTheme="minorEastAsia" w:eastAsiaTheme="minorEastAsia"/>
                <w:sz w:val="24"/>
                <w:szCs w:val="24"/>
                <w:highlight w:val="none"/>
              </w:rPr>
              <w:t>、古籍数字化资源利用与资源库建设：支持对古籍数字化成果数据按古籍标准分类进行知识库管理；支持对知识库资源根据题名、作者等不同条件的组合检索，支持全文检索；支持定制数字人形象，围绕馆藏数字化成果资源开展线上讲堂、智能生成数字人课程。（3分）</w:t>
            </w:r>
          </w:p>
          <w:p w14:paraId="6E25442C">
            <w:pPr>
              <w:spacing w:line="440" w:lineRule="exact"/>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lang w:val="en-US" w:eastAsia="zh-CN"/>
              </w:rPr>
              <w:t>4</w:t>
            </w:r>
            <w:r>
              <w:rPr>
                <w:rFonts w:hint="eastAsia" w:asciiTheme="minorEastAsia" w:hAnsiTheme="minorEastAsia" w:eastAsiaTheme="minorEastAsia"/>
                <w:sz w:val="24"/>
                <w:szCs w:val="24"/>
                <w:highlight w:val="none"/>
              </w:rPr>
              <w:t>、古籍数字化资源展示与阅读：支持左图右文对照阅读并能对文本进行简繁切换；支持对古籍添加书签；</w:t>
            </w:r>
            <w:r>
              <w:rPr>
                <w:rFonts w:asciiTheme="minorEastAsia" w:hAnsiTheme="minorEastAsia" w:eastAsiaTheme="minorEastAsia"/>
                <w:sz w:val="24"/>
                <w:szCs w:val="24"/>
                <w:highlight w:val="none"/>
              </w:rPr>
              <w:t>古籍数字化成果展示页面支持水印设置，同时可对水印位置进行自定义或可视化模式进行设置</w:t>
            </w:r>
            <w:r>
              <w:rPr>
                <w:rFonts w:hint="eastAsia" w:asciiTheme="minorEastAsia" w:hAnsiTheme="minorEastAsia" w:eastAsiaTheme="minorEastAsia"/>
                <w:sz w:val="24"/>
                <w:szCs w:val="24"/>
                <w:highlight w:val="none"/>
              </w:rPr>
              <w:t>；支持以3D古籍交互的形式对特定古籍进行展示及供读者翻阅体验。（3分）</w:t>
            </w:r>
          </w:p>
          <w:p w14:paraId="26B53842">
            <w:pPr>
              <w:spacing w:line="440" w:lineRule="exact"/>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lang w:val="en-US" w:eastAsia="zh-CN"/>
              </w:rPr>
              <w:t>5</w:t>
            </w:r>
            <w:r>
              <w:rPr>
                <w:rFonts w:hint="eastAsia" w:asciiTheme="minorEastAsia" w:hAnsiTheme="minorEastAsia" w:eastAsiaTheme="minorEastAsia"/>
                <w:sz w:val="24"/>
                <w:szCs w:val="24"/>
                <w:highlight w:val="none"/>
              </w:rPr>
              <w:t>、古籍数字化成果线上线下策展活动：支持在平台发布单位相关线上下活动，提供报名、打卡等服务；支持管理员自主搭建古籍在线展馆，个性化配置展馆的环境、主题色、背景音乐、展览线路、展品及相关介绍等；支持挂接平台资源以及外部资源；支持漫游功能、多视角导航，支持游客通过终端操作拖动界面，从任意角度互动性观察场景与展品。（3分）</w:t>
            </w:r>
          </w:p>
          <w:p w14:paraId="113C0197">
            <w:pPr>
              <w:spacing w:line="440" w:lineRule="exact"/>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lang w:val="en-US" w:eastAsia="zh-CN"/>
              </w:rPr>
              <w:t>6</w:t>
            </w:r>
            <w:r>
              <w:rPr>
                <w:rFonts w:hint="eastAsia" w:asciiTheme="minorEastAsia" w:hAnsiTheme="minorEastAsia" w:eastAsiaTheme="minorEastAsia"/>
                <w:sz w:val="24"/>
                <w:szCs w:val="24"/>
                <w:highlight w:val="none"/>
              </w:rPr>
              <w:t>、古籍特藏展厅，用户可以通过手机微信、电脑浏览器等多终端设备在虚拟空间内任意漫游，展厅空间内支持整合展示各类古籍富媒体内容，用户可以通过图像、音视频、超链接、文字等多媒体形式详细浏览展厅内容，支持嵌入虚拟形象IP人物进行导览讲解，以及嵌入AI智能体实现语音交互，整个展厅最终是以链接的形式可以挂在南通市图书馆官网和微信公众号上，满足用户随时随地沉浸式逛展的需求。（3分）</w:t>
            </w:r>
          </w:p>
          <w:p w14:paraId="47C84C7E">
            <w:pPr>
              <w:spacing w:line="440" w:lineRule="exact"/>
              <w:ind w:firstLine="480" w:firstLineChars="20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投标供应商将以上演示内容按顺序录制成视频上传至苏采云投标系统，由评标专家根据投标人结合项目特点对详细的加工流程案例录制演示视频（录像或录屏）进行评审打分，演示要求：</w:t>
            </w:r>
          </w:p>
          <w:p w14:paraId="6A2B59EF">
            <w:pPr>
              <w:spacing w:line="440" w:lineRule="exact"/>
              <w:ind w:firstLine="480" w:firstLineChars="20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（1）投标人提供的视频必须是对实际运行系统进行的录制或录屏；</w:t>
            </w:r>
          </w:p>
          <w:p w14:paraId="1C260FB3">
            <w:pPr>
              <w:spacing w:line="440" w:lineRule="exact"/>
              <w:ind w:firstLine="480" w:firstLineChars="20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（2）演示的软件功能完备，符合本项目要求；</w:t>
            </w:r>
          </w:p>
          <w:p w14:paraId="7B3512C0">
            <w:pPr>
              <w:spacing w:line="440" w:lineRule="exact"/>
              <w:ind w:firstLine="480" w:firstLineChars="20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（3）演示的软件操作流畅、使用便捷。</w:t>
            </w:r>
          </w:p>
          <w:p w14:paraId="3E1D4FF4">
            <w:pPr>
              <w:spacing w:line="440" w:lineRule="exact"/>
              <w:ind w:firstLine="480" w:firstLineChars="20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每个演示完全满足演示要求的得3分；虽然是实际运行系统演示视频，但演示欠流畅或功能的得1分；非实际运行系统演示视频或其他情况的不得分。</w:t>
            </w:r>
          </w:p>
          <w:p w14:paraId="05911564">
            <w:pPr>
              <w:spacing w:line="440" w:lineRule="exact"/>
              <w:ind w:firstLine="482" w:firstLineChars="200"/>
              <w:rPr>
                <w:highlight w:val="none"/>
              </w:rPr>
            </w:pPr>
            <w:r>
              <w:rPr>
                <w:rFonts w:hint="eastAsia" w:asciiTheme="minorEastAsia" w:hAnsiTheme="minorEastAsia" w:eastAsiaTheme="minorEastAsia"/>
                <w:b/>
                <w:bCs/>
                <w:sz w:val="24"/>
                <w:szCs w:val="24"/>
                <w:highlight w:val="none"/>
                <w:u w:val="double"/>
              </w:rPr>
              <w:t>注：视频演示文件需带配音讲解，上传至投标系统。单个不得超过50M,最多不得超过6个视频，单个视频演示时间不超过15分钟。如果因文件太大，导致无法上传，由供应商自行承担后果。</w:t>
            </w:r>
          </w:p>
        </w:tc>
      </w:tr>
    </w:tbl>
    <w:p w14:paraId="3798D542">
      <w:pPr>
        <w:spacing w:line="360" w:lineRule="auto"/>
        <w:ind w:firstLine="482"/>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（二）报价分：</w:t>
      </w:r>
      <w:r>
        <w:rPr>
          <w:rFonts w:hint="eastAsia" w:cs="宋体" w:asciiTheme="minorEastAsia" w:hAnsiTheme="minorEastAsia" w:eastAsiaTheme="minorEastAsia"/>
          <w:b/>
          <w:bCs/>
          <w:sz w:val="24"/>
          <w:szCs w:val="24"/>
          <w:highlight w:val="none"/>
        </w:rPr>
        <w:t>（15分）</w:t>
      </w:r>
    </w:p>
    <w:p w14:paraId="7D3A111A">
      <w:pPr>
        <w:spacing w:line="360" w:lineRule="auto"/>
        <w:ind w:firstLine="482"/>
        <w:rPr>
          <w:rFonts w:hint="eastAsia" w:cs="宋体" w:asciiTheme="minorEastAsia" w:hAnsiTheme="minorEastAsia" w:eastAsiaTheme="minorEastAsia"/>
          <w:b/>
          <w:bCs/>
          <w:sz w:val="24"/>
          <w:szCs w:val="24"/>
          <w:highlight w:val="none"/>
        </w:rPr>
      </w:pPr>
      <w:r>
        <w:rPr>
          <w:rFonts w:hint="eastAsia" w:cs="宋体" w:asciiTheme="minorEastAsia" w:hAnsiTheme="minorEastAsia" w:eastAsiaTheme="minorEastAsia"/>
          <w:b/>
          <w:bCs/>
          <w:sz w:val="24"/>
          <w:szCs w:val="24"/>
          <w:highlight w:val="none"/>
        </w:rPr>
        <w:t>1.最高限价：150万元。报价超过最高限价做无效标处理。</w:t>
      </w:r>
    </w:p>
    <w:p w14:paraId="37AF0144">
      <w:pPr>
        <w:spacing w:line="360" w:lineRule="auto"/>
        <w:ind w:firstLine="482"/>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2.满足磋商文件要求且最后报价最低的供应商的价格为磋商基准价，其报价分为满分。其他供应商的报价分统一按照下列公式计算：</w:t>
      </w:r>
    </w:p>
    <w:p w14:paraId="4FD05A0E">
      <w:pPr>
        <w:spacing w:line="360" w:lineRule="auto"/>
        <w:ind w:firstLine="482"/>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报价分 =（磋商基准价/最后磋商报价）×15%×100。</w:t>
      </w:r>
    </w:p>
    <w:p w14:paraId="071BA873">
      <w:pPr>
        <w:spacing w:line="360" w:lineRule="auto"/>
        <w:ind w:firstLine="482"/>
        <w:rPr>
          <w:rFonts w:hint="eastAsia" w:cs="宋体" w:asciiTheme="minorEastAsia" w:hAnsiTheme="minorEastAsia" w:eastAsiaTheme="minorEastAsia"/>
          <w:b/>
          <w:bCs/>
          <w:sz w:val="24"/>
          <w:szCs w:val="24"/>
          <w:highlight w:val="none"/>
        </w:rPr>
      </w:pPr>
      <w:r>
        <w:rPr>
          <w:rFonts w:hint="eastAsia" w:cs="宋体" w:asciiTheme="minorEastAsia" w:hAnsiTheme="minorEastAsia" w:eastAsiaTheme="minorEastAsia"/>
          <w:b/>
          <w:bCs/>
          <w:sz w:val="24"/>
          <w:szCs w:val="24"/>
          <w:highlight w:val="none"/>
        </w:rPr>
        <w:t>磋商小组认为供应商的报价明显低于其他通过符合性审查供应商的报价，有可能影响产品质量或者不能诚信履约的，应当要求其在30分钟内提供书面说明，必要时提交相关证明材料；供应商不能证明其报价合理性的，磋商小组应当将其作为无效响应处理。</w:t>
      </w:r>
    </w:p>
    <w:p w14:paraId="4B1A03B1">
      <w:pPr>
        <w:spacing w:line="360" w:lineRule="auto"/>
        <w:ind w:firstLine="482"/>
        <w:rPr>
          <w:rFonts w:hint="eastAsia" w:cs="宋体" w:asciiTheme="minorEastAsia" w:hAnsiTheme="minorEastAsia" w:eastAsiaTheme="minorEastAsia"/>
          <w:b/>
          <w:bCs/>
          <w:sz w:val="24"/>
          <w:szCs w:val="24"/>
          <w:highlight w:val="none"/>
        </w:rPr>
      </w:pPr>
      <w:r>
        <w:rPr>
          <w:rFonts w:hint="eastAsia" w:cs="宋体" w:asciiTheme="minorEastAsia" w:hAnsiTheme="minorEastAsia" w:eastAsiaTheme="minorEastAsia"/>
          <w:b/>
          <w:bCs/>
          <w:sz w:val="24"/>
          <w:szCs w:val="24"/>
          <w:highlight w:val="none"/>
        </w:rPr>
        <w:t>（三）政府采购政策功能落实</w:t>
      </w:r>
    </w:p>
    <w:p w14:paraId="400C74D1">
      <w:pPr>
        <w:widowControl/>
        <w:spacing w:line="360" w:lineRule="auto"/>
        <w:ind w:firstLine="482"/>
        <w:jc w:val="left"/>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color w:val="FF0000"/>
          <w:sz w:val="24"/>
          <w:szCs w:val="24"/>
          <w:highlight w:val="none"/>
        </w:rPr>
        <w:t>本项目专门面向中小企业采购。</w:t>
      </w:r>
      <w:r>
        <w:rPr>
          <w:rFonts w:hint="eastAsia" w:cs="宋体" w:asciiTheme="minorEastAsia" w:hAnsiTheme="minorEastAsia" w:eastAsiaTheme="minorEastAsia"/>
          <w:sz w:val="24"/>
          <w:szCs w:val="24"/>
          <w:highlight w:val="none"/>
        </w:rPr>
        <w:t>本项目所有服务须全部由符合政策要求的中小企业提供，提供服务的供应商须为中小微企业、监狱企业或残疾人福利性单位，按照采购文件要求提供《中小企业声明函》或《残疾人福利性单位声明函》或监狱和戒毒企业证明材料。</w:t>
      </w:r>
    </w:p>
    <w:p w14:paraId="38EA55C3">
      <w:pPr>
        <w:widowControl/>
        <w:spacing w:line="360" w:lineRule="auto"/>
        <w:ind w:firstLine="482"/>
        <w:jc w:val="left"/>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1.根据《政府采购促进中小企业发展管理办法》（财库﹝2020﹞46 号）要求，本项目专门面向中小企业采购。本项目所有服务须全部由符合政策要求的中小企业承接，提供服务的供应商须符合工信部联企业〔2011〕300号《关于印发中小企业划型标准规定的通知》中“</w:t>
      </w:r>
      <w:r>
        <w:rPr>
          <w:rFonts w:hint="eastAsia" w:ascii="宋体" w:hAnsi="宋体" w:cs="宋体"/>
          <w:sz w:val="24"/>
          <w:highlight w:val="none"/>
        </w:rPr>
        <w:t>租赁和商务服务业</w:t>
      </w:r>
      <w:r>
        <w:rPr>
          <w:rFonts w:hint="eastAsia" w:cs="宋体" w:asciiTheme="minorEastAsia" w:hAnsiTheme="minorEastAsia" w:eastAsiaTheme="minorEastAsia"/>
          <w:sz w:val="24"/>
          <w:szCs w:val="24"/>
          <w:highlight w:val="none"/>
        </w:rPr>
        <w:t>”中小企业划型标准规定（提供中小企业声明函，格式参见第五章）</w:t>
      </w:r>
    </w:p>
    <w:p w14:paraId="10E8D988">
      <w:pPr>
        <w:spacing w:line="360" w:lineRule="auto"/>
        <w:ind w:firstLine="482"/>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2.监狱企业视同中小企业，监狱企业参与投标的须提供省级及以上监狱管理局、戒毒管理局（含新疆生产建设兵团）出具的属于监狱企业的证明文件。监狱企业标准请参照《关于政府采购支持监狱企业发展有关问题的通知》（财库[2014]68号）</w:t>
      </w:r>
    </w:p>
    <w:p w14:paraId="4FEDF904">
      <w:pPr>
        <w:spacing w:line="360" w:lineRule="auto"/>
        <w:ind w:firstLine="482"/>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3.残疾人福利性单位视同中小企业，残疾人福利性单位参与投标的须提供《残疾人福利性单位声明函》，残疾人福利性单位须符合《关于促进残疾人就业政府采购政策的通知》（财库〔2017〕141 号）要求。</w:t>
      </w:r>
    </w:p>
    <w:p w14:paraId="7776FAA6">
      <w:pPr>
        <w:spacing w:line="360" w:lineRule="auto"/>
        <w:ind w:firstLine="482"/>
        <w:rPr>
          <w:rFonts w:hint="eastAsia" w:cs="宋体" w:asciiTheme="minorEastAsia" w:hAnsiTheme="minorEastAsia" w:eastAsiaTheme="minorEastAsia"/>
          <w:color w:val="FF0000"/>
          <w:sz w:val="24"/>
          <w:szCs w:val="24"/>
          <w:highlight w:val="none"/>
        </w:rPr>
      </w:pPr>
      <w:r>
        <w:rPr>
          <w:rFonts w:hint="eastAsia" w:cs="宋体" w:asciiTheme="minorEastAsia" w:hAnsiTheme="minorEastAsia" w:eastAsiaTheme="minorEastAsia"/>
          <w:color w:val="FF0000"/>
          <w:sz w:val="24"/>
          <w:szCs w:val="24"/>
          <w:highlight w:val="none"/>
        </w:rPr>
        <w:t>4. 本项目专门面向中小微型企业采购，供应商不再享受任何价格扣除。</w:t>
      </w:r>
    </w:p>
    <w:p w14:paraId="2A7A973C">
      <w:pPr>
        <w:spacing w:line="360" w:lineRule="auto"/>
        <w:ind w:firstLine="482"/>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
          <w:sz w:val="24"/>
          <w:szCs w:val="24"/>
          <w:highlight w:val="none"/>
        </w:rPr>
        <w:t>（四）成交供应商的确定</w:t>
      </w:r>
    </w:p>
    <w:p w14:paraId="3C08A60C">
      <w:pPr>
        <w:spacing w:line="360" w:lineRule="auto"/>
        <w:ind w:firstLine="482"/>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磋商小组应当根据综合评分情况，按照评审得分由高到低顺序推荐3名成交候选供应商，并编写评审报告。符合《政府采购竞争性磋商采购方式管理暂行办法》第二十一条第三款情形的，可以推荐2家成交候选供应商。评审得分相同的，按照最后报价由低到高的顺序推荐。评审得分且最后报价相同的，按照技术指标优劣顺序推荐。</w:t>
      </w:r>
    </w:p>
    <w:p w14:paraId="32D6FE9D">
      <w:pPr>
        <w:spacing w:line="360" w:lineRule="auto"/>
        <w:ind w:firstLine="482"/>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2.磋商评审时，评委对评审的细则若有争议，由磋商小组集体讨论确定，并对未尽情况有最终解释权。</w:t>
      </w:r>
    </w:p>
    <w:p w14:paraId="7CF2A838">
      <w:pPr>
        <w:spacing w:line="360" w:lineRule="auto"/>
        <w:ind w:firstLine="482"/>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3.对落标的供应商不做落标原因的解释。</w:t>
      </w:r>
    </w:p>
    <w:p w14:paraId="042C6EB9">
      <w:pPr>
        <w:spacing w:line="360" w:lineRule="auto"/>
        <w:ind w:firstLine="482"/>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4.采购人委托磋商小组直接确定排名第一的成交候选人为成交供应商。</w:t>
      </w:r>
    </w:p>
    <w:p w14:paraId="37A064C8">
      <w:pPr>
        <w:spacing w:line="360" w:lineRule="auto"/>
        <w:ind w:firstLine="482"/>
        <w:rPr>
          <w:rFonts w:hint="eastAsia" w:cs="宋体" w:asciiTheme="minorEastAsia" w:hAnsiTheme="minorEastAsia" w:eastAsiaTheme="minorEastAsia"/>
          <w:b/>
          <w:sz w:val="24"/>
          <w:szCs w:val="24"/>
          <w:highlight w:val="none"/>
        </w:rPr>
      </w:pPr>
      <w:r>
        <w:rPr>
          <w:rFonts w:hint="eastAsia" w:cs="宋体" w:asciiTheme="minorEastAsia" w:hAnsiTheme="minorEastAsia" w:eastAsiaTheme="minorEastAsia"/>
          <w:b/>
          <w:sz w:val="24"/>
          <w:szCs w:val="24"/>
          <w:highlight w:val="none"/>
        </w:rPr>
        <w:t>（五）公告成交结果</w:t>
      </w:r>
    </w:p>
    <w:p w14:paraId="1F4721A1">
      <w:pPr>
        <w:spacing w:line="360" w:lineRule="auto"/>
        <w:ind w:firstLine="482"/>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自确定成交供应商之日起2个工作日内，在江苏政府采购网公告成交结果，公告期限为1个工作日。</w:t>
      </w:r>
    </w:p>
    <w:p w14:paraId="06E1D038">
      <w:pPr>
        <w:tabs>
          <w:tab w:val="left" w:pos="6555"/>
          <w:tab w:val="right" w:pos="8306"/>
        </w:tabs>
        <w:spacing w:line="360" w:lineRule="auto"/>
        <w:ind w:firstLine="482"/>
        <w:rPr>
          <w:rFonts w:hint="eastAsia" w:cs="宋体" w:asciiTheme="minorEastAsia" w:hAnsiTheme="minorEastAsia" w:eastAsiaTheme="minorEastAsia"/>
          <w:b/>
          <w:sz w:val="24"/>
          <w:szCs w:val="24"/>
          <w:highlight w:val="none"/>
        </w:rPr>
      </w:pPr>
      <w:r>
        <w:rPr>
          <w:rFonts w:hint="eastAsia" w:cs="宋体" w:asciiTheme="minorEastAsia" w:hAnsiTheme="minorEastAsia" w:eastAsiaTheme="minorEastAsia"/>
          <w:b/>
          <w:sz w:val="24"/>
          <w:szCs w:val="24"/>
          <w:highlight w:val="none"/>
        </w:rPr>
        <w:t>（六） 出现下列情形之一的，作无效响应处理</w:t>
      </w:r>
    </w:p>
    <w:p w14:paraId="1FFDA6B3">
      <w:pPr>
        <w:spacing w:line="360" w:lineRule="auto"/>
        <w:ind w:firstLine="482"/>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1.同一供应商提交两个（含两个）以上不同的响应报价的。</w:t>
      </w:r>
    </w:p>
    <w:p w14:paraId="60F0D6E6">
      <w:pPr>
        <w:spacing w:line="360" w:lineRule="auto"/>
        <w:ind w:firstLine="482"/>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 xml:space="preserve">2.不具备磋商文件中规定的资格要求的。 </w:t>
      </w:r>
    </w:p>
    <w:p w14:paraId="12712666">
      <w:pPr>
        <w:spacing w:line="360" w:lineRule="auto"/>
        <w:ind w:firstLine="482"/>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 xml:space="preserve">3.响应报价超过了采购预算或最高限价的。 </w:t>
      </w:r>
    </w:p>
    <w:p w14:paraId="19DADFAA">
      <w:pPr>
        <w:spacing w:line="360" w:lineRule="auto"/>
        <w:ind w:firstLine="482"/>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4.未通过符合性检查的。</w:t>
      </w:r>
    </w:p>
    <w:p w14:paraId="7CC3309B">
      <w:pPr>
        <w:spacing w:line="360" w:lineRule="auto"/>
        <w:ind w:firstLine="482"/>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5.不符合法律、法规和磋商文件中规定的其他实质性要求的。</w:t>
      </w:r>
    </w:p>
    <w:p w14:paraId="672C9ED2">
      <w:pPr>
        <w:spacing w:line="360" w:lineRule="auto"/>
        <w:ind w:firstLine="482"/>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6.供应商被 “信用中国”网站列入失信被执行人或重大税收违法失信主体名单或政府采购严重违法失信行为记录名单或</w:t>
      </w:r>
      <w:r>
        <w:rPr>
          <w:rFonts w:hint="eastAsia" w:cs="宋体" w:asciiTheme="minorEastAsia" w:hAnsiTheme="minorEastAsia" w:eastAsiaTheme="minorEastAsia"/>
          <w:sz w:val="24"/>
          <w:szCs w:val="24"/>
          <w:highlight w:val="none"/>
        </w:rPr>
        <w:t>、经营异常名录</w:t>
      </w:r>
      <w:r>
        <w:rPr>
          <w:rFonts w:hint="eastAsia" w:cs="宋体" w:asciiTheme="minorEastAsia" w:hAnsiTheme="minorEastAsia" w:eastAsiaTheme="minorEastAsia"/>
          <w:bCs/>
          <w:sz w:val="24"/>
          <w:szCs w:val="24"/>
          <w:highlight w:val="none"/>
        </w:rPr>
        <w:t>。或查询“信用中国”网站后发现供应商存在其他不符合《中华人民共和国政府采购法》第二十二条规定条件的信用记录。</w:t>
      </w:r>
    </w:p>
    <w:p w14:paraId="35D5C983">
      <w:pPr>
        <w:spacing w:line="360" w:lineRule="auto"/>
        <w:ind w:firstLine="482"/>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7.响应文件含有采购人不能接受的附加条件的。</w:t>
      </w:r>
    </w:p>
    <w:p w14:paraId="65A07DA8">
      <w:pPr>
        <w:spacing w:line="360" w:lineRule="auto"/>
        <w:ind w:firstLine="482"/>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8.磋商小组认为供应商的报价明显低于其他通过符合性审查供应商的报价，有可能影响产品质量或者不能诚信履约的，应当要求其在30分钟内提供书面说明，必要时提交相关证明材料；供应商不能证明其报价合理性的，磋商小组应当将其作为无效响应处理。</w:t>
      </w:r>
    </w:p>
    <w:p w14:paraId="5901726B">
      <w:pPr>
        <w:spacing w:line="360" w:lineRule="auto"/>
        <w:ind w:firstLine="482"/>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9.本项目采购产品被财政部、国家发改委、生态环境部等列入“节能产品品目清单”、“环境标志产品品目清单”强制采购范围，而供应商所投标产品不在强制采购范围内的。（所投产品如属于政府强制采购节能产品品目清单范围内，响应文件中必须提供国家确定的认证机构出具的、处于有效期之内的该节能产品认证证书扫描件）。</w:t>
      </w:r>
    </w:p>
    <w:p w14:paraId="278F4B4A">
      <w:pPr>
        <w:spacing w:line="360" w:lineRule="auto"/>
        <w:ind w:firstLine="482"/>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10.响应文件未按照磋商文件要求加盖电子签章。</w:t>
      </w:r>
    </w:p>
    <w:p w14:paraId="3F48163F">
      <w:pPr>
        <w:spacing w:line="360" w:lineRule="auto"/>
        <w:ind w:firstLine="482"/>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bCs/>
          <w:sz w:val="24"/>
          <w:szCs w:val="24"/>
          <w:highlight w:val="none"/>
        </w:rPr>
        <w:t>11.供应商的商务技术部分得分相差悬殊，磋商小组一致认为得分畸低者有可能影响产品质量或者不能诚信履约的。</w:t>
      </w:r>
    </w:p>
    <w:p w14:paraId="4B8A49D9">
      <w:pPr>
        <w:spacing w:line="360" w:lineRule="auto"/>
        <w:ind w:firstLine="482"/>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12.供应商在系统规定的时间内未成功解密电子响应文件的。</w:t>
      </w:r>
    </w:p>
    <w:p w14:paraId="133FF74E">
      <w:pPr>
        <w:spacing w:line="360" w:lineRule="auto"/>
        <w:ind w:firstLine="482"/>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13.供应商在规定的时间内未提交最终报价的。</w:t>
      </w:r>
    </w:p>
    <w:p w14:paraId="17FF2D47">
      <w:pPr>
        <w:spacing w:line="360" w:lineRule="auto"/>
        <w:ind w:firstLine="482"/>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14.未完整上传响应文件电子文档的,或上传的文件打不开的。</w:t>
      </w:r>
    </w:p>
    <w:p w14:paraId="3378AA47">
      <w:pPr>
        <w:spacing w:line="360" w:lineRule="auto"/>
        <w:ind w:firstLine="482"/>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15.不同的供应商响应文件制作机器码、文件创建标识码一致的。</w:t>
      </w:r>
    </w:p>
    <w:p w14:paraId="37292316">
      <w:pPr>
        <w:pStyle w:val="23"/>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16.其他法律、法规及本磋商文件规定的属无效响应的情形。</w:t>
      </w:r>
    </w:p>
    <w:p w14:paraId="4033CCCC">
      <w:pPr>
        <w:spacing w:line="360" w:lineRule="auto"/>
        <w:ind w:firstLine="482"/>
        <w:rPr>
          <w:rFonts w:hint="eastAsia" w:cs="宋体" w:asciiTheme="minorEastAsia" w:hAnsiTheme="minorEastAsia" w:eastAsiaTheme="minorEastAsia"/>
          <w:b/>
          <w:sz w:val="24"/>
          <w:szCs w:val="24"/>
          <w:highlight w:val="none"/>
        </w:rPr>
      </w:pPr>
      <w:r>
        <w:rPr>
          <w:rFonts w:hint="eastAsia" w:cs="宋体" w:asciiTheme="minorEastAsia" w:hAnsiTheme="minorEastAsia" w:eastAsiaTheme="minorEastAsia"/>
          <w:b/>
          <w:sz w:val="24"/>
          <w:szCs w:val="24"/>
          <w:highlight w:val="none"/>
        </w:rPr>
        <w:t>（七）出现下列情形之一的，本次竞争性磋商采购活动将被终止</w:t>
      </w:r>
    </w:p>
    <w:p w14:paraId="1E4484BB">
      <w:pPr>
        <w:spacing w:line="360" w:lineRule="auto"/>
        <w:ind w:firstLine="482"/>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1.因情况变化，不再符合规定的竞争性磋商采购方式适用情形的。</w:t>
      </w:r>
    </w:p>
    <w:p w14:paraId="45A4AC83">
      <w:pPr>
        <w:spacing w:line="360" w:lineRule="auto"/>
        <w:ind w:firstLine="482"/>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2.出现影响采购公正的违法、违规行为的。</w:t>
      </w:r>
    </w:p>
    <w:p w14:paraId="597AE85E">
      <w:pPr>
        <w:spacing w:line="360" w:lineRule="auto"/>
        <w:ind w:firstLine="482"/>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3.除《政府采购竞争性磋商采购方式理暂行办法》第三条第一款第四项及《财政部关于竞争性磋商采购方式管理暂行办法有关问题的补充通知》（财库[2015]124号）规定情形规定的情形外，在采购过程中符合要求的供应商或者最后报价未超过采购预算的供应商不足3家的。</w:t>
      </w:r>
    </w:p>
    <w:p w14:paraId="5B3142A0">
      <w:pPr>
        <w:spacing w:line="360" w:lineRule="auto"/>
        <w:ind w:firstLine="482"/>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4.在苏采云系统规定时间内成功解密电子响应文件的供应商不足3家的。</w:t>
      </w:r>
    </w:p>
    <w:p w14:paraId="0BD5E439">
      <w:pPr>
        <w:spacing w:line="360" w:lineRule="auto"/>
        <w:ind w:firstLine="482"/>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5.因重大变故，采购任务取消的。</w:t>
      </w:r>
    </w:p>
    <w:p w14:paraId="27A107FF">
      <w:pPr>
        <w:spacing w:line="360" w:lineRule="auto"/>
        <w:ind w:firstLine="482"/>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6.磋商小组认定磋商文件存在歧义、重大缺陷导致评审工作无法进行。</w:t>
      </w:r>
    </w:p>
    <w:p w14:paraId="67BC7855">
      <w:pPr>
        <w:spacing w:line="360" w:lineRule="auto"/>
        <w:ind w:firstLine="482"/>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7.因系统故障原因造成磋商无法继续进行的。</w:t>
      </w:r>
    </w:p>
    <w:p w14:paraId="446145A5">
      <w:pPr>
        <w:spacing w:line="360" w:lineRule="auto"/>
        <w:ind w:firstLine="482"/>
        <w:rPr>
          <w:rFonts w:hint="eastAsia" w:cs="宋体" w:asciiTheme="minorEastAsia" w:hAnsiTheme="minorEastAsia" w:eastAsiaTheme="minorEastAsia"/>
          <w:b/>
          <w:sz w:val="24"/>
          <w:szCs w:val="24"/>
          <w:highlight w:val="none"/>
        </w:rPr>
      </w:pPr>
      <w:r>
        <w:rPr>
          <w:rFonts w:hint="eastAsia" w:cs="宋体" w:asciiTheme="minorEastAsia" w:hAnsiTheme="minorEastAsia" w:eastAsiaTheme="minorEastAsia"/>
          <w:b/>
          <w:sz w:val="24"/>
          <w:szCs w:val="24"/>
          <w:highlight w:val="none"/>
        </w:rPr>
        <w:t>（八）其他</w:t>
      </w:r>
    </w:p>
    <w:p w14:paraId="62B9B2F1">
      <w:pPr>
        <w:spacing w:line="360" w:lineRule="auto"/>
        <w:ind w:firstLine="482"/>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当排名第一的中标候选人无正当理由放弃中标，被查实存在影响中标结果的违法行为等情形，采购人有权按照政府采购相关法律法规的规定对其采取惩戒措施，包含但不限于列入采购失信人黑名单等措施。</w:t>
      </w:r>
    </w:p>
    <w:p w14:paraId="0912A5E4">
      <w:pPr>
        <w:spacing w:line="360" w:lineRule="auto"/>
        <w:ind w:firstLine="482"/>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当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14:paraId="2B72C33E">
      <w:pPr>
        <w:ind w:left="547" w:firstLine="482"/>
        <w:rPr>
          <w:rFonts w:hint="eastAsia" w:ascii="宋体" w:hAnsi="宋体" w:cs="宋体"/>
          <w:highlight w:val="none"/>
        </w:rPr>
      </w:pPr>
    </w:p>
    <w:p w14:paraId="6CB8E9D4">
      <w:pPr>
        <w:spacing w:line="480" w:lineRule="exact"/>
        <w:ind w:left="547" w:firstLine="880"/>
        <w:rPr>
          <w:rFonts w:hint="eastAsia" w:ascii="宋体" w:hAnsi="宋体" w:cs="宋体"/>
          <w:b/>
          <w:sz w:val="44"/>
          <w:szCs w:val="44"/>
          <w:highlight w:val="none"/>
        </w:rPr>
      </w:pPr>
    </w:p>
    <w:p w14:paraId="0CEF4EB9">
      <w:pPr>
        <w:ind w:left="547" w:firstLine="883"/>
        <w:rPr>
          <w:rFonts w:hint="eastAsia" w:ascii="宋体" w:hAnsi="宋体" w:cs="宋体"/>
          <w:b/>
          <w:sz w:val="44"/>
          <w:szCs w:val="44"/>
          <w:highlight w:val="none"/>
        </w:rPr>
      </w:pPr>
      <w:r>
        <w:rPr>
          <w:rFonts w:hint="eastAsia" w:ascii="宋体" w:hAnsi="宋体" w:cs="宋体"/>
          <w:b/>
          <w:sz w:val="44"/>
          <w:szCs w:val="44"/>
          <w:highlight w:val="none"/>
        </w:rPr>
        <w:br w:type="page" w:clear="all"/>
      </w:r>
    </w:p>
    <w:p w14:paraId="53ABC77A">
      <w:pPr>
        <w:spacing w:line="480" w:lineRule="exact"/>
        <w:ind w:left="547" w:firstLine="883"/>
        <w:jc w:val="center"/>
        <w:outlineLvl w:val="1"/>
        <w:rPr>
          <w:rFonts w:hint="eastAsia" w:ascii="宋体" w:hAnsi="宋体" w:cs="宋体"/>
          <w:b/>
          <w:sz w:val="44"/>
          <w:szCs w:val="44"/>
          <w:highlight w:val="none"/>
        </w:rPr>
      </w:pPr>
      <w:r>
        <w:rPr>
          <w:rFonts w:hint="eastAsia" w:ascii="宋体" w:hAnsi="宋体" w:cs="宋体"/>
          <w:b/>
          <w:sz w:val="44"/>
          <w:szCs w:val="44"/>
          <w:highlight w:val="none"/>
        </w:rPr>
        <w:t>第五章  响应文件组成及格式</w:t>
      </w:r>
    </w:p>
    <w:p w14:paraId="00107CF9">
      <w:pPr>
        <w:spacing w:line="360" w:lineRule="auto"/>
        <w:ind w:firstLine="482"/>
        <w:rPr>
          <w:rFonts w:hint="eastAsia" w:ascii="宋体" w:hAnsi="宋体" w:cs="宋体"/>
          <w:b/>
          <w:bCs/>
          <w:sz w:val="24"/>
          <w:szCs w:val="24"/>
          <w:highlight w:val="none"/>
          <w:lang w:val="zh-CN"/>
        </w:rPr>
      </w:pPr>
      <w:r>
        <w:rPr>
          <w:rFonts w:hint="eastAsia" w:ascii="宋体" w:hAnsi="宋体" w:cs="宋体"/>
          <w:b/>
          <w:bCs/>
          <w:sz w:val="24"/>
          <w:szCs w:val="24"/>
          <w:highlight w:val="none"/>
          <w:lang w:val="zh-CN"/>
        </w:rPr>
        <w:t>由资格审查证明文件、技术响应文件、价格文件</w:t>
      </w:r>
      <w:r>
        <w:rPr>
          <w:rFonts w:hint="eastAsia" w:ascii="宋体" w:hAnsi="宋体" w:cs="宋体"/>
          <w:b/>
          <w:bCs/>
          <w:sz w:val="24"/>
          <w:szCs w:val="24"/>
          <w:highlight w:val="none"/>
        </w:rPr>
        <w:t>三</w:t>
      </w:r>
      <w:r>
        <w:rPr>
          <w:rFonts w:hint="eastAsia" w:ascii="宋体" w:hAnsi="宋体" w:cs="宋体"/>
          <w:b/>
          <w:bCs/>
          <w:sz w:val="24"/>
          <w:szCs w:val="24"/>
          <w:highlight w:val="none"/>
          <w:lang w:val="zh-CN"/>
        </w:rPr>
        <w:t>部分组成。</w:t>
      </w:r>
    </w:p>
    <w:p w14:paraId="13971448">
      <w:pPr>
        <w:spacing w:line="440" w:lineRule="exact"/>
        <w:ind w:firstLine="482"/>
        <w:rPr>
          <w:rFonts w:hint="eastAsia" w:ascii="宋体" w:hAnsi="宋体" w:cs="宋体"/>
          <w:sz w:val="24"/>
          <w:szCs w:val="24"/>
          <w:highlight w:val="none"/>
          <w:lang w:val="zh-CN"/>
        </w:rPr>
      </w:pPr>
      <w:r>
        <w:rPr>
          <w:rFonts w:hint="eastAsia" w:ascii="宋体" w:hAnsi="宋体" w:cs="宋体"/>
          <w:sz w:val="24"/>
          <w:szCs w:val="24"/>
          <w:highlight w:val="none"/>
          <w:lang w:val="zh-CN"/>
        </w:rPr>
        <w:t>一、资格审查证明文件（不能出现商务技术文件、价格文件）</w:t>
      </w:r>
    </w:p>
    <w:p w14:paraId="25F1CE00">
      <w:pPr>
        <w:spacing w:line="440" w:lineRule="exact"/>
        <w:ind w:firstLine="482"/>
        <w:rPr>
          <w:rFonts w:hint="eastAsia" w:ascii="宋体" w:hAnsi="宋体" w:cs="宋体"/>
          <w:sz w:val="24"/>
          <w:szCs w:val="24"/>
          <w:highlight w:val="none"/>
          <w:lang w:val="zh-CN"/>
        </w:rPr>
      </w:pPr>
      <w:r>
        <w:rPr>
          <w:rFonts w:hint="eastAsia" w:ascii="宋体" w:hAnsi="宋体" w:cs="宋体"/>
          <w:sz w:val="24"/>
          <w:szCs w:val="24"/>
          <w:highlight w:val="none"/>
          <w:lang w:val="zh-CN"/>
        </w:rPr>
        <w:t>1.投标供应商符合《政府采购法》第二十二条规定条件的承诺函（格式见附件1）；</w:t>
      </w:r>
    </w:p>
    <w:p w14:paraId="48788DD7">
      <w:pPr>
        <w:spacing w:line="440" w:lineRule="exact"/>
        <w:ind w:firstLine="482"/>
        <w:rPr>
          <w:rFonts w:hint="eastAsia" w:ascii="宋体" w:hAnsi="宋体" w:cs="宋体"/>
          <w:sz w:val="24"/>
          <w:szCs w:val="24"/>
          <w:highlight w:val="none"/>
          <w:lang w:val="zh-CN"/>
        </w:rPr>
      </w:pPr>
      <w:r>
        <w:rPr>
          <w:rFonts w:hint="eastAsia" w:ascii="宋体" w:hAnsi="宋体" w:cs="宋体"/>
          <w:sz w:val="24"/>
          <w:szCs w:val="24"/>
          <w:highlight w:val="none"/>
          <w:lang w:val="zh-CN"/>
        </w:rPr>
        <w:t>2.法定代表人投标需提供法定代表人身份证明书原件，法定代表人身份证复印件或扫描件（格式见附件2）；授权委托人投标需提供法定代表人身份证明书、法定代表人授权委托书原件，磋商代表本人身份证复印件或扫描件（格式见附件3）；</w:t>
      </w:r>
    </w:p>
    <w:p w14:paraId="53E64F70">
      <w:pPr>
        <w:spacing w:line="440" w:lineRule="exact"/>
        <w:ind w:firstLine="482"/>
        <w:rPr>
          <w:rFonts w:hint="eastAsia" w:ascii="宋体" w:hAnsi="宋体" w:cs="宋体"/>
          <w:sz w:val="24"/>
          <w:szCs w:val="24"/>
          <w:highlight w:val="none"/>
          <w:lang w:val="zh-CN"/>
        </w:rPr>
      </w:pPr>
      <w:r>
        <w:rPr>
          <w:rFonts w:hint="eastAsia" w:ascii="宋体" w:hAnsi="宋体" w:cs="宋体"/>
          <w:sz w:val="24"/>
          <w:szCs w:val="24"/>
          <w:highlight w:val="none"/>
          <w:lang w:val="zh-CN"/>
        </w:rPr>
        <w:t>3.有效的营业执照（副本）扫描件；</w:t>
      </w:r>
    </w:p>
    <w:p w14:paraId="45826FD4">
      <w:pPr>
        <w:spacing w:line="440" w:lineRule="exact"/>
        <w:ind w:firstLine="482"/>
        <w:jc w:val="left"/>
        <w:rPr>
          <w:rFonts w:hint="eastAsia" w:ascii="宋体" w:hAnsi="宋体" w:cs="宋体"/>
          <w:sz w:val="24"/>
          <w:szCs w:val="24"/>
          <w:highlight w:val="none"/>
          <w:lang w:val="zh-CN"/>
        </w:rPr>
      </w:pPr>
      <w:r>
        <w:rPr>
          <w:rFonts w:hint="eastAsia" w:ascii="宋体" w:hAnsi="宋体" w:cs="宋体"/>
          <w:sz w:val="24"/>
          <w:szCs w:val="24"/>
          <w:highlight w:val="none"/>
          <w:lang w:val="zh-CN"/>
        </w:rPr>
        <w:t>4.</w:t>
      </w:r>
      <w:r>
        <w:rPr>
          <w:rFonts w:hint="eastAsia" w:cs="宋体" w:asciiTheme="minorEastAsia" w:hAnsiTheme="minorEastAsia" w:eastAsiaTheme="minorEastAsia"/>
          <w:sz w:val="24"/>
          <w:szCs w:val="24"/>
          <w:highlight w:val="none"/>
          <w:lang w:val="zh-CN"/>
        </w:rPr>
        <w:t>提供中小企业声明函（格式见附件4）或残疾人福利性单位声明函（格式见附件5）或监狱和戒毒企业证明材料（格式见附件6）。</w:t>
      </w:r>
    </w:p>
    <w:p w14:paraId="3808E052">
      <w:pPr>
        <w:spacing w:line="440" w:lineRule="exact"/>
        <w:ind w:firstLine="482"/>
        <w:rPr>
          <w:rFonts w:hint="eastAsia" w:ascii="宋体" w:hAnsi="宋体" w:cs="宋体"/>
          <w:sz w:val="24"/>
          <w:szCs w:val="24"/>
          <w:highlight w:val="none"/>
        </w:rPr>
      </w:pPr>
      <w:r>
        <w:rPr>
          <w:rFonts w:hint="eastAsia" w:ascii="宋体" w:hAnsi="宋体" w:cs="宋体"/>
          <w:sz w:val="24"/>
          <w:szCs w:val="24"/>
          <w:highlight w:val="none"/>
        </w:rPr>
        <w:t>5.</w:t>
      </w:r>
      <w:r>
        <w:rPr>
          <w:rFonts w:hint="eastAsia" w:ascii="宋体" w:hAnsi="宋体" w:cs="宋体"/>
          <w:sz w:val="24"/>
          <w:szCs w:val="24"/>
          <w:highlight w:val="none"/>
          <w:lang w:val="zh-CN"/>
        </w:rPr>
        <w:t>未被“信用中国”网站（www.creditchina.gov.cn）列入失信被执行人、重大税收违法失信主体名单、政府采购严重违法失信行为记录名单、</w:t>
      </w:r>
      <w:r>
        <w:rPr>
          <w:rFonts w:hint="eastAsia" w:cs="宋体" w:asciiTheme="minorEastAsia" w:hAnsiTheme="minorEastAsia" w:eastAsiaTheme="minorEastAsia"/>
          <w:sz w:val="24"/>
          <w:szCs w:val="24"/>
          <w:highlight w:val="none"/>
        </w:rPr>
        <w:t>经营异常名录</w:t>
      </w:r>
      <w:r>
        <w:rPr>
          <w:rFonts w:hint="eastAsia" w:ascii="宋体" w:hAnsi="宋体" w:cs="宋体"/>
          <w:sz w:val="24"/>
          <w:szCs w:val="24"/>
          <w:highlight w:val="none"/>
          <w:lang w:val="zh-CN"/>
        </w:rPr>
        <w:t>，</w:t>
      </w:r>
      <w:r>
        <w:rPr>
          <w:rFonts w:hint="eastAsia" w:ascii="宋体" w:hAnsi="宋体" w:cs="宋体"/>
          <w:sz w:val="24"/>
          <w:szCs w:val="24"/>
          <w:highlight w:val="none"/>
        </w:rPr>
        <w:t>投标时提供无重大违法记录声明</w:t>
      </w:r>
      <w:r>
        <w:rPr>
          <w:rFonts w:hint="eastAsia" w:ascii="宋体" w:hAnsi="宋体" w:cs="宋体"/>
          <w:sz w:val="24"/>
          <w:szCs w:val="24"/>
          <w:highlight w:val="none"/>
          <w:lang w:val="zh-CN"/>
        </w:rPr>
        <w:t>（格式见附件</w:t>
      </w:r>
      <w:r>
        <w:rPr>
          <w:rFonts w:hint="eastAsia" w:ascii="宋体" w:hAnsi="宋体" w:cs="宋体"/>
          <w:sz w:val="24"/>
          <w:szCs w:val="24"/>
          <w:highlight w:val="none"/>
        </w:rPr>
        <w:t>7</w:t>
      </w:r>
      <w:r>
        <w:rPr>
          <w:rFonts w:hint="eastAsia" w:ascii="宋体" w:hAnsi="宋体" w:cs="宋体"/>
          <w:sz w:val="24"/>
          <w:szCs w:val="24"/>
          <w:highlight w:val="none"/>
          <w:lang w:val="zh-CN"/>
        </w:rPr>
        <w:t>）。</w:t>
      </w:r>
    </w:p>
    <w:p w14:paraId="47928E7E">
      <w:pPr>
        <w:spacing w:line="440" w:lineRule="exact"/>
        <w:ind w:firstLine="482"/>
        <w:rPr>
          <w:rFonts w:hint="eastAsia" w:ascii="宋体" w:hAnsi="宋体" w:cs="宋体"/>
          <w:sz w:val="24"/>
          <w:szCs w:val="24"/>
          <w:highlight w:val="none"/>
          <w:lang w:val="zh-CN"/>
        </w:rPr>
      </w:pPr>
      <w:r>
        <w:rPr>
          <w:rFonts w:hint="eastAsia" w:ascii="宋体" w:hAnsi="宋体" w:cs="宋体"/>
          <w:sz w:val="24"/>
          <w:szCs w:val="24"/>
          <w:highlight w:val="none"/>
          <w:lang w:val="zh-CN"/>
        </w:rPr>
        <w:t>（</w:t>
      </w:r>
      <w:r>
        <w:rPr>
          <w:rFonts w:hint="eastAsia" w:ascii="宋体" w:hAnsi="宋体" w:cs="宋体"/>
          <w:sz w:val="24"/>
          <w:szCs w:val="24"/>
          <w:highlight w:val="none"/>
        </w:rPr>
        <w:t>如采购</w:t>
      </w:r>
      <w:r>
        <w:rPr>
          <w:rFonts w:hint="eastAsia" w:ascii="宋体" w:hAnsi="宋体" w:cs="宋体"/>
          <w:sz w:val="24"/>
          <w:szCs w:val="24"/>
          <w:highlight w:val="none"/>
          <w:lang w:val="zh-CN"/>
        </w:rPr>
        <w:t>文件要求提供的资格审查证明材料中没有对应的接口上传的资料，可以在本部分的其他材料的接口中上传）</w:t>
      </w:r>
    </w:p>
    <w:p w14:paraId="5C715668">
      <w:pPr>
        <w:spacing w:line="440" w:lineRule="exact"/>
        <w:ind w:firstLine="482"/>
        <w:rPr>
          <w:rFonts w:hint="eastAsia" w:ascii="宋体" w:hAnsi="宋体" w:cs="宋体"/>
          <w:sz w:val="24"/>
          <w:szCs w:val="24"/>
          <w:highlight w:val="none"/>
          <w:lang w:val="zh-CN"/>
        </w:rPr>
      </w:pPr>
      <w:r>
        <w:rPr>
          <w:rFonts w:hint="eastAsia" w:ascii="宋体" w:hAnsi="宋体" w:cs="宋体"/>
          <w:sz w:val="24"/>
          <w:szCs w:val="24"/>
          <w:highlight w:val="none"/>
          <w:lang w:val="zh-CN"/>
        </w:rPr>
        <w:t>二、商务响应文件（不能出现价格文件）</w:t>
      </w:r>
    </w:p>
    <w:p w14:paraId="030CBD6F">
      <w:pPr>
        <w:spacing w:line="440" w:lineRule="exact"/>
        <w:ind w:firstLine="482"/>
        <w:rPr>
          <w:rFonts w:hint="eastAsia" w:ascii="宋体" w:hAnsi="宋体" w:cs="宋体"/>
          <w:sz w:val="24"/>
          <w:szCs w:val="24"/>
          <w:highlight w:val="none"/>
          <w:lang w:val="zh-CN"/>
        </w:rPr>
      </w:pPr>
      <w:r>
        <w:rPr>
          <w:rFonts w:hint="eastAsia" w:ascii="宋体" w:hAnsi="宋体" w:cs="宋体"/>
          <w:sz w:val="24"/>
          <w:szCs w:val="24"/>
          <w:highlight w:val="none"/>
          <w:lang w:val="zh-CN"/>
        </w:rPr>
        <w:t>1.商务部分正负偏离表；（格式见附件</w:t>
      </w:r>
      <w:r>
        <w:rPr>
          <w:rFonts w:hint="eastAsia" w:ascii="宋体" w:hAnsi="宋体" w:cs="宋体"/>
          <w:sz w:val="24"/>
          <w:szCs w:val="24"/>
          <w:highlight w:val="none"/>
        </w:rPr>
        <w:t>8</w:t>
      </w:r>
      <w:r>
        <w:rPr>
          <w:rFonts w:hint="eastAsia" w:ascii="宋体" w:hAnsi="宋体" w:cs="宋体"/>
          <w:sz w:val="24"/>
          <w:szCs w:val="24"/>
          <w:highlight w:val="none"/>
          <w:lang w:val="zh-CN"/>
        </w:rPr>
        <w:t>）；</w:t>
      </w:r>
    </w:p>
    <w:p w14:paraId="1ACC0326">
      <w:pPr>
        <w:spacing w:line="440" w:lineRule="exact"/>
        <w:ind w:firstLine="482"/>
        <w:rPr>
          <w:rFonts w:hint="eastAsia" w:ascii="宋体" w:hAnsi="宋体" w:cs="宋体"/>
          <w:sz w:val="24"/>
          <w:szCs w:val="24"/>
          <w:highlight w:val="none"/>
          <w:lang w:val="zh-CN"/>
        </w:rPr>
      </w:pPr>
      <w:r>
        <w:rPr>
          <w:rFonts w:hint="eastAsia" w:ascii="宋体" w:hAnsi="宋体" w:cs="宋体"/>
          <w:sz w:val="24"/>
          <w:szCs w:val="24"/>
          <w:highlight w:val="none"/>
          <w:lang w:val="zh-CN"/>
        </w:rPr>
        <w:t>2.技术部分正负偏离表；（格式见附件</w:t>
      </w:r>
      <w:r>
        <w:rPr>
          <w:rFonts w:hint="eastAsia" w:ascii="宋体" w:hAnsi="宋体" w:cs="宋体"/>
          <w:sz w:val="24"/>
          <w:szCs w:val="24"/>
          <w:highlight w:val="none"/>
        </w:rPr>
        <w:t>9</w:t>
      </w:r>
      <w:r>
        <w:rPr>
          <w:rFonts w:hint="eastAsia" w:ascii="宋体" w:hAnsi="宋体" w:cs="宋体"/>
          <w:sz w:val="24"/>
          <w:szCs w:val="24"/>
          <w:highlight w:val="none"/>
          <w:lang w:val="zh-CN"/>
        </w:rPr>
        <w:t>）；</w:t>
      </w:r>
    </w:p>
    <w:p w14:paraId="1FA188A6">
      <w:pPr>
        <w:spacing w:line="440" w:lineRule="exact"/>
        <w:ind w:firstLine="482"/>
        <w:rPr>
          <w:rFonts w:hint="eastAsia" w:ascii="宋体" w:hAnsi="宋体" w:cs="宋体"/>
          <w:sz w:val="24"/>
          <w:szCs w:val="24"/>
          <w:highlight w:val="none"/>
          <w:lang w:val="zh-CN"/>
        </w:rPr>
      </w:pPr>
      <w:r>
        <w:rPr>
          <w:rFonts w:hint="eastAsia" w:ascii="宋体" w:hAnsi="宋体" w:cs="宋体"/>
          <w:sz w:val="24"/>
          <w:szCs w:val="24"/>
          <w:highlight w:val="none"/>
          <w:lang w:val="zh-CN"/>
        </w:rPr>
        <w:t>3.商务技术评分标准中须提供的相关得分佐证材料；</w:t>
      </w:r>
    </w:p>
    <w:p w14:paraId="1304097F">
      <w:pPr>
        <w:spacing w:line="440" w:lineRule="exact"/>
        <w:ind w:firstLine="482"/>
        <w:rPr>
          <w:rFonts w:hint="eastAsia" w:ascii="宋体" w:hAnsi="宋体" w:cs="宋体"/>
          <w:sz w:val="24"/>
          <w:szCs w:val="24"/>
          <w:highlight w:val="none"/>
          <w:lang w:val="zh-CN"/>
        </w:rPr>
      </w:pPr>
      <w:r>
        <w:rPr>
          <w:rFonts w:hint="eastAsia" w:ascii="宋体" w:hAnsi="宋体" w:cs="宋体"/>
          <w:sz w:val="24"/>
          <w:szCs w:val="24"/>
          <w:highlight w:val="none"/>
          <w:lang w:val="zh-CN"/>
        </w:rPr>
        <w:t>4.供应商认为需要提交的其他商务技术材料。</w:t>
      </w:r>
    </w:p>
    <w:p w14:paraId="1CED01AA">
      <w:pPr>
        <w:spacing w:line="440" w:lineRule="exact"/>
        <w:ind w:firstLine="482"/>
        <w:rPr>
          <w:rFonts w:hint="eastAsia" w:ascii="宋体" w:hAnsi="宋体" w:cs="宋体"/>
          <w:sz w:val="24"/>
          <w:szCs w:val="24"/>
          <w:highlight w:val="none"/>
          <w:lang w:val="zh-CN"/>
        </w:rPr>
      </w:pPr>
      <w:r>
        <w:rPr>
          <w:rFonts w:hint="eastAsia" w:ascii="宋体" w:hAnsi="宋体" w:cs="宋体"/>
          <w:sz w:val="24"/>
          <w:szCs w:val="24"/>
          <w:highlight w:val="none"/>
          <w:lang w:val="zh-CN"/>
        </w:rPr>
        <w:t>（</w:t>
      </w:r>
      <w:r>
        <w:rPr>
          <w:rFonts w:hint="eastAsia" w:ascii="宋体" w:hAnsi="宋体" w:cs="宋体"/>
          <w:sz w:val="24"/>
          <w:szCs w:val="24"/>
          <w:highlight w:val="none"/>
        </w:rPr>
        <w:t>如采购</w:t>
      </w:r>
      <w:r>
        <w:rPr>
          <w:rFonts w:hint="eastAsia" w:ascii="宋体" w:hAnsi="宋体" w:cs="宋体"/>
          <w:sz w:val="24"/>
          <w:szCs w:val="24"/>
          <w:highlight w:val="none"/>
          <w:lang w:val="zh-CN"/>
        </w:rPr>
        <w:t>文件要求提供的商务技术标材料中没有对应的接口上传的资料，可以在本部分的其他材料的接口中上传）</w:t>
      </w:r>
    </w:p>
    <w:p w14:paraId="4B6596E5">
      <w:pPr>
        <w:spacing w:line="440" w:lineRule="exact"/>
        <w:ind w:firstLine="482"/>
        <w:rPr>
          <w:rFonts w:hint="eastAsia" w:ascii="宋体" w:hAnsi="宋体" w:cs="宋体"/>
          <w:sz w:val="24"/>
          <w:szCs w:val="24"/>
          <w:highlight w:val="none"/>
          <w:lang w:val="zh-CN"/>
        </w:rPr>
      </w:pPr>
      <w:r>
        <w:rPr>
          <w:rFonts w:hint="eastAsia" w:ascii="宋体" w:hAnsi="宋体" w:cs="宋体"/>
          <w:sz w:val="24"/>
          <w:szCs w:val="24"/>
          <w:highlight w:val="none"/>
          <w:lang w:val="zh-CN"/>
        </w:rPr>
        <w:t>三、价格文件</w:t>
      </w:r>
    </w:p>
    <w:p w14:paraId="135ABB9E">
      <w:pPr>
        <w:spacing w:line="440" w:lineRule="exact"/>
        <w:ind w:firstLine="482"/>
        <w:rPr>
          <w:rFonts w:hint="eastAsia" w:ascii="宋体" w:hAnsi="宋体" w:cs="宋体"/>
          <w:sz w:val="24"/>
          <w:szCs w:val="24"/>
          <w:highlight w:val="none"/>
          <w:lang w:val="zh-CN"/>
        </w:rPr>
      </w:pPr>
      <w:r>
        <w:rPr>
          <w:rFonts w:hint="eastAsia" w:ascii="宋体" w:hAnsi="宋体" w:cs="宋体"/>
          <w:sz w:val="24"/>
          <w:szCs w:val="24"/>
          <w:highlight w:val="none"/>
          <w:lang w:val="zh-CN"/>
        </w:rPr>
        <w:t>1.磋商报价表（格式见附件</w:t>
      </w:r>
      <w:r>
        <w:rPr>
          <w:rFonts w:hint="eastAsia" w:ascii="宋体" w:hAnsi="宋体" w:cs="宋体"/>
          <w:sz w:val="24"/>
          <w:szCs w:val="24"/>
          <w:highlight w:val="none"/>
        </w:rPr>
        <w:t>10</w:t>
      </w:r>
      <w:r>
        <w:rPr>
          <w:rFonts w:hint="eastAsia" w:ascii="宋体" w:hAnsi="宋体" w:cs="宋体"/>
          <w:sz w:val="24"/>
          <w:szCs w:val="24"/>
          <w:highlight w:val="none"/>
          <w:lang w:val="zh-CN"/>
        </w:rPr>
        <w:t>）；</w:t>
      </w:r>
    </w:p>
    <w:p w14:paraId="1ADC4982">
      <w:pPr>
        <w:spacing w:line="440" w:lineRule="exact"/>
        <w:ind w:firstLine="482"/>
        <w:rPr>
          <w:rFonts w:hint="eastAsia" w:ascii="宋体" w:hAnsi="宋体" w:cs="宋体"/>
          <w:sz w:val="24"/>
          <w:szCs w:val="24"/>
          <w:highlight w:val="none"/>
          <w:lang w:val="zh-CN"/>
        </w:rPr>
      </w:pPr>
      <w:r>
        <w:rPr>
          <w:rFonts w:hint="eastAsia" w:ascii="宋体" w:hAnsi="宋体" w:cs="宋体"/>
          <w:sz w:val="24"/>
          <w:szCs w:val="24"/>
          <w:highlight w:val="none"/>
          <w:lang w:val="zh-CN"/>
        </w:rPr>
        <w:t>2.分项报价表（格式见附件</w:t>
      </w:r>
      <w:r>
        <w:rPr>
          <w:rFonts w:hint="eastAsia" w:ascii="宋体" w:hAnsi="宋体" w:cs="宋体"/>
          <w:sz w:val="24"/>
          <w:szCs w:val="24"/>
          <w:highlight w:val="none"/>
        </w:rPr>
        <w:t>11</w:t>
      </w:r>
      <w:r>
        <w:rPr>
          <w:rFonts w:hint="eastAsia" w:ascii="宋体" w:hAnsi="宋体" w:cs="宋体"/>
          <w:sz w:val="24"/>
          <w:szCs w:val="24"/>
          <w:highlight w:val="none"/>
          <w:lang w:val="zh-CN"/>
        </w:rPr>
        <w:t>）；</w:t>
      </w:r>
    </w:p>
    <w:p w14:paraId="0FFCC10B">
      <w:pPr>
        <w:spacing w:line="440" w:lineRule="exact"/>
        <w:ind w:firstLine="482"/>
        <w:rPr>
          <w:rFonts w:hint="eastAsia" w:ascii="宋体" w:hAnsi="宋体" w:cs="宋体"/>
          <w:sz w:val="24"/>
          <w:szCs w:val="24"/>
          <w:highlight w:val="none"/>
          <w:lang w:val="zh-CN"/>
        </w:rPr>
      </w:pPr>
      <w:r>
        <w:rPr>
          <w:rFonts w:hint="eastAsia" w:ascii="宋体" w:hAnsi="宋体" w:cs="宋体"/>
          <w:sz w:val="24"/>
          <w:szCs w:val="24"/>
          <w:highlight w:val="none"/>
          <w:lang w:val="zh-CN"/>
        </w:rPr>
        <w:t>3.供应商信用承诺书(附件</w:t>
      </w:r>
      <w:r>
        <w:rPr>
          <w:rFonts w:hint="eastAsia" w:ascii="宋体" w:hAnsi="宋体" w:cs="宋体"/>
          <w:sz w:val="24"/>
          <w:szCs w:val="24"/>
          <w:highlight w:val="none"/>
        </w:rPr>
        <w:t>12</w:t>
      </w:r>
      <w:r>
        <w:rPr>
          <w:rFonts w:hint="eastAsia" w:ascii="宋体" w:hAnsi="宋体" w:cs="宋体"/>
          <w:sz w:val="24"/>
          <w:szCs w:val="24"/>
          <w:highlight w:val="none"/>
          <w:lang w:val="zh-CN"/>
        </w:rPr>
        <w:t>）。</w:t>
      </w:r>
    </w:p>
    <w:p w14:paraId="6E867B0A">
      <w:pPr>
        <w:spacing w:line="440" w:lineRule="exact"/>
        <w:ind w:firstLine="482"/>
        <w:rPr>
          <w:rFonts w:hint="eastAsia" w:ascii="宋体" w:hAnsi="宋体" w:cs="宋体"/>
          <w:sz w:val="24"/>
          <w:szCs w:val="24"/>
          <w:highlight w:val="none"/>
          <w:lang w:val="zh-CN"/>
        </w:rPr>
      </w:pPr>
      <w:r>
        <w:rPr>
          <w:rFonts w:hint="eastAsia" w:ascii="宋体" w:hAnsi="宋体" w:cs="宋体"/>
          <w:sz w:val="24"/>
          <w:szCs w:val="24"/>
          <w:highlight w:val="none"/>
          <w:lang w:val="zh-CN"/>
        </w:rPr>
        <w:t>（如</w:t>
      </w:r>
      <w:r>
        <w:rPr>
          <w:rFonts w:hint="eastAsia" w:ascii="宋体" w:hAnsi="宋体" w:cs="宋体"/>
          <w:sz w:val="24"/>
          <w:szCs w:val="24"/>
          <w:highlight w:val="none"/>
        </w:rPr>
        <w:t>采购</w:t>
      </w:r>
      <w:r>
        <w:rPr>
          <w:rFonts w:hint="eastAsia" w:ascii="宋体" w:hAnsi="宋体" w:cs="宋体"/>
          <w:sz w:val="24"/>
          <w:szCs w:val="24"/>
          <w:highlight w:val="none"/>
          <w:lang w:val="zh-CN"/>
        </w:rPr>
        <w:t>文件要求提供的价格标资料中没有对应的接口上传的资料可以在本部分的其他材料的接口中上传）</w:t>
      </w:r>
    </w:p>
    <w:p w14:paraId="382B29BE">
      <w:pPr>
        <w:spacing w:line="360" w:lineRule="auto"/>
        <w:ind w:firstLine="463"/>
        <w:contextualSpacing/>
        <w:rPr>
          <w:rFonts w:hint="eastAsia" w:ascii="宋体" w:hAnsi="宋体" w:cs="宋体"/>
          <w:b/>
          <w:sz w:val="24"/>
          <w:szCs w:val="24"/>
          <w:highlight w:val="none"/>
          <w:lang w:val="zh-CN"/>
        </w:rPr>
      </w:pPr>
    </w:p>
    <w:p w14:paraId="6AED2248">
      <w:pPr>
        <w:spacing w:line="400" w:lineRule="exact"/>
        <w:ind w:firstLine="482"/>
        <w:contextualSpacing/>
        <w:rPr>
          <w:rFonts w:hint="eastAsia" w:ascii="宋体" w:hAnsi="宋体" w:cs="宋体"/>
          <w:sz w:val="24"/>
          <w:szCs w:val="24"/>
          <w:highlight w:val="none"/>
          <w:lang w:val="zh-CN"/>
        </w:rPr>
      </w:pPr>
    </w:p>
    <w:p w14:paraId="26491034">
      <w:pPr>
        <w:spacing w:line="400" w:lineRule="exact"/>
        <w:ind w:firstLine="482"/>
        <w:contextualSpacing/>
        <w:rPr>
          <w:rFonts w:hint="eastAsia" w:ascii="宋体" w:hAnsi="宋体" w:cs="宋体"/>
          <w:sz w:val="24"/>
          <w:szCs w:val="24"/>
          <w:highlight w:val="none"/>
          <w:lang w:val="zh-CN"/>
        </w:rPr>
      </w:pPr>
    </w:p>
    <w:p w14:paraId="5BFF7208">
      <w:pPr>
        <w:spacing w:line="400" w:lineRule="exact"/>
        <w:ind w:firstLine="482"/>
        <w:contextualSpacing/>
        <w:rPr>
          <w:rFonts w:hint="eastAsia" w:ascii="宋体" w:hAnsi="宋体" w:cs="宋体"/>
          <w:sz w:val="24"/>
          <w:szCs w:val="24"/>
          <w:highlight w:val="none"/>
          <w:lang w:val="zh-CN"/>
        </w:rPr>
      </w:pPr>
    </w:p>
    <w:p w14:paraId="71C68042">
      <w:pPr>
        <w:spacing w:line="400" w:lineRule="exact"/>
        <w:ind w:firstLine="482"/>
        <w:contextualSpacing/>
        <w:rPr>
          <w:rFonts w:hint="eastAsia" w:ascii="宋体" w:hAnsi="宋体" w:cs="宋体"/>
          <w:sz w:val="24"/>
          <w:szCs w:val="24"/>
          <w:highlight w:val="none"/>
          <w:lang w:val="zh-CN"/>
        </w:rPr>
      </w:pPr>
      <w:r>
        <w:rPr>
          <w:rFonts w:hint="eastAsia" w:ascii="宋体" w:hAnsi="宋体" w:cs="宋体"/>
          <w:sz w:val="24"/>
          <w:szCs w:val="24"/>
          <w:highlight w:val="none"/>
          <w:lang w:val="zh-CN"/>
        </w:rPr>
        <w:t>附件1</w:t>
      </w:r>
    </w:p>
    <w:p w14:paraId="67335EA2">
      <w:pPr>
        <w:ind w:left="547" w:firstLine="480"/>
        <w:jc w:val="center"/>
        <w:rPr>
          <w:rFonts w:hint="eastAsia" w:ascii="宋体" w:hAnsi="宋体" w:cs="宋体"/>
          <w:b/>
          <w:sz w:val="24"/>
          <w:szCs w:val="24"/>
          <w:highlight w:val="none"/>
        </w:rPr>
      </w:pPr>
    </w:p>
    <w:p w14:paraId="38C25407">
      <w:pPr>
        <w:ind w:left="547" w:firstLine="480"/>
        <w:jc w:val="center"/>
        <w:rPr>
          <w:rFonts w:hint="eastAsia" w:ascii="宋体" w:hAnsi="宋体" w:cs="宋体"/>
          <w:b/>
          <w:sz w:val="24"/>
          <w:szCs w:val="24"/>
          <w:highlight w:val="none"/>
        </w:rPr>
      </w:pPr>
    </w:p>
    <w:p w14:paraId="121E6EF5">
      <w:pPr>
        <w:ind w:firstLine="482"/>
        <w:jc w:val="center"/>
        <w:rPr>
          <w:rFonts w:hint="eastAsia" w:ascii="宋体" w:hAnsi="宋体" w:cs="宋体"/>
          <w:b/>
          <w:sz w:val="24"/>
          <w:szCs w:val="24"/>
          <w:highlight w:val="none"/>
        </w:rPr>
      </w:pPr>
      <w:r>
        <w:rPr>
          <w:rFonts w:hint="eastAsia" w:ascii="宋体" w:hAnsi="宋体" w:cs="宋体"/>
          <w:b/>
          <w:sz w:val="24"/>
          <w:szCs w:val="24"/>
          <w:highlight w:val="none"/>
        </w:rPr>
        <w:t>投标供应商符合《政府采购法》第二十二条规定条件的声明函</w:t>
      </w:r>
    </w:p>
    <w:p w14:paraId="34935B63">
      <w:pPr>
        <w:spacing w:line="460" w:lineRule="exact"/>
        <w:ind w:left="547" w:firstLine="482"/>
        <w:rPr>
          <w:rFonts w:hint="eastAsia" w:ascii="宋体" w:hAnsi="宋体" w:cs="宋体"/>
          <w:b/>
          <w:bCs/>
          <w:sz w:val="24"/>
          <w:szCs w:val="24"/>
          <w:highlight w:val="none"/>
        </w:rPr>
      </w:pPr>
    </w:p>
    <w:p w14:paraId="1425A927">
      <w:pPr>
        <w:spacing w:line="360" w:lineRule="auto"/>
        <w:ind w:firstLine="480"/>
        <w:rPr>
          <w:rFonts w:hint="eastAsia" w:ascii="宋体" w:hAnsi="宋体" w:cs="宋体"/>
          <w:b/>
          <w:bCs/>
          <w:sz w:val="24"/>
          <w:szCs w:val="24"/>
          <w:highlight w:val="none"/>
        </w:rPr>
      </w:pPr>
      <w:r>
        <w:rPr>
          <w:rFonts w:hint="eastAsia" w:ascii="宋体" w:hAnsi="宋体" w:cs="宋体"/>
          <w:bCs/>
          <w:sz w:val="24"/>
          <w:szCs w:val="24"/>
          <w:highlight w:val="none"/>
        </w:rPr>
        <w:t>我单位参加</w:t>
      </w:r>
      <w:r>
        <w:rPr>
          <w:rFonts w:hint="eastAsia" w:ascii="宋体" w:hAnsi="宋体" w:cs="宋体"/>
          <w:bCs/>
          <w:sz w:val="24"/>
          <w:szCs w:val="24"/>
          <w:highlight w:val="none"/>
          <w:u w:val="single"/>
        </w:rPr>
        <w:t>________________ _</w:t>
      </w:r>
      <w:r>
        <w:rPr>
          <w:rFonts w:hint="eastAsia" w:ascii="宋体" w:hAnsi="宋体" w:cs="宋体"/>
          <w:bCs/>
          <w:sz w:val="24"/>
          <w:szCs w:val="24"/>
          <w:highlight w:val="none"/>
        </w:rPr>
        <w:t>（项目名称），</w:t>
      </w:r>
      <w:r>
        <w:rPr>
          <w:rFonts w:hint="eastAsia" w:ascii="宋体" w:hAnsi="宋体" w:cs="宋体"/>
          <w:bCs/>
          <w:sz w:val="24"/>
          <w:szCs w:val="24"/>
          <w:highlight w:val="none"/>
          <w:u w:val="single"/>
        </w:rPr>
        <w:t>_______ __________</w:t>
      </w:r>
      <w:r>
        <w:rPr>
          <w:rFonts w:hint="eastAsia" w:ascii="宋体" w:hAnsi="宋体" w:cs="宋体"/>
          <w:bCs/>
          <w:sz w:val="24"/>
          <w:szCs w:val="24"/>
          <w:highlight w:val="none"/>
        </w:rPr>
        <w:t>（项目编号）投标活动。针对《中华人民共和国政府采购法》第二十二条规定做出如下声明：</w:t>
      </w:r>
    </w:p>
    <w:p w14:paraId="03D6FBE3">
      <w:pPr>
        <w:spacing w:line="360" w:lineRule="auto"/>
        <w:ind w:firstLine="480"/>
        <w:rPr>
          <w:rFonts w:hint="eastAsia" w:ascii="宋体" w:hAnsi="宋体" w:cs="宋体"/>
          <w:sz w:val="24"/>
          <w:szCs w:val="24"/>
          <w:highlight w:val="none"/>
        </w:rPr>
      </w:pPr>
      <w:r>
        <w:rPr>
          <w:rFonts w:hint="eastAsia" w:ascii="宋体" w:hAnsi="宋体" w:cs="宋体"/>
          <w:bCs/>
          <w:sz w:val="24"/>
          <w:szCs w:val="24"/>
          <w:highlight w:val="none"/>
        </w:rPr>
        <w:t>1.我单位具有独立承担民事责任的能力；</w:t>
      </w:r>
    </w:p>
    <w:p w14:paraId="6989E836">
      <w:pPr>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2.我单位具有良好的商业信誉和健全的财务会计制度；</w:t>
      </w:r>
    </w:p>
    <w:p w14:paraId="6A9E5B06">
      <w:pPr>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3.我单位具有履行合同所必需的设备和专业技术能力；</w:t>
      </w:r>
    </w:p>
    <w:p w14:paraId="5816D53D">
      <w:pPr>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4.我单位有依法缴纳税收和社会保障资金的良好记录；</w:t>
      </w:r>
    </w:p>
    <w:p w14:paraId="7EFF59C0">
      <w:pPr>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25231DBA">
      <w:pPr>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6.我单位满足法律、行政法规规定的其他条件。</w:t>
      </w:r>
    </w:p>
    <w:p w14:paraId="4F382F87">
      <w:pPr>
        <w:spacing w:line="360" w:lineRule="auto"/>
        <w:ind w:firstLine="480"/>
        <w:rPr>
          <w:rFonts w:hint="eastAsia" w:ascii="宋体" w:hAnsi="宋体" w:cs="宋体"/>
          <w:sz w:val="24"/>
          <w:szCs w:val="24"/>
          <w:highlight w:val="none"/>
        </w:rPr>
      </w:pPr>
    </w:p>
    <w:p w14:paraId="39842868">
      <w:pPr>
        <w:spacing w:line="360" w:lineRule="auto"/>
        <w:ind w:firstLine="480"/>
        <w:rPr>
          <w:rFonts w:hint="eastAsia" w:ascii="宋体" w:hAnsi="宋体" w:cs="宋体"/>
          <w:sz w:val="24"/>
          <w:szCs w:val="24"/>
          <w:highlight w:val="none"/>
        </w:rPr>
      </w:pPr>
    </w:p>
    <w:p w14:paraId="1E0EF9DF">
      <w:pPr>
        <w:spacing w:line="460" w:lineRule="exact"/>
        <w:ind w:left="547" w:firstLine="480"/>
        <w:rPr>
          <w:rFonts w:hint="eastAsia" w:ascii="宋体" w:hAnsi="宋体" w:cs="宋体"/>
          <w:bCs/>
          <w:sz w:val="24"/>
          <w:szCs w:val="24"/>
          <w:highlight w:val="none"/>
        </w:rPr>
      </w:pPr>
    </w:p>
    <w:p w14:paraId="3F949C8E">
      <w:pPr>
        <w:spacing w:line="460" w:lineRule="exact"/>
        <w:ind w:left="547" w:firstLine="480"/>
        <w:rPr>
          <w:rFonts w:hint="eastAsia" w:ascii="宋体" w:hAnsi="宋体" w:cs="宋体"/>
          <w:bCs/>
          <w:sz w:val="24"/>
          <w:szCs w:val="24"/>
          <w:highlight w:val="none"/>
        </w:rPr>
      </w:pPr>
    </w:p>
    <w:p w14:paraId="4346C46F">
      <w:pPr>
        <w:spacing w:line="460" w:lineRule="exact"/>
        <w:ind w:left="547" w:firstLine="480"/>
        <w:rPr>
          <w:rFonts w:hint="eastAsia" w:ascii="宋体" w:hAnsi="宋体" w:cs="宋体"/>
          <w:bCs/>
          <w:sz w:val="24"/>
          <w:szCs w:val="24"/>
          <w:highlight w:val="none"/>
        </w:rPr>
      </w:pPr>
    </w:p>
    <w:p w14:paraId="0CEAAFCB">
      <w:pPr>
        <w:spacing w:line="460" w:lineRule="exact"/>
        <w:ind w:left="547" w:firstLine="480"/>
        <w:jc w:val="center"/>
        <w:rPr>
          <w:rFonts w:hint="eastAsia" w:ascii="宋体" w:hAnsi="宋体" w:cs="宋体"/>
          <w:bCs/>
          <w:sz w:val="24"/>
          <w:szCs w:val="24"/>
          <w:highlight w:val="none"/>
        </w:rPr>
      </w:pPr>
      <w:r>
        <w:rPr>
          <w:rFonts w:hint="eastAsia" w:ascii="宋体" w:hAnsi="宋体" w:cs="宋体"/>
          <w:bCs/>
          <w:sz w:val="24"/>
          <w:szCs w:val="24"/>
          <w:highlight w:val="none"/>
        </w:rPr>
        <w:t xml:space="preserve">                                             承诺人名称（公章）：</w:t>
      </w:r>
    </w:p>
    <w:p w14:paraId="2266AD94">
      <w:pPr>
        <w:spacing w:line="460" w:lineRule="exact"/>
        <w:ind w:left="547" w:firstLine="480"/>
        <w:jc w:val="right"/>
        <w:rPr>
          <w:rFonts w:hint="eastAsia" w:ascii="宋体" w:hAnsi="宋体" w:cs="宋体"/>
          <w:bCs/>
          <w:sz w:val="24"/>
          <w:szCs w:val="24"/>
          <w:highlight w:val="none"/>
        </w:rPr>
      </w:pPr>
    </w:p>
    <w:p w14:paraId="581DCE65">
      <w:pPr>
        <w:spacing w:line="460" w:lineRule="exact"/>
        <w:ind w:left="547" w:firstLine="480"/>
        <w:jc w:val="right"/>
        <w:rPr>
          <w:rFonts w:hint="eastAsia" w:ascii="宋体" w:hAnsi="宋体" w:cs="宋体"/>
          <w:bCs/>
          <w:sz w:val="24"/>
          <w:szCs w:val="24"/>
          <w:highlight w:val="none"/>
        </w:rPr>
      </w:pPr>
      <w:r>
        <w:rPr>
          <w:rFonts w:hint="eastAsia" w:ascii="宋体" w:hAnsi="宋体" w:cs="宋体"/>
          <w:bCs/>
          <w:sz w:val="24"/>
          <w:szCs w:val="24"/>
          <w:highlight w:val="none"/>
        </w:rPr>
        <w:t xml:space="preserve">                                 日期：</w:t>
      </w:r>
      <w:r>
        <w:rPr>
          <w:rFonts w:hint="eastAsia" w:ascii="宋体" w:hAnsi="宋体" w:cs="宋体"/>
          <w:bCs/>
          <w:sz w:val="24"/>
          <w:szCs w:val="24"/>
          <w:highlight w:val="none"/>
          <w:u w:val="single"/>
        </w:rPr>
        <w:t>______</w:t>
      </w:r>
      <w:r>
        <w:rPr>
          <w:rFonts w:hint="eastAsia" w:ascii="宋体" w:hAnsi="宋体" w:cs="宋体"/>
          <w:bCs/>
          <w:sz w:val="24"/>
          <w:szCs w:val="24"/>
          <w:highlight w:val="none"/>
        </w:rPr>
        <w:t>年</w:t>
      </w:r>
      <w:r>
        <w:rPr>
          <w:rFonts w:hint="eastAsia" w:ascii="宋体" w:hAnsi="宋体" w:cs="宋体"/>
          <w:bCs/>
          <w:sz w:val="24"/>
          <w:szCs w:val="24"/>
          <w:highlight w:val="none"/>
          <w:u w:val="single"/>
        </w:rPr>
        <w:t>_____</w:t>
      </w:r>
      <w:r>
        <w:rPr>
          <w:rFonts w:hint="eastAsia" w:ascii="宋体" w:hAnsi="宋体" w:cs="宋体"/>
          <w:bCs/>
          <w:sz w:val="24"/>
          <w:szCs w:val="24"/>
          <w:highlight w:val="none"/>
        </w:rPr>
        <w:t>月</w:t>
      </w:r>
      <w:r>
        <w:rPr>
          <w:rFonts w:hint="eastAsia" w:ascii="宋体" w:hAnsi="宋体" w:cs="宋体"/>
          <w:bCs/>
          <w:sz w:val="24"/>
          <w:szCs w:val="24"/>
          <w:highlight w:val="none"/>
          <w:u w:val="single"/>
        </w:rPr>
        <w:t>_____</w:t>
      </w:r>
      <w:r>
        <w:rPr>
          <w:rFonts w:hint="eastAsia" w:ascii="宋体" w:hAnsi="宋体" w:cs="宋体"/>
          <w:bCs/>
          <w:sz w:val="24"/>
          <w:szCs w:val="24"/>
          <w:highlight w:val="none"/>
        </w:rPr>
        <w:t>日</w:t>
      </w:r>
    </w:p>
    <w:p w14:paraId="0A83EB69">
      <w:pPr>
        <w:spacing w:line="400" w:lineRule="exact"/>
        <w:ind w:left="547" w:firstLine="463"/>
        <w:contextualSpacing/>
        <w:rPr>
          <w:rFonts w:hint="eastAsia" w:ascii="宋体" w:hAnsi="宋体" w:cs="宋体"/>
          <w:b/>
          <w:sz w:val="24"/>
          <w:szCs w:val="24"/>
          <w:highlight w:val="none"/>
        </w:rPr>
      </w:pPr>
    </w:p>
    <w:p w14:paraId="01EAD225">
      <w:pPr>
        <w:pStyle w:val="15"/>
        <w:ind w:left="547" w:firstLine="482"/>
        <w:rPr>
          <w:rFonts w:hint="eastAsia" w:ascii="宋体" w:hAnsi="宋体" w:cs="宋体"/>
          <w:sz w:val="24"/>
          <w:szCs w:val="24"/>
          <w:highlight w:val="none"/>
        </w:rPr>
      </w:pPr>
    </w:p>
    <w:p w14:paraId="288C955B">
      <w:pPr>
        <w:spacing w:line="400" w:lineRule="exact"/>
        <w:ind w:left="547" w:firstLine="482"/>
        <w:contextualSpacing/>
        <w:rPr>
          <w:rFonts w:hint="eastAsia" w:ascii="宋体" w:hAnsi="宋体" w:cs="宋体"/>
          <w:sz w:val="24"/>
          <w:szCs w:val="24"/>
          <w:highlight w:val="none"/>
          <w:lang w:val="zh-CN"/>
        </w:rPr>
      </w:pPr>
    </w:p>
    <w:p w14:paraId="344A9B94">
      <w:pPr>
        <w:pStyle w:val="15"/>
        <w:ind w:left="547" w:firstLine="482"/>
        <w:rPr>
          <w:rFonts w:hint="eastAsia" w:ascii="宋体" w:hAnsi="宋体" w:cs="宋体"/>
          <w:sz w:val="24"/>
          <w:szCs w:val="24"/>
          <w:highlight w:val="none"/>
          <w:lang w:val="zh-CN"/>
        </w:rPr>
      </w:pPr>
    </w:p>
    <w:p w14:paraId="2D3F4D3D">
      <w:pPr>
        <w:ind w:left="547" w:firstLine="643"/>
        <w:rPr>
          <w:rFonts w:hint="eastAsia" w:ascii="宋体" w:hAnsi="宋体" w:cs="宋体"/>
          <w:sz w:val="32"/>
          <w:szCs w:val="32"/>
          <w:highlight w:val="none"/>
          <w:lang w:val="zh-CN"/>
        </w:rPr>
      </w:pPr>
      <w:r>
        <w:rPr>
          <w:rFonts w:hint="eastAsia" w:ascii="宋体" w:hAnsi="宋体" w:cs="宋体"/>
          <w:sz w:val="32"/>
          <w:szCs w:val="32"/>
          <w:highlight w:val="none"/>
          <w:lang w:val="zh-CN"/>
        </w:rPr>
        <w:br w:type="page" w:clear="all"/>
      </w:r>
    </w:p>
    <w:p w14:paraId="7082FA25">
      <w:pPr>
        <w:spacing w:line="400" w:lineRule="exact"/>
        <w:ind w:firstLine="482"/>
        <w:contextualSpacing/>
        <w:rPr>
          <w:rFonts w:hint="eastAsia" w:ascii="宋体" w:hAnsi="宋体" w:cs="宋体"/>
          <w:sz w:val="24"/>
          <w:szCs w:val="24"/>
          <w:highlight w:val="none"/>
          <w:lang w:val="zh-CN"/>
        </w:rPr>
      </w:pPr>
      <w:r>
        <w:rPr>
          <w:rFonts w:hint="eastAsia" w:ascii="宋体" w:hAnsi="宋体" w:cs="宋体"/>
          <w:sz w:val="24"/>
          <w:szCs w:val="24"/>
          <w:highlight w:val="none"/>
          <w:lang w:val="zh-CN"/>
        </w:rPr>
        <w:t>附件2</w:t>
      </w:r>
    </w:p>
    <w:p w14:paraId="6BC3473D">
      <w:pPr>
        <w:spacing w:line="560" w:lineRule="exact"/>
        <w:ind w:firstLine="482"/>
        <w:jc w:val="center"/>
        <w:rPr>
          <w:rFonts w:hint="eastAsia" w:ascii="宋体" w:hAnsi="宋体" w:cs="宋体"/>
          <w:b/>
          <w:bCs/>
          <w:sz w:val="24"/>
          <w:szCs w:val="24"/>
          <w:highlight w:val="none"/>
        </w:rPr>
      </w:pPr>
      <w:r>
        <w:rPr>
          <w:rFonts w:hint="eastAsia" w:ascii="宋体" w:hAnsi="宋体" w:cs="宋体"/>
          <w:b/>
          <w:bCs/>
          <w:sz w:val="24"/>
          <w:szCs w:val="24"/>
          <w:highlight w:val="none"/>
        </w:rPr>
        <w:t>法定代表人身份证明</w:t>
      </w:r>
    </w:p>
    <w:p w14:paraId="3D90DB48">
      <w:pPr>
        <w:spacing w:line="480" w:lineRule="exact"/>
        <w:ind w:left="547" w:firstLine="482"/>
        <w:rPr>
          <w:rFonts w:hint="eastAsia" w:ascii="宋体" w:hAnsi="宋体" w:cs="宋体"/>
          <w:sz w:val="24"/>
          <w:szCs w:val="24"/>
          <w:highlight w:val="none"/>
        </w:rPr>
      </w:pPr>
    </w:p>
    <w:p w14:paraId="79393730">
      <w:pPr>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先生/女士： 现任我单位职务，为法定代表人，特此证明。</w:t>
      </w:r>
    </w:p>
    <w:p w14:paraId="23072B12">
      <w:pPr>
        <w:spacing w:line="360" w:lineRule="auto"/>
        <w:ind w:firstLine="482"/>
        <w:rPr>
          <w:rFonts w:hint="eastAsia" w:ascii="宋体" w:hAnsi="宋体" w:cs="宋体"/>
          <w:sz w:val="24"/>
          <w:szCs w:val="24"/>
          <w:highlight w:val="none"/>
          <w:u w:val="single"/>
        </w:rPr>
      </w:pPr>
      <w:r>
        <w:rPr>
          <w:rFonts w:hint="eastAsia" w:ascii="宋体" w:hAnsi="宋体" w:cs="宋体"/>
          <w:sz w:val="24"/>
          <w:szCs w:val="24"/>
          <w:highlight w:val="none"/>
        </w:rPr>
        <w:t>身份证号码：</w:t>
      </w:r>
    </w:p>
    <w:p w14:paraId="650C041D">
      <w:pPr>
        <w:spacing w:line="360" w:lineRule="auto"/>
        <w:ind w:firstLine="482"/>
        <w:rPr>
          <w:rFonts w:hint="eastAsia" w:ascii="宋体" w:hAnsi="宋体" w:cs="宋体"/>
          <w:sz w:val="24"/>
          <w:szCs w:val="24"/>
          <w:highlight w:val="none"/>
        </w:rPr>
      </w:pPr>
    </w:p>
    <w:p w14:paraId="1906BDAE">
      <w:pPr>
        <w:spacing w:line="360" w:lineRule="auto"/>
        <w:ind w:firstLine="482"/>
        <w:rPr>
          <w:rFonts w:hint="eastAsia" w:ascii="宋体" w:hAnsi="宋体" w:cs="宋体"/>
          <w:b/>
          <w:sz w:val="24"/>
          <w:szCs w:val="24"/>
          <w:highlight w:val="none"/>
        </w:rPr>
      </w:pPr>
      <w:r>
        <w:rPr>
          <w:rFonts w:hint="eastAsia" w:ascii="宋体" w:hAnsi="宋体" w:cs="宋体"/>
          <w:b/>
          <w:sz w:val="24"/>
          <w:szCs w:val="24"/>
          <w:highlight w:val="none"/>
        </w:rPr>
        <w:t>注：提供法定代表人的身份证复印件或扫描件盖公章</w:t>
      </w:r>
    </w:p>
    <w:p w14:paraId="32A77A54">
      <w:pPr>
        <w:spacing w:line="360" w:lineRule="auto"/>
        <w:ind w:firstLine="480"/>
        <w:rPr>
          <w:rFonts w:hint="eastAsia" w:ascii="宋体" w:hAnsi="宋体" w:cs="宋体"/>
          <w:sz w:val="24"/>
          <w:szCs w:val="24"/>
          <w:highlight w:val="none"/>
        </w:rPr>
      </w:pPr>
    </w:p>
    <w:p w14:paraId="5E0CB23E">
      <w:pPr>
        <w:ind w:left="547" w:firstLine="482"/>
        <w:rPr>
          <w:rFonts w:hint="eastAsia" w:ascii="宋体" w:hAnsi="宋体" w:cs="宋体"/>
          <w:sz w:val="24"/>
          <w:szCs w:val="24"/>
          <w:highlight w:val="none"/>
        </w:rPr>
      </w:pPr>
    </w:p>
    <w:p w14:paraId="281EEA8A">
      <w:pPr>
        <w:spacing w:line="400" w:lineRule="exact"/>
        <w:ind w:left="547" w:firstLine="463"/>
        <w:contextualSpacing/>
        <w:rPr>
          <w:rFonts w:hint="eastAsia" w:ascii="宋体" w:hAnsi="宋体" w:cs="宋体"/>
          <w:b/>
          <w:sz w:val="24"/>
          <w:szCs w:val="24"/>
          <w:highlight w:val="none"/>
        </w:rPr>
      </w:pPr>
    </w:p>
    <w:p w14:paraId="451866D5">
      <w:pPr>
        <w:spacing w:line="400" w:lineRule="exact"/>
        <w:ind w:left="547" w:firstLine="463"/>
        <w:contextualSpacing/>
        <w:rPr>
          <w:rFonts w:hint="eastAsia" w:ascii="宋体" w:hAnsi="宋体" w:cs="宋体"/>
          <w:b/>
          <w:sz w:val="24"/>
          <w:szCs w:val="24"/>
          <w:highlight w:val="none"/>
          <w:lang w:val="zh-CN"/>
        </w:rPr>
      </w:pPr>
    </w:p>
    <w:p w14:paraId="542DC3C8">
      <w:pPr>
        <w:spacing w:line="400" w:lineRule="exact"/>
        <w:ind w:left="547" w:firstLine="463"/>
        <w:contextualSpacing/>
        <w:rPr>
          <w:rFonts w:hint="eastAsia" w:ascii="宋体" w:hAnsi="宋体" w:cs="宋体"/>
          <w:b/>
          <w:sz w:val="24"/>
          <w:szCs w:val="24"/>
          <w:highlight w:val="none"/>
          <w:lang w:val="zh-CN"/>
        </w:rPr>
      </w:pPr>
    </w:p>
    <w:p w14:paraId="7ABCB7A7">
      <w:pPr>
        <w:spacing w:line="400" w:lineRule="exact"/>
        <w:ind w:left="547" w:firstLine="463"/>
        <w:contextualSpacing/>
        <w:rPr>
          <w:rFonts w:hint="eastAsia" w:ascii="宋体" w:hAnsi="宋体" w:cs="宋体"/>
          <w:b/>
          <w:sz w:val="24"/>
          <w:szCs w:val="24"/>
          <w:highlight w:val="none"/>
          <w:lang w:val="zh-CN"/>
        </w:rPr>
      </w:pPr>
    </w:p>
    <w:p w14:paraId="34DE865E">
      <w:pPr>
        <w:spacing w:line="400" w:lineRule="exact"/>
        <w:ind w:left="547" w:firstLine="463"/>
        <w:contextualSpacing/>
        <w:rPr>
          <w:rFonts w:hint="eastAsia" w:ascii="宋体" w:hAnsi="宋体" w:cs="宋体"/>
          <w:b/>
          <w:sz w:val="24"/>
          <w:szCs w:val="24"/>
          <w:highlight w:val="none"/>
          <w:lang w:val="zh-CN"/>
        </w:rPr>
      </w:pPr>
    </w:p>
    <w:p w14:paraId="57D591FF">
      <w:pPr>
        <w:spacing w:line="400" w:lineRule="exact"/>
        <w:ind w:left="547" w:firstLine="463"/>
        <w:contextualSpacing/>
        <w:rPr>
          <w:rFonts w:hint="eastAsia" w:ascii="宋体" w:hAnsi="宋体" w:cs="宋体"/>
          <w:b/>
          <w:sz w:val="24"/>
          <w:szCs w:val="24"/>
          <w:highlight w:val="none"/>
          <w:lang w:val="zh-CN"/>
        </w:rPr>
      </w:pPr>
    </w:p>
    <w:p w14:paraId="374ED946">
      <w:pPr>
        <w:spacing w:line="400" w:lineRule="exact"/>
        <w:ind w:left="547" w:firstLine="463"/>
        <w:contextualSpacing/>
        <w:rPr>
          <w:rFonts w:hint="eastAsia" w:ascii="宋体" w:hAnsi="宋体" w:cs="宋体"/>
          <w:b/>
          <w:sz w:val="24"/>
          <w:szCs w:val="24"/>
          <w:highlight w:val="none"/>
          <w:lang w:val="zh-CN"/>
        </w:rPr>
      </w:pPr>
    </w:p>
    <w:p w14:paraId="66F23303">
      <w:pPr>
        <w:spacing w:line="400" w:lineRule="exact"/>
        <w:ind w:left="547" w:firstLine="463"/>
        <w:contextualSpacing/>
        <w:rPr>
          <w:rFonts w:hint="eastAsia" w:ascii="宋体" w:hAnsi="宋体" w:cs="宋体"/>
          <w:b/>
          <w:sz w:val="24"/>
          <w:szCs w:val="24"/>
          <w:highlight w:val="none"/>
          <w:lang w:val="zh-CN"/>
        </w:rPr>
      </w:pPr>
    </w:p>
    <w:p w14:paraId="749BD919">
      <w:pPr>
        <w:spacing w:line="400" w:lineRule="exact"/>
        <w:ind w:left="547" w:firstLine="463"/>
        <w:contextualSpacing/>
        <w:rPr>
          <w:rFonts w:hint="eastAsia" w:ascii="宋体" w:hAnsi="宋体" w:cs="宋体"/>
          <w:b/>
          <w:sz w:val="24"/>
          <w:szCs w:val="24"/>
          <w:highlight w:val="none"/>
          <w:lang w:val="zh-CN"/>
        </w:rPr>
      </w:pPr>
    </w:p>
    <w:p w14:paraId="19E47A36">
      <w:pPr>
        <w:spacing w:line="400" w:lineRule="exact"/>
        <w:ind w:left="547" w:firstLine="463"/>
        <w:contextualSpacing/>
        <w:rPr>
          <w:rFonts w:hint="eastAsia" w:ascii="宋体" w:hAnsi="宋体" w:cs="宋体"/>
          <w:b/>
          <w:sz w:val="24"/>
          <w:szCs w:val="24"/>
          <w:highlight w:val="none"/>
          <w:lang w:val="zh-CN"/>
        </w:rPr>
      </w:pPr>
    </w:p>
    <w:p w14:paraId="6D313345">
      <w:pPr>
        <w:spacing w:line="400" w:lineRule="exact"/>
        <w:ind w:left="547" w:firstLine="463"/>
        <w:contextualSpacing/>
        <w:rPr>
          <w:rFonts w:hint="eastAsia" w:ascii="宋体" w:hAnsi="宋体" w:cs="宋体"/>
          <w:b/>
          <w:sz w:val="24"/>
          <w:szCs w:val="24"/>
          <w:highlight w:val="none"/>
          <w:lang w:val="zh-CN"/>
        </w:rPr>
      </w:pPr>
    </w:p>
    <w:p w14:paraId="1388CD1D">
      <w:pPr>
        <w:spacing w:line="600" w:lineRule="exact"/>
        <w:ind w:left="547" w:firstLine="482"/>
        <w:jc w:val="right"/>
        <w:rPr>
          <w:rFonts w:hint="eastAsia" w:ascii="宋体" w:hAnsi="宋体" w:cs="宋体"/>
          <w:sz w:val="24"/>
          <w:szCs w:val="24"/>
          <w:highlight w:val="none"/>
        </w:rPr>
      </w:pPr>
      <w:r>
        <w:rPr>
          <w:rFonts w:hint="eastAsia" w:ascii="宋体" w:hAnsi="宋体" w:cs="宋体"/>
          <w:sz w:val="24"/>
          <w:szCs w:val="24"/>
          <w:highlight w:val="none"/>
        </w:rPr>
        <w:t xml:space="preserve">  投标供应商：（盖单位章）</w:t>
      </w:r>
    </w:p>
    <w:p w14:paraId="02318C82">
      <w:pPr>
        <w:spacing w:line="400" w:lineRule="exact"/>
        <w:ind w:left="547" w:firstLine="463"/>
        <w:contextualSpacing/>
        <w:rPr>
          <w:rFonts w:hint="eastAsia" w:ascii="宋体" w:hAnsi="宋体" w:cs="宋体"/>
          <w:bCs/>
          <w:sz w:val="24"/>
          <w:szCs w:val="24"/>
          <w:highlight w:val="none"/>
        </w:rPr>
      </w:pPr>
    </w:p>
    <w:p w14:paraId="41E808D4">
      <w:pPr>
        <w:spacing w:line="400" w:lineRule="exact"/>
        <w:ind w:left="547" w:firstLine="5760" w:firstLineChars="2400"/>
        <w:contextualSpacing/>
        <w:rPr>
          <w:rFonts w:hint="eastAsia" w:ascii="宋体" w:hAnsi="宋体" w:cs="宋体"/>
          <w:bCs/>
          <w:sz w:val="24"/>
          <w:szCs w:val="24"/>
          <w:highlight w:val="none"/>
        </w:rPr>
      </w:pPr>
      <w:r>
        <w:rPr>
          <w:rFonts w:hint="eastAsia" w:ascii="宋体" w:hAnsi="宋体" w:cs="宋体"/>
          <w:bCs/>
          <w:sz w:val="24"/>
          <w:szCs w:val="24"/>
          <w:highlight w:val="none"/>
        </w:rPr>
        <w:t>日期：</w:t>
      </w:r>
    </w:p>
    <w:p w14:paraId="7DA7904B">
      <w:pPr>
        <w:spacing w:line="400" w:lineRule="exact"/>
        <w:ind w:left="547" w:firstLine="463"/>
        <w:contextualSpacing/>
        <w:rPr>
          <w:rFonts w:hint="eastAsia" w:ascii="宋体" w:hAnsi="宋体" w:cs="宋体"/>
          <w:b/>
          <w:sz w:val="24"/>
          <w:szCs w:val="24"/>
          <w:highlight w:val="none"/>
          <w:lang w:val="zh-CN"/>
        </w:rPr>
      </w:pPr>
    </w:p>
    <w:p w14:paraId="205797F1">
      <w:pPr>
        <w:spacing w:line="400" w:lineRule="exact"/>
        <w:ind w:left="547" w:firstLine="463"/>
        <w:contextualSpacing/>
        <w:rPr>
          <w:rFonts w:hint="eastAsia" w:ascii="宋体" w:hAnsi="宋体" w:cs="宋体"/>
          <w:b/>
          <w:sz w:val="24"/>
          <w:szCs w:val="24"/>
          <w:highlight w:val="none"/>
          <w:lang w:val="zh-CN"/>
        </w:rPr>
      </w:pPr>
    </w:p>
    <w:p w14:paraId="5B6CB46B">
      <w:pPr>
        <w:spacing w:line="400" w:lineRule="exact"/>
        <w:ind w:left="547" w:firstLine="463"/>
        <w:contextualSpacing/>
        <w:rPr>
          <w:rFonts w:hint="eastAsia" w:ascii="宋体" w:hAnsi="宋体" w:cs="宋体"/>
          <w:b/>
          <w:sz w:val="24"/>
          <w:szCs w:val="24"/>
          <w:highlight w:val="none"/>
          <w:lang w:val="zh-CN"/>
        </w:rPr>
      </w:pPr>
    </w:p>
    <w:p w14:paraId="74524BBA">
      <w:pPr>
        <w:spacing w:line="400" w:lineRule="exact"/>
        <w:ind w:left="547" w:firstLine="540"/>
        <w:contextualSpacing/>
        <w:rPr>
          <w:rFonts w:hint="eastAsia" w:ascii="宋体" w:hAnsi="宋体" w:cs="宋体"/>
          <w:b/>
          <w:sz w:val="28"/>
          <w:szCs w:val="28"/>
          <w:highlight w:val="none"/>
          <w:lang w:val="zh-CN"/>
        </w:rPr>
      </w:pPr>
    </w:p>
    <w:p w14:paraId="14301D21">
      <w:pPr>
        <w:pStyle w:val="15"/>
        <w:ind w:left="547" w:firstLine="482"/>
        <w:rPr>
          <w:rFonts w:hint="eastAsia" w:ascii="宋体" w:hAnsi="宋体" w:cs="宋体"/>
          <w:highlight w:val="none"/>
          <w:lang w:val="zh-CN"/>
        </w:rPr>
      </w:pPr>
    </w:p>
    <w:p w14:paraId="14DA2686">
      <w:pPr>
        <w:spacing w:line="400" w:lineRule="exact"/>
        <w:ind w:left="547" w:firstLine="643"/>
        <w:contextualSpacing/>
        <w:rPr>
          <w:rFonts w:hint="eastAsia" w:ascii="宋体" w:hAnsi="宋体" w:cs="宋体"/>
          <w:sz w:val="32"/>
          <w:szCs w:val="32"/>
          <w:highlight w:val="none"/>
          <w:lang w:val="zh-CN"/>
        </w:rPr>
      </w:pPr>
    </w:p>
    <w:p w14:paraId="1004AA9D">
      <w:pPr>
        <w:ind w:firstLine="643"/>
        <w:rPr>
          <w:rFonts w:hint="eastAsia" w:ascii="宋体" w:hAnsi="宋体" w:cs="宋体"/>
          <w:sz w:val="24"/>
          <w:szCs w:val="24"/>
          <w:highlight w:val="none"/>
          <w:lang w:val="zh-CN"/>
        </w:rPr>
      </w:pPr>
      <w:r>
        <w:rPr>
          <w:rFonts w:hint="eastAsia" w:ascii="宋体" w:hAnsi="宋体" w:cs="宋体"/>
          <w:sz w:val="32"/>
          <w:szCs w:val="32"/>
          <w:highlight w:val="none"/>
          <w:lang w:val="zh-CN"/>
        </w:rPr>
        <w:br w:type="page" w:clear="all"/>
      </w:r>
      <w:r>
        <w:rPr>
          <w:rFonts w:hint="eastAsia" w:ascii="宋体" w:hAnsi="宋体" w:cs="宋体"/>
          <w:sz w:val="24"/>
          <w:szCs w:val="24"/>
          <w:highlight w:val="none"/>
          <w:lang w:val="zh-CN"/>
        </w:rPr>
        <w:t>附件3</w:t>
      </w:r>
    </w:p>
    <w:p w14:paraId="1E120AE6">
      <w:pPr>
        <w:ind w:left="547" w:firstLine="482"/>
        <w:jc w:val="center"/>
        <w:rPr>
          <w:rFonts w:hint="eastAsia" w:ascii="宋体" w:hAnsi="宋体" w:cs="宋体"/>
          <w:sz w:val="24"/>
          <w:szCs w:val="24"/>
          <w:highlight w:val="none"/>
        </w:rPr>
      </w:pPr>
    </w:p>
    <w:p w14:paraId="3538E66F">
      <w:pPr>
        <w:spacing w:line="460" w:lineRule="exact"/>
        <w:ind w:firstLine="482"/>
        <w:jc w:val="center"/>
        <w:rPr>
          <w:rFonts w:hint="eastAsia" w:ascii="宋体" w:hAnsi="宋体" w:cs="宋体"/>
          <w:b/>
          <w:sz w:val="24"/>
          <w:szCs w:val="24"/>
          <w:highlight w:val="none"/>
        </w:rPr>
      </w:pPr>
      <w:r>
        <w:rPr>
          <w:rFonts w:hint="eastAsia" w:ascii="宋体" w:hAnsi="宋体" w:cs="宋体"/>
          <w:b/>
          <w:sz w:val="24"/>
          <w:szCs w:val="24"/>
          <w:highlight w:val="none"/>
        </w:rPr>
        <w:t>法定代表人授权委托书</w:t>
      </w:r>
    </w:p>
    <w:p w14:paraId="62ECF1BC">
      <w:pPr>
        <w:spacing w:line="460" w:lineRule="exact"/>
        <w:ind w:left="547" w:firstLine="480"/>
        <w:rPr>
          <w:rFonts w:hint="eastAsia" w:ascii="宋体" w:hAnsi="宋体" w:cs="宋体"/>
          <w:sz w:val="24"/>
          <w:szCs w:val="24"/>
          <w:highlight w:val="none"/>
        </w:rPr>
      </w:pPr>
    </w:p>
    <w:p w14:paraId="3702A917">
      <w:pPr>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本人------（姓名）系————（授权单位名称）的法定代表人，现委托-------（姓名）（身份证号——————）为我方代理人，以我方名义全权处理与本次采购项目（编号：----------）有关的一切事务，其法律后果由我方承担。</w:t>
      </w:r>
    </w:p>
    <w:p w14:paraId="7C1DB17E">
      <w:pPr>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本授权书于---年---月---日起生效。代理人无转委托权。</w:t>
      </w:r>
    </w:p>
    <w:p w14:paraId="1A2F1C52">
      <w:pPr>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代理人(被授权人):------</w:t>
      </w:r>
    </w:p>
    <w:p w14:paraId="1C5E3ED9">
      <w:pPr>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授权单位名称（盖章）：-----</w:t>
      </w:r>
    </w:p>
    <w:p w14:paraId="669DC221">
      <w:pPr>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授权单位法定代表人（签字或盖章）：-----</w:t>
      </w:r>
    </w:p>
    <w:p w14:paraId="4D2D47C6">
      <w:pPr>
        <w:spacing w:line="360" w:lineRule="auto"/>
        <w:ind w:firstLine="480"/>
        <w:jc w:val="right"/>
        <w:rPr>
          <w:rFonts w:hint="eastAsia" w:ascii="宋体" w:hAnsi="宋体" w:cs="宋体"/>
          <w:sz w:val="24"/>
          <w:szCs w:val="24"/>
          <w:highlight w:val="none"/>
        </w:rPr>
      </w:pPr>
    </w:p>
    <w:p w14:paraId="5D276453">
      <w:pPr>
        <w:spacing w:line="460" w:lineRule="exact"/>
        <w:ind w:left="547" w:firstLine="480"/>
        <w:jc w:val="right"/>
        <w:rPr>
          <w:rFonts w:hint="eastAsia" w:ascii="宋体" w:hAnsi="宋体" w:cs="宋体"/>
          <w:sz w:val="24"/>
          <w:szCs w:val="24"/>
          <w:highlight w:val="none"/>
        </w:rPr>
      </w:pPr>
      <w:r>
        <w:rPr>
          <w:rFonts w:hint="eastAsia" w:ascii="宋体" w:hAnsi="宋体" w:cs="宋体"/>
          <w:sz w:val="24"/>
          <w:szCs w:val="24"/>
          <w:highlight w:val="none"/>
        </w:rPr>
        <w:t>XXXX年XX月XX日</w:t>
      </w:r>
    </w:p>
    <w:p w14:paraId="4B40A57C">
      <w:pPr>
        <w:spacing w:line="460" w:lineRule="exact"/>
        <w:ind w:left="547" w:firstLine="482"/>
        <w:contextualSpacing/>
        <w:rPr>
          <w:rFonts w:hint="eastAsia" w:ascii="宋体" w:hAnsi="宋体" w:cs="宋体"/>
          <w:b/>
          <w:sz w:val="24"/>
          <w:szCs w:val="24"/>
          <w:highlight w:val="none"/>
        </w:rPr>
      </w:pPr>
    </w:p>
    <w:p w14:paraId="0A195E04">
      <w:pPr>
        <w:spacing w:line="460" w:lineRule="exact"/>
        <w:ind w:left="547" w:firstLine="482"/>
        <w:contextualSpacing/>
        <w:rPr>
          <w:rFonts w:hint="eastAsia" w:ascii="宋体" w:hAnsi="宋体" w:cs="宋体"/>
          <w:b/>
          <w:sz w:val="24"/>
          <w:szCs w:val="24"/>
          <w:highlight w:val="none"/>
        </w:rPr>
      </w:pPr>
      <w:r>
        <w:rPr>
          <w:rFonts w:hint="eastAsia" w:ascii="宋体" w:hAnsi="宋体" w:cs="宋体"/>
          <w:b/>
          <w:sz w:val="24"/>
          <w:szCs w:val="24"/>
          <w:highlight w:val="none"/>
        </w:rPr>
        <w:t>注：提供投标代表本人身份证复印件或扫描件盖公章</w:t>
      </w:r>
    </w:p>
    <w:p w14:paraId="0A387C60">
      <w:pPr>
        <w:spacing w:line="460" w:lineRule="exact"/>
        <w:ind w:left="547" w:firstLine="482"/>
        <w:contextualSpacing/>
        <w:rPr>
          <w:rFonts w:hint="eastAsia" w:ascii="宋体" w:hAnsi="宋体" w:cs="宋体"/>
          <w:b/>
          <w:sz w:val="24"/>
          <w:szCs w:val="24"/>
          <w:highlight w:val="none"/>
        </w:rPr>
      </w:pPr>
    </w:p>
    <w:p w14:paraId="340815D7">
      <w:pPr>
        <w:spacing w:line="400" w:lineRule="exact"/>
        <w:ind w:left="547" w:firstLine="540"/>
        <w:contextualSpacing/>
        <w:rPr>
          <w:rFonts w:hint="eastAsia" w:ascii="宋体" w:hAnsi="宋体" w:cs="宋体"/>
          <w:b/>
          <w:sz w:val="28"/>
          <w:szCs w:val="28"/>
          <w:highlight w:val="none"/>
        </w:rPr>
      </w:pPr>
    </w:p>
    <w:p w14:paraId="353A9DF7">
      <w:pPr>
        <w:spacing w:line="400" w:lineRule="exact"/>
        <w:ind w:left="547" w:firstLine="540"/>
        <w:contextualSpacing/>
        <w:rPr>
          <w:rFonts w:hint="eastAsia" w:ascii="宋体" w:hAnsi="宋体" w:cs="宋体"/>
          <w:b/>
          <w:sz w:val="28"/>
          <w:szCs w:val="28"/>
          <w:highlight w:val="none"/>
        </w:rPr>
      </w:pPr>
    </w:p>
    <w:p w14:paraId="24CAE3CD">
      <w:pPr>
        <w:spacing w:line="400" w:lineRule="exact"/>
        <w:ind w:left="547" w:firstLine="540"/>
        <w:contextualSpacing/>
        <w:rPr>
          <w:rFonts w:hint="eastAsia" w:ascii="宋体" w:hAnsi="宋体" w:cs="宋体"/>
          <w:b/>
          <w:sz w:val="28"/>
          <w:szCs w:val="28"/>
          <w:highlight w:val="none"/>
        </w:rPr>
      </w:pPr>
    </w:p>
    <w:p w14:paraId="1691E580">
      <w:pPr>
        <w:spacing w:line="400" w:lineRule="exact"/>
        <w:ind w:left="547" w:firstLine="540"/>
        <w:contextualSpacing/>
        <w:rPr>
          <w:rFonts w:hint="eastAsia" w:ascii="宋体" w:hAnsi="宋体" w:cs="宋体"/>
          <w:b/>
          <w:sz w:val="28"/>
          <w:szCs w:val="28"/>
          <w:highlight w:val="none"/>
        </w:rPr>
      </w:pPr>
    </w:p>
    <w:p w14:paraId="761E118D">
      <w:pPr>
        <w:spacing w:line="400" w:lineRule="exact"/>
        <w:ind w:left="547" w:firstLine="540"/>
        <w:contextualSpacing/>
        <w:rPr>
          <w:rFonts w:hint="eastAsia" w:ascii="宋体" w:hAnsi="宋体" w:cs="宋体"/>
          <w:b/>
          <w:sz w:val="28"/>
          <w:szCs w:val="28"/>
          <w:highlight w:val="none"/>
        </w:rPr>
      </w:pPr>
    </w:p>
    <w:p w14:paraId="7A9434F2">
      <w:pPr>
        <w:spacing w:line="400" w:lineRule="exact"/>
        <w:ind w:left="547" w:firstLine="540"/>
        <w:contextualSpacing/>
        <w:rPr>
          <w:rFonts w:hint="eastAsia" w:ascii="宋体" w:hAnsi="宋体" w:cs="宋体"/>
          <w:b/>
          <w:sz w:val="28"/>
          <w:szCs w:val="28"/>
          <w:highlight w:val="none"/>
        </w:rPr>
      </w:pPr>
    </w:p>
    <w:p w14:paraId="22C02951">
      <w:pPr>
        <w:spacing w:line="400" w:lineRule="exact"/>
        <w:ind w:left="547" w:firstLine="538"/>
        <w:contextualSpacing/>
        <w:rPr>
          <w:rFonts w:hint="eastAsia" w:ascii="宋体" w:hAnsi="宋体" w:cs="宋体"/>
          <w:sz w:val="28"/>
          <w:szCs w:val="28"/>
          <w:highlight w:val="none"/>
        </w:rPr>
      </w:pPr>
    </w:p>
    <w:p w14:paraId="40FDD694">
      <w:pPr>
        <w:spacing w:line="400" w:lineRule="exact"/>
        <w:ind w:firstLine="643"/>
        <w:contextualSpacing/>
        <w:rPr>
          <w:rFonts w:hint="eastAsia" w:ascii="宋体" w:hAnsi="宋体" w:cs="宋体"/>
          <w:sz w:val="24"/>
          <w:szCs w:val="24"/>
          <w:highlight w:val="none"/>
          <w:lang w:val="zh-CN"/>
        </w:rPr>
      </w:pPr>
      <w:r>
        <w:rPr>
          <w:rFonts w:hint="eastAsia" w:ascii="宋体" w:hAnsi="宋体" w:cs="宋体"/>
          <w:sz w:val="32"/>
          <w:szCs w:val="32"/>
          <w:highlight w:val="none"/>
        </w:rPr>
        <w:br w:type="page" w:clear="all"/>
      </w:r>
      <w:r>
        <w:rPr>
          <w:rFonts w:hint="eastAsia" w:ascii="宋体" w:hAnsi="宋体" w:cs="宋体"/>
          <w:sz w:val="24"/>
          <w:szCs w:val="24"/>
          <w:highlight w:val="none"/>
          <w:lang w:val="zh-CN"/>
        </w:rPr>
        <w:t>附件</w:t>
      </w:r>
      <w:r>
        <w:rPr>
          <w:rFonts w:hint="eastAsia" w:ascii="宋体" w:hAnsi="宋体" w:cs="宋体"/>
          <w:sz w:val="24"/>
          <w:szCs w:val="24"/>
          <w:highlight w:val="none"/>
        </w:rPr>
        <w:t>4</w:t>
      </w:r>
    </w:p>
    <w:p w14:paraId="651DB08C">
      <w:pPr>
        <w:spacing w:line="300" w:lineRule="auto"/>
        <w:ind w:firstLine="482"/>
        <w:jc w:val="center"/>
        <w:outlineLvl w:val="0"/>
        <w:rPr>
          <w:b/>
          <w:bCs/>
          <w:sz w:val="24"/>
          <w:szCs w:val="24"/>
          <w:highlight w:val="none"/>
          <w:lang w:bidi="zh-CN"/>
        </w:rPr>
      </w:pPr>
      <w:r>
        <w:rPr>
          <w:b/>
          <w:bCs/>
          <w:sz w:val="24"/>
          <w:szCs w:val="24"/>
          <w:highlight w:val="none"/>
          <w:lang w:bidi="zh-CN"/>
        </w:rPr>
        <w:t>中小企业声明函（工程、服务）</w:t>
      </w:r>
    </w:p>
    <w:p w14:paraId="3F0AE152">
      <w:pPr>
        <w:pStyle w:val="23"/>
        <w:rPr>
          <w:highlight w:val="none"/>
          <w:lang w:bidi="zh-CN"/>
        </w:rPr>
      </w:pPr>
    </w:p>
    <w:p w14:paraId="1F72E74D">
      <w:pPr>
        <w:spacing w:line="360" w:lineRule="auto"/>
        <w:ind w:firstLine="480"/>
        <w:outlineLvl w:val="0"/>
        <w:rPr>
          <w:rFonts w:hint="eastAsia" w:asciiTheme="minorEastAsia" w:hAnsiTheme="minorEastAsia" w:eastAsiaTheme="minorEastAsia"/>
          <w:sz w:val="24"/>
          <w:szCs w:val="24"/>
          <w:highlight w:val="none"/>
          <w:lang w:bidi="zh-CN"/>
        </w:rPr>
      </w:pPr>
      <w:r>
        <w:rPr>
          <w:rFonts w:asciiTheme="minorEastAsia" w:hAnsiTheme="minorEastAsia" w:eastAsiaTheme="minorEastAsia"/>
          <w:sz w:val="24"/>
          <w:szCs w:val="24"/>
          <w:highlight w:val="none"/>
          <w:lang w:bidi="zh-CN"/>
        </w:rPr>
        <w:t>本公司（联合体）郑重声明，根据《政府采购促进中小企业发展管理办法》（财库</w:t>
      </w:r>
      <w:r>
        <w:rPr>
          <w:rFonts w:hint="eastAsia" w:asciiTheme="minorEastAsia" w:hAnsiTheme="minorEastAsia" w:eastAsiaTheme="minorEastAsia"/>
          <w:sz w:val="24"/>
          <w:szCs w:val="24"/>
          <w:highlight w:val="none"/>
          <w:lang w:bidi="zh-CN"/>
        </w:rPr>
        <w:t>﹝</w:t>
      </w:r>
      <w:r>
        <w:rPr>
          <w:rFonts w:asciiTheme="minorEastAsia" w:hAnsiTheme="minorEastAsia" w:eastAsiaTheme="minorEastAsia"/>
          <w:sz w:val="24"/>
          <w:szCs w:val="24"/>
          <w:highlight w:val="none"/>
          <w:lang w:bidi="zh-CN"/>
        </w:rPr>
        <w:t>2020</w:t>
      </w:r>
      <w:r>
        <w:rPr>
          <w:rFonts w:hint="eastAsia" w:asciiTheme="minorEastAsia" w:hAnsiTheme="minorEastAsia" w:eastAsiaTheme="minorEastAsia"/>
          <w:sz w:val="24"/>
          <w:szCs w:val="24"/>
          <w:highlight w:val="none"/>
          <w:lang w:bidi="zh-CN"/>
        </w:rPr>
        <w:t>﹞</w:t>
      </w:r>
      <w:r>
        <w:rPr>
          <w:rFonts w:asciiTheme="minorEastAsia" w:hAnsiTheme="minorEastAsia" w:eastAsiaTheme="minorEastAsia"/>
          <w:sz w:val="24"/>
          <w:szCs w:val="24"/>
          <w:highlight w:val="none"/>
          <w:lang w:bidi="zh-CN"/>
        </w:rPr>
        <w:t>46 号）的规定，本公司（联合体）参加</w:t>
      </w:r>
      <w:r>
        <w:rPr>
          <w:rFonts w:asciiTheme="minorEastAsia" w:hAnsiTheme="minorEastAsia" w:eastAsiaTheme="minorEastAsia"/>
          <w:sz w:val="24"/>
          <w:szCs w:val="24"/>
          <w:highlight w:val="none"/>
          <w:u w:val="single"/>
          <w:lang w:bidi="zh-CN"/>
        </w:rPr>
        <w:t>（单位名称）</w:t>
      </w:r>
      <w:r>
        <w:rPr>
          <w:rFonts w:asciiTheme="minorEastAsia" w:hAnsiTheme="minorEastAsia" w:eastAsiaTheme="minorEastAsia"/>
          <w:sz w:val="24"/>
          <w:szCs w:val="24"/>
          <w:highlight w:val="none"/>
          <w:lang w:bidi="zh-CN"/>
        </w:rPr>
        <w:t>的</w:t>
      </w:r>
      <w:r>
        <w:rPr>
          <w:rFonts w:asciiTheme="minorEastAsia" w:hAnsiTheme="minorEastAsia" w:eastAsiaTheme="minorEastAsia"/>
          <w:sz w:val="24"/>
          <w:szCs w:val="24"/>
          <w:highlight w:val="none"/>
          <w:u w:val="single"/>
          <w:lang w:bidi="zh-CN"/>
        </w:rPr>
        <w:t>（项目名称）</w:t>
      </w:r>
      <w:r>
        <w:rPr>
          <w:rFonts w:asciiTheme="minorEastAsia" w:hAnsiTheme="minorEastAsia" w:eastAsiaTheme="minorEastAsia"/>
          <w:sz w:val="24"/>
          <w:szCs w:val="24"/>
          <w:highlight w:val="none"/>
          <w:lang w:bidi="zh-CN"/>
        </w:rPr>
        <w:t>采购活动，工程的施工单位全部为符合政策要求的中小企业（或者：服务全部由符合政策要求的中小企业承接）。相关企业（含联合体中的中小企业、签订分包意向协议的中小企业）的具体情况如下：</w:t>
      </w:r>
    </w:p>
    <w:p w14:paraId="162026A7">
      <w:pPr>
        <w:spacing w:line="360" w:lineRule="auto"/>
        <w:ind w:firstLine="482"/>
        <w:jc w:val="left"/>
        <w:outlineLvl w:val="0"/>
        <w:rPr>
          <w:rFonts w:hint="eastAsia" w:asciiTheme="minorEastAsia" w:hAnsiTheme="minorEastAsia" w:eastAsiaTheme="minorEastAsia"/>
          <w:sz w:val="24"/>
          <w:szCs w:val="24"/>
          <w:highlight w:val="none"/>
          <w:lang w:bidi="zh-CN"/>
        </w:rPr>
      </w:pPr>
      <w:r>
        <w:rPr>
          <w:rFonts w:hint="eastAsia" w:asciiTheme="minorEastAsia" w:hAnsiTheme="minorEastAsia" w:eastAsiaTheme="minorEastAsia"/>
          <w:sz w:val="24"/>
          <w:szCs w:val="24"/>
          <w:highlight w:val="none"/>
          <w:lang w:bidi="zh-CN"/>
        </w:rPr>
        <w:t>1.</w:t>
      </w:r>
      <w:r>
        <w:rPr>
          <w:rFonts w:asciiTheme="minorEastAsia" w:hAnsiTheme="minorEastAsia" w:eastAsiaTheme="minorEastAsia"/>
          <w:sz w:val="24"/>
          <w:szCs w:val="24"/>
          <w:highlight w:val="none"/>
          <w:u w:val="single"/>
          <w:lang w:bidi="zh-CN"/>
        </w:rPr>
        <w:t>（标的名称）</w:t>
      </w:r>
      <w:r>
        <w:rPr>
          <w:rFonts w:asciiTheme="minorEastAsia" w:hAnsiTheme="minorEastAsia" w:eastAsiaTheme="minorEastAsia"/>
          <w:sz w:val="24"/>
          <w:szCs w:val="24"/>
          <w:highlight w:val="none"/>
          <w:lang w:bidi="zh-CN"/>
        </w:rPr>
        <w:t>，属于（</w:t>
      </w:r>
      <w:r>
        <w:rPr>
          <w:rFonts w:asciiTheme="minorEastAsia" w:hAnsiTheme="minorEastAsia" w:eastAsiaTheme="minorEastAsia"/>
          <w:sz w:val="24"/>
          <w:szCs w:val="24"/>
          <w:highlight w:val="none"/>
          <w:u w:val="single"/>
          <w:lang w:bidi="zh-CN"/>
        </w:rPr>
        <w:t>采购文件中明确的所属行业）</w:t>
      </w:r>
      <w:r>
        <w:rPr>
          <w:rFonts w:asciiTheme="minorEastAsia" w:hAnsiTheme="minorEastAsia" w:eastAsiaTheme="minorEastAsia"/>
          <w:sz w:val="24"/>
          <w:szCs w:val="24"/>
          <w:highlight w:val="none"/>
          <w:lang w:bidi="zh-CN"/>
        </w:rPr>
        <w:t>；承建（承接）企业为</w:t>
      </w:r>
      <w:r>
        <w:rPr>
          <w:rFonts w:asciiTheme="minorEastAsia" w:hAnsiTheme="minorEastAsia" w:eastAsiaTheme="minorEastAsia"/>
          <w:sz w:val="24"/>
          <w:szCs w:val="24"/>
          <w:highlight w:val="none"/>
          <w:u w:val="single"/>
          <w:lang w:bidi="zh-CN"/>
        </w:rPr>
        <w:t>（企业名称）</w:t>
      </w:r>
      <w:r>
        <w:rPr>
          <w:rFonts w:asciiTheme="minorEastAsia" w:hAnsiTheme="minorEastAsia" w:eastAsiaTheme="minorEastAsia"/>
          <w:sz w:val="24"/>
          <w:szCs w:val="24"/>
          <w:highlight w:val="none"/>
          <w:lang w:bidi="zh-CN"/>
        </w:rPr>
        <w:t>，从业人员人，营业收入为万元，资产总额为万元，属于</w:t>
      </w:r>
      <w:r>
        <w:rPr>
          <w:rFonts w:asciiTheme="minorEastAsia" w:hAnsiTheme="minorEastAsia" w:eastAsiaTheme="minorEastAsia"/>
          <w:sz w:val="24"/>
          <w:szCs w:val="24"/>
          <w:highlight w:val="none"/>
          <w:u w:val="single"/>
          <w:lang w:bidi="zh-CN"/>
        </w:rPr>
        <w:t>（</w:t>
      </w:r>
      <w:r>
        <w:rPr>
          <w:rFonts w:hint="eastAsia" w:asciiTheme="minorEastAsia" w:hAnsiTheme="minorEastAsia" w:eastAsiaTheme="minorEastAsia"/>
          <w:color w:val="000000"/>
          <w:sz w:val="24"/>
          <w:szCs w:val="24"/>
          <w:highlight w:val="none"/>
          <w:u w:val="single"/>
        </w:rPr>
        <w:t>□</w:t>
      </w:r>
      <w:r>
        <w:rPr>
          <w:rFonts w:asciiTheme="minorEastAsia" w:hAnsiTheme="minorEastAsia" w:eastAsiaTheme="minorEastAsia"/>
          <w:sz w:val="24"/>
          <w:szCs w:val="24"/>
          <w:highlight w:val="none"/>
          <w:u w:val="single"/>
          <w:lang w:bidi="zh-CN"/>
        </w:rPr>
        <w:t>中型企业、</w:t>
      </w:r>
      <w:r>
        <w:rPr>
          <w:rFonts w:hint="eastAsia" w:asciiTheme="minorEastAsia" w:hAnsiTheme="minorEastAsia" w:eastAsiaTheme="minorEastAsia"/>
          <w:color w:val="000000"/>
          <w:sz w:val="24"/>
          <w:szCs w:val="24"/>
          <w:highlight w:val="none"/>
          <w:u w:val="single"/>
        </w:rPr>
        <w:t>□</w:t>
      </w:r>
      <w:r>
        <w:rPr>
          <w:rFonts w:asciiTheme="minorEastAsia" w:hAnsiTheme="minorEastAsia" w:eastAsiaTheme="minorEastAsia"/>
          <w:sz w:val="24"/>
          <w:szCs w:val="24"/>
          <w:highlight w:val="none"/>
          <w:u w:val="single"/>
          <w:lang w:bidi="zh-CN"/>
        </w:rPr>
        <w:t>小型企业、</w:t>
      </w:r>
      <w:r>
        <w:rPr>
          <w:rFonts w:hint="eastAsia" w:asciiTheme="minorEastAsia" w:hAnsiTheme="minorEastAsia" w:eastAsiaTheme="minorEastAsia"/>
          <w:color w:val="000000"/>
          <w:sz w:val="24"/>
          <w:szCs w:val="24"/>
          <w:highlight w:val="none"/>
          <w:u w:val="single"/>
        </w:rPr>
        <w:t>□</w:t>
      </w:r>
      <w:r>
        <w:rPr>
          <w:rFonts w:asciiTheme="minorEastAsia" w:hAnsiTheme="minorEastAsia" w:eastAsiaTheme="minorEastAsia"/>
          <w:sz w:val="24"/>
          <w:szCs w:val="24"/>
          <w:highlight w:val="none"/>
          <w:u w:val="single"/>
          <w:lang w:bidi="zh-CN"/>
        </w:rPr>
        <w:t>微型企业）</w:t>
      </w:r>
      <w:r>
        <w:rPr>
          <w:rFonts w:asciiTheme="minorEastAsia" w:hAnsiTheme="minorEastAsia" w:eastAsiaTheme="minorEastAsia"/>
          <w:sz w:val="24"/>
          <w:szCs w:val="24"/>
          <w:highlight w:val="none"/>
          <w:lang w:bidi="zh-CN"/>
        </w:rPr>
        <w:t>；</w:t>
      </w:r>
    </w:p>
    <w:p w14:paraId="6A77988D">
      <w:pPr>
        <w:spacing w:line="360" w:lineRule="auto"/>
        <w:ind w:firstLine="482"/>
        <w:jc w:val="left"/>
        <w:outlineLvl w:val="0"/>
        <w:rPr>
          <w:rFonts w:hint="eastAsia" w:asciiTheme="minorEastAsia" w:hAnsiTheme="minorEastAsia" w:eastAsiaTheme="minorEastAsia"/>
          <w:sz w:val="24"/>
          <w:szCs w:val="24"/>
          <w:highlight w:val="none"/>
          <w:lang w:bidi="zh-CN"/>
        </w:rPr>
      </w:pPr>
      <w:r>
        <w:rPr>
          <w:rFonts w:hint="eastAsia" w:asciiTheme="minorEastAsia" w:hAnsiTheme="minorEastAsia" w:eastAsiaTheme="minorEastAsia"/>
          <w:sz w:val="24"/>
          <w:szCs w:val="24"/>
          <w:highlight w:val="none"/>
          <w:lang w:bidi="zh-CN"/>
        </w:rPr>
        <w:t>2.</w:t>
      </w:r>
      <w:r>
        <w:rPr>
          <w:rFonts w:asciiTheme="minorEastAsia" w:hAnsiTheme="minorEastAsia" w:eastAsiaTheme="minorEastAsia"/>
          <w:sz w:val="24"/>
          <w:szCs w:val="24"/>
          <w:highlight w:val="none"/>
          <w:u w:val="single"/>
          <w:lang w:bidi="zh-CN"/>
        </w:rPr>
        <w:t>（标的名称）</w:t>
      </w:r>
      <w:r>
        <w:rPr>
          <w:rFonts w:asciiTheme="minorEastAsia" w:hAnsiTheme="minorEastAsia" w:eastAsiaTheme="minorEastAsia"/>
          <w:sz w:val="24"/>
          <w:szCs w:val="24"/>
          <w:highlight w:val="none"/>
          <w:lang w:bidi="zh-CN"/>
        </w:rPr>
        <w:t>，属于（</w:t>
      </w:r>
      <w:r>
        <w:rPr>
          <w:rFonts w:asciiTheme="minorEastAsia" w:hAnsiTheme="minorEastAsia" w:eastAsiaTheme="minorEastAsia"/>
          <w:sz w:val="24"/>
          <w:szCs w:val="24"/>
          <w:highlight w:val="none"/>
          <w:u w:val="single"/>
          <w:lang w:bidi="zh-CN"/>
        </w:rPr>
        <w:t>采购文件中明确的所属行业）</w:t>
      </w:r>
      <w:r>
        <w:rPr>
          <w:rFonts w:asciiTheme="minorEastAsia" w:hAnsiTheme="minorEastAsia" w:eastAsiaTheme="minorEastAsia"/>
          <w:sz w:val="24"/>
          <w:szCs w:val="24"/>
          <w:highlight w:val="none"/>
          <w:lang w:bidi="zh-CN"/>
        </w:rPr>
        <w:t>；承建（承接）企业为</w:t>
      </w:r>
      <w:r>
        <w:rPr>
          <w:rFonts w:asciiTheme="minorEastAsia" w:hAnsiTheme="minorEastAsia" w:eastAsiaTheme="minorEastAsia"/>
          <w:sz w:val="24"/>
          <w:szCs w:val="24"/>
          <w:highlight w:val="none"/>
          <w:u w:val="single"/>
          <w:lang w:bidi="zh-CN"/>
        </w:rPr>
        <w:t>（企业名称）</w:t>
      </w:r>
      <w:r>
        <w:rPr>
          <w:rFonts w:asciiTheme="minorEastAsia" w:hAnsiTheme="minorEastAsia" w:eastAsiaTheme="minorEastAsia"/>
          <w:sz w:val="24"/>
          <w:szCs w:val="24"/>
          <w:highlight w:val="none"/>
          <w:lang w:bidi="zh-CN"/>
        </w:rPr>
        <w:t>，从业人员人，营业收入为万元，资产总额为万元，属于</w:t>
      </w:r>
      <w:r>
        <w:rPr>
          <w:rFonts w:asciiTheme="minorEastAsia" w:hAnsiTheme="minorEastAsia" w:eastAsiaTheme="minorEastAsia"/>
          <w:sz w:val="24"/>
          <w:szCs w:val="24"/>
          <w:highlight w:val="none"/>
          <w:u w:val="single"/>
          <w:lang w:bidi="zh-CN"/>
        </w:rPr>
        <w:t>（</w:t>
      </w:r>
      <w:r>
        <w:rPr>
          <w:rFonts w:hint="eastAsia" w:asciiTheme="minorEastAsia" w:hAnsiTheme="minorEastAsia" w:eastAsiaTheme="minorEastAsia"/>
          <w:color w:val="000000"/>
          <w:sz w:val="24"/>
          <w:szCs w:val="24"/>
          <w:highlight w:val="none"/>
          <w:u w:val="single"/>
        </w:rPr>
        <w:t>□</w:t>
      </w:r>
      <w:r>
        <w:rPr>
          <w:rFonts w:asciiTheme="minorEastAsia" w:hAnsiTheme="minorEastAsia" w:eastAsiaTheme="minorEastAsia"/>
          <w:sz w:val="24"/>
          <w:szCs w:val="24"/>
          <w:highlight w:val="none"/>
          <w:u w:val="single"/>
          <w:lang w:bidi="zh-CN"/>
        </w:rPr>
        <w:t>中型企业、</w:t>
      </w:r>
      <w:r>
        <w:rPr>
          <w:rFonts w:hint="eastAsia" w:asciiTheme="minorEastAsia" w:hAnsiTheme="minorEastAsia" w:eastAsiaTheme="minorEastAsia"/>
          <w:color w:val="000000"/>
          <w:sz w:val="24"/>
          <w:szCs w:val="24"/>
          <w:highlight w:val="none"/>
          <w:u w:val="single"/>
        </w:rPr>
        <w:t>□</w:t>
      </w:r>
      <w:r>
        <w:rPr>
          <w:rFonts w:asciiTheme="minorEastAsia" w:hAnsiTheme="minorEastAsia" w:eastAsiaTheme="minorEastAsia"/>
          <w:sz w:val="24"/>
          <w:szCs w:val="24"/>
          <w:highlight w:val="none"/>
          <w:u w:val="single"/>
          <w:lang w:bidi="zh-CN"/>
        </w:rPr>
        <w:t>小型企业、</w:t>
      </w:r>
      <w:r>
        <w:rPr>
          <w:rFonts w:hint="eastAsia" w:asciiTheme="minorEastAsia" w:hAnsiTheme="minorEastAsia" w:eastAsiaTheme="minorEastAsia"/>
          <w:color w:val="000000"/>
          <w:sz w:val="24"/>
          <w:szCs w:val="24"/>
          <w:highlight w:val="none"/>
          <w:u w:val="single"/>
        </w:rPr>
        <w:t>□</w:t>
      </w:r>
      <w:r>
        <w:rPr>
          <w:rFonts w:asciiTheme="minorEastAsia" w:hAnsiTheme="minorEastAsia" w:eastAsiaTheme="minorEastAsia"/>
          <w:sz w:val="24"/>
          <w:szCs w:val="24"/>
          <w:highlight w:val="none"/>
          <w:u w:val="single"/>
          <w:lang w:bidi="zh-CN"/>
        </w:rPr>
        <w:t>微型企业）</w:t>
      </w:r>
      <w:r>
        <w:rPr>
          <w:rFonts w:asciiTheme="minorEastAsia" w:hAnsiTheme="minorEastAsia" w:eastAsiaTheme="minorEastAsia"/>
          <w:sz w:val="24"/>
          <w:szCs w:val="24"/>
          <w:highlight w:val="none"/>
          <w:lang w:bidi="zh-CN"/>
        </w:rPr>
        <w:t>；</w:t>
      </w:r>
    </w:p>
    <w:p w14:paraId="092448CB">
      <w:pPr>
        <w:spacing w:line="360" w:lineRule="auto"/>
        <w:ind w:firstLine="482"/>
        <w:jc w:val="left"/>
        <w:outlineLvl w:val="0"/>
        <w:rPr>
          <w:rFonts w:hint="eastAsia" w:asciiTheme="minorEastAsia" w:hAnsiTheme="minorEastAsia" w:eastAsiaTheme="minorEastAsia"/>
          <w:sz w:val="24"/>
          <w:szCs w:val="24"/>
          <w:highlight w:val="none"/>
          <w:lang w:bidi="zh-CN"/>
        </w:rPr>
      </w:pPr>
      <w:r>
        <w:rPr>
          <w:rFonts w:asciiTheme="minorEastAsia" w:hAnsiTheme="minorEastAsia" w:eastAsiaTheme="minorEastAsia"/>
          <w:sz w:val="24"/>
          <w:szCs w:val="24"/>
          <w:highlight w:val="none"/>
          <w:lang w:bidi="zh-CN"/>
        </w:rPr>
        <w:t>……</w:t>
      </w:r>
    </w:p>
    <w:p w14:paraId="500958FB">
      <w:pPr>
        <w:spacing w:line="360" w:lineRule="auto"/>
        <w:ind w:firstLine="480"/>
        <w:outlineLvl w:val="0"/>
        <w:rPr>
          <w:rFonts w:hint="eastAsia" w:asciiTheme="minorEastAsia" w:hAnsiTheme="minorEastAsia" w:eastAsiaTheme="minorEastAsia"/>
          <w:sz w:val="24"/>
          <w:szCs w:val="24"/>
          <w:highlight w:val="none"/>
          <w:lang w:bidi="zh-CN"/>
        </w:rPr>
      </w:pPr>
      <w:r>
        <w:rPr>
          <w:rFonts w:asciiTheme="minorEastAsia" w:hAnsiTheme="minorEastAsia" w:eastAsiaTheme="minorEastAsia"/>
          <w:sz w:val="24"/>
          <w:szCs w:val="24"/>
          <w:highlight w:val="none"/>
          <w:lang w:bidi="zh-CN"/>
        </w:rPr>
        <w:t>以上企业，不属于大企业的分支机构，不存在控股股东为大企业的情形，也不存在与大企业的负责人为同一人的情形。</w:t>
      </w:r>
    </w:p>
    <w:p w14:paraId="11A768BB">
      <w:pPr>
        <w:spacing w:line="360" w:lineRule="auto"/>
        <w:ind w:firstLine="480"/>
        <w:outlineLvl w:val="0"/>
        <w:rPr>
          <w:rFonts w:hint="eastAsia" w:asciiTheme="minorEastAsia" w:hAnsiTheme="minorEastAsia" w:eastAsiaTheme="minorEastAsia"/>
          <w:sz w:val="24"/>
          <w:szCs w:val="24"/>
          <w:highlight w:val="none"/>
          <w:lang w:bidi="zh-CN"/>
        </w:rPr>
      </w:pPr>
      <w:r>
        <w:rPr>
          <w:rFonts w:asciiTheme="minorEastAsia" w:hAnsiTheme="minorEastAsia" w:eastAsiaTheme="minorEastAsia"/>
          <w:sz w:val="24"/>
          <w:szCs w:val="24"/>
          <w:highlight w:val="none"/>
          <w:lang w:bidi="zh-CN"/>
        </w:rPr>
        <w:t>本企业对上述声明内容的真实性负责。如有虚假，将依法承担相应责任。</w:t>
      </w:r>
    </w:p>
    <w:p w14:paraId="5E6995B7">
      <w:pPr>
        <w:spacing w:line="360" w:lineRule="auto"/>
        <w:ind w:firstLine="482"/>
        <w:outlineLvl w:val="0"/>
        <w:rPr>
          <w:rFonts w:hint="eastAsia" w:asciiTheme="minorEastAsia" w:hAnsiTheme="minorEastAsia" w:eastAsiaTheme="minorEastAsia"/>
          <w:sz w:val="24"/>
          <w:szCs w:val="24"/>
          <w:highlight w:val="none"/>
          <w:lang w:bidi="zh-CN"/>
        </w:rPr>
      </w:pPr>
    </w:p>
    <w:p w14:paraId="13A167C6">
      <w:pPr>
        <w:spacing w:line="360" w:lineRule="auto"/>
        <w:ind w:firstLine="482"/>
        <w:outlineLvl w:val="0"/>
        <w:rPr>
          <w:rFonts w:hint="eastAsia" w:asciiTheme="minorEastAsia" w:hAnsiTheme="minorEastAsia" w:eastAsiaTheme="minorEastAsia"/>
          <w:sz w:val="24"/>
          <w:szCs w:val="24"/>
          <w:highlight w:val="none"/>
          <w:lang w:bidi="zh-CN"/>
        </w:rPr>
      </w:pPr>
    </w:p>
    <w:p w14:paraId="3216C5B0">
      <w:pPr>
        <w:spacing w:line="360" w:lineRule="auto"/>
        <w:ind w:firstLine="482"/>
        <w:outlineLvl w:val="0"/>
        <w:rPr>
          <w:rFonts w:hint="eastAsia" w:asciiTheme="minorEastAsia" w:hAnsiTheme="minorEastAsia" w:eastAsiaTheme="minorEastAsia"/>
          <w:sz w:val="24"/>
          <w:szCs w:val="24"/>
          <w:highlight w:val="none"/>
          <w:lang w:bidi="zh-CN"/>
        </w:rPr>
      </w:pPr>
    </w:p>
    <w:p w14:paraId="2EAAB19A">
      <w:pPr>
        <w:spacing w:line="360" w:lineRule="auto"/>
        <w:ind w:firstLine="4200"/>
        <w:outlineLvl w:val="0"/>
        <w:rPr>
          <w:rFonts w:hint="eastAsia" w:asciiTheme="minorEastAsia" w:hAnsiTheme="minorEastAsia" w:eastAsiaTheme="minorEastAsia"/>
          <w:sz w:val="24"/>
          <w:szCs w:val="24"/>
          <w:highlight w:val="none"/>
          <w:lang w:bidi="zh-CN"/>
        </w:rPr>
      </w:pPr>
      <w:r>
        <w:rPr>
          <w:rFonts w:asciiTheme="minorEastAsia" w:hAnsiTheme="minorEastAsia" w:eastAsiaTheme="minorEastAsia"/>
          <w:sz w:val="24"/>
          <w:szCs w:val="24"/>
          <w:highlight w:val="none"/>
          <w:lang w:bidi="zh-CN"/>
        </w:rPr>
        <w:t>企业名称（盖章）：</w:t>
      </w:r>
    </w:p>
    <w:p w14:paraId="656C316B">
      <w:pPr>
        <w:spacing w:line="360" w:lineRule="auto"/>
        <w:ind w:firstLine="4200"/>
        <w:outlineLvl w:val="0"/>
        <w:rPr>
          <w:rFonts w:hint="eastAsia" w:asciiTheme="minorEastAsia" w:hAnsiTheme="minorEastAsia" w:eastAsiaTheme="minorEastAsia"/>
          <w:sz w:val="24"/>
          <w:szCs w:val="24"/>
          <w:highlight w:val="none"/>
          <w:lang w:bidi="zh-CN"/>
        </w:rPr>
      </w:pPr>
      <w:r>
        <w:rPr>
          <w:rFonts w:asciiTheme="minorEastAsia" w:hAnsiTheme="minorEastAsia" w:eastAsiaTheme="minorEastAsia"/>
          <w:sz w:val="24"/>
          <w:szCs w:val="24"/>
          <w:highlight w:val="none"/>
          <w:lang w:bidi="zh-CN"/>
        </w:rPr>
        <w:t>日期：</w:t>
      </w:r>
    </w:p>
    <w:p w14:paraId="02B0B2DC">
      <w:pPr>
        <w:spacing w:line="360" w:lineRule="auto"/>
        <w:ind w:firstLine="480"/>
        <w:outlineLvl w:val="0"/>
        <w:rPr>
          <w:rFonts w:hint="eastAsia" w:asciiTheme="minorEastAsia" w:hAnsiTheme="minorEastAsia" w:eastAsiaTheme="minorEastAsia"/>
          <w:sz w:val="24"/>
          <w:szCs w:val="24"/>
          <w:highlight w:val="none"/>
          <w:lang w:bidi="zh-CN"/>
        </w:rPr>
      </w:pPr>
      <w:r>
        <w:rPr>
          <w:rFonts w:hint="eastAsia" w:asciiTheme="minorEastAsia" w:hAnsiTheme="minorEastAsia" w:eastAsiaTheme="minorEastAsia"/>
          <w:sz w:val="24"/>
          <w:szCs w:val="24"/>
          <w:highlight w:val="none"/>
          <w:lang w:bidi="zh-CN"/>
        </w:rPr>
        <w:t>备注：</w:t>
      </w:r>
    </w:p>
    <w:p w14:paraId="4FCA655B">
      <w:pPr>
        <w:spacing w:line="360" w:lineRule="auto"/>
        <w:ind w:firstLine="480"/>
        <w:outlineLvl w:val="0"/>
        <w:rPr>
          <w:rFonts w:hint="eastAsia" w:asciiTheme="minorEastAsia" w:hAnsiTheme="minorEastAsia" w:eastAsiaTheme="minorEastAsia"/>
          <w:sz w:val="24"/>
          <w:szCs w:val="24"/>
          <w:highlight w:val="none"/>
          <w:lang w:bidi="zh-CN"/>
        </w:rPr>
      </w:pPr>
      <w:r>
        <w:rPr>
          <w:rFonts w:hint="eastAsia" w:asciiTheme="minorEastAsia" w:hAnsiTheme="minorEastAsia" w:eastAsiaTheme="minorEastAsia"/>
          <w:sz w:val="24"/>
          <w:szCs w:val="24"/>
          <w:highlight w:val="none"/>
          <w:lang w:bidi="zh-CN"/>
        </w:rPr>
        <w:t>1.从业人员、营业收入、资产总额填报上一年度数据，无上一年度数据的新成立企业可不填报。</w:t>
      </w:r>
    </w:p>
    <w:p w14:paraId="229F402F">
      <w:pPr>
        <w:spacing w:line="360" w:lineRule="auto"/>
        <w:ind w:firstLine="480"/>
        <w:outlineLvl w:val="0"/>
        <w:rPr>
          <w:rFonts w:hint="eastAsia" w:asciiTheme="minorEastAsia" w:hAnsiTheme="minorEastAsia" w:eastAsiaTheme="minorEastAsia"/>
          <w:sz w:val="24"/>
          <w:szCs w:val="24"/>
          <w:highlight w:val="none"/>
          <w:lang w:bidi="zh-CN"/>
        </w:rPr>
      </w:pPr>
      <w:r>
        <w:rPr>
          <w:rFonts w:hint="eastAsia" w:asciiTheme="minorEastAsia" w:hAnsiTheme="minorEastAsia" w:eastAsiaTheme="minorEastAsia"/>
          <w:sz w:val="24"/>
          <w:szCs w:val="24"/>
          <w:highlight w:val="none"/>
          <w:lang w:bidi="zh-CN"/>
        </w:rPr>
        <w:t>2.专门</w:t>
      </w:r>
      <w:r>
        <w:rPr>
          <w:rFonts w:asciiTheme="minorEastAsia" w:hAnsiTheme="minorEastAsia" w:eastAsiaTheme="minorEastAsia"/>
          <w:sz w:val="24"/>
          <w:szCs w:val="24"/>
          <w:highlight w:val="none"/>
          <w:lang w:bidi="zh-CN"/>
        </w:rPr>
        <w:t>面向中小微型企业</w:t>
      </w:r>
      <w:r>
        <w:rPr>
          <w:rFonts w:hint="eastAsia" w:asciiTheme="minorEastAsia" w:hAnsiTheme="minorEastAsia" w:eastAsiaTheme="minorEastAsia"/>
          <w:sz w:val="24"/>
          <w:szCs w:val="24"/>
          <w:highlight w:val="none"/>
          <w:lang w:bidi="zh-CN"/>
        </w:rPr>
        <w:t>采购</w:t>
      </w:r>
      <w:r>
        <w:rPr>
          <w:rFonts w:asciiTheme="minorEastAsia" w:hAnsiTheme="minorEastAsia" w:eastAsiaTheme="minorEastAsia"/>
          <w:sz w:val="24"/>
          <w:szCs w:val="24"/>
          <w:highlight w:val="none"/>
          <w:lang w:bidi="zh-CN"/>
        </w:rPr>
        <w:t>的项目，</w:t>
      </w:r>
      <w:r>
        <w:rPr>
          <w:rFonts w:hint="eastAsia" w:asciiTheme="minorEastAsia" w:hAnsiTheme="minorEastAsia" w:eastAsiaTheme="minorEastAsia"/>
          <w:sz w:val="24"/>
          <w:szCs w:val="24"/>
          <w:highlight w:val="none"/>
          <w:lang w:bidi="zh-CN"/>
        </w:rPr>
        <w:t>供应商如不提供此声明函，则</w:t>
      </w:r>
      <w:r>
        <w:rPr>
          <w:rFonts w:asciiTheme="minorEastAsia" w:hAnsiTheme="minorEastAsia" w:eastAsiaTheme="minorEastAsia"/>
          <w:sz w:val="24"/>
          <w:szCs w:val="24"/>
          <w:highlight w:val="none"/>
          <w:lang w:bidi="zh-CN"/>
        </w:rPr>
        <w:t>不能通过资格审查；</w:t>
      </w:r>
      <w:r>
        <w:rPr>
          <w:rFonts w:hint="eastAsia" w:asciiTheme="minorEastAsia" w:hAnsiTheme="minorEastAsia" w:eastAsiaTheme="minorEastAsia"/>
          <w:sz w:val="24"/>
          <w:szCs w:val="24"/>
          <w:highlight w:val="none"/>
          <w:lang w:bidi="zh-CN"/>
        </w:rPr>
        <w:t>非专门</w:t>
      </w:r>
      <w:r>
        <w:rPr>
          <w:rFonts w:asciiTheme="minorEastAsia" w:hAnsiTheme="minorEastAsia" w:eastAsiaTheme="minorEastAsia"/>
          <w:sz w:val="24"/>
          <w:szCs w:val="24"/>
          <w:highlight w:val="none"/>
          <w:lang w:bidi="zh-CN"/>
        </w:rPr>
        <w:t>面向中小微型企业</w:t>
      </w:r>
      <w:r>
        <w:rPr>
          <w:rFonts w:hint="eastAsia" w:asciiTheme="minorEastAsia" w:hAnsiTheme="minorEastAsia" w:eastAsiaTheme="minorEastAsia"/>
          <w:sz w:val="24"/>
          <w:szCs w:val="24"/>
          <w:highlight w:val="none"/>
          <w:lang w:bidi="zh-CN"/>
        </w:rPr>
        <w:t>采购</w:t>
      </w:r>
      <w:r>
        <w:rPr>
          <w:rFonts w:asciiTheme="minorEastAsia" w:hAnsiTheme="minorEastAsia" w:eastAsiaTheme="minorEastAsia"/>
          <w:sz w:val="24"/>
          <w:szCs w:val="24"/>
          <w:highlight w:val="none"/>
          <w:lang w:bidi="zh-CN"/>
        </w:rPr>
        <w:t>的项目，</w:t>
      </w:r>
      <w:r>
        <w:rPr>
          <w:rFonts w:hint="eastAsia" w:asciiTheme="minorEastAsia" w:hAnsiTheme="minorEastAsia" w:eastAsiaTheme="minorEastAsia"/>
          <w:sz w:val="24"/>
          <w:szCs w:val="24"/>
          <w:highlight w:val="none"/>
          <w:lang w:bidi="zh-CN"/>
        </w:rPr>
        <w:t>供应商如不提供此声明函，价格将不做相应扣除。</w:t>
      </w:r>
    </w:p>
    <w:p w14:paraId="526E19AC">
      <w:pPr>
        <w:spacing w:line="360" w:lineRule="auto"/>
        <w:ind w:firstLine="480"/>
        <w:outlineLvl w:val="0"/>
        <w:rPr>
          <w:rFonts w:hint="eastAsia" w:asciiTheme="minorEastAsia" w:hAnsiTheme="minorEastAsia" w:eastAsiaTheme="minorEastAsia"/>
          <w:sz w:val="24"/>
          <w:szCs w:val="24"/>
          <w:highlight w:val="none"/>
          <w:lang w:bidi="zh-CN"/>
        </w:rPr>
      </w:pPr>
      <w:r>
        <w:rPr>
          <w:rFonts w:hint="eastAsia" w:asciiTheme="minorEastAsia" w:hAnsiTheme="minorEastAsia" w:eastAsiaTheme="minorEastAsia"/>
          <w:sz w:val="24"/>
          <w:szCs w:val="24"/>
          <w:highlight w:val="none"/>
          <w:lang w:bidi="zh-CN"/>
        </w:rPr>
        <w:t>3.供应商</w:t>
      </w:r>
      <w:r>
        <w:rPr>
          <w:rFonts w:asciiTheme="minorEastAsia" w:hAnsiTheme="minorEastAsia" w:eastAsiaTheme="minorEastAsia"/>
          <w:sz w:val="24"/>
          <w:szCs w:val="24"/>
          <w:highlight w:val="none"/>
          <w:lang w:bidi="zh-CN"/>
        </w:rPr>
        <w:t>自行勾选企业</w:t>
      </w:r>
      <w:r>
        <w:rPr>
          <w:rFonts w:hint="eastAsia" w:asciiTheme="minorEastAsia" w:hAnsiTheme="minorEastAsia" w:eastAsiaTheme="minorEastAsia"/>
          <w:sz w:val="24"/>
          <w:szCs w:val="24"/>
          <w:highlight w:val="none"/>
          <w:lang w:bidi="zh-CN"/>
        </w:rPr>
        <w:t>规模类型</w:t>
      </w:r>
      <w:r>
        <w:rPr>
          <w:rFonts w:asciiTheme="minorEastAsia" w:hAnsiTheme="minorEastAsia" w:eastAsiaTheme="minorEastAsia"/>
          <w:sz w:val="24"/>
          <w:szCs w:val="24"/>
          <w:highlight w:val="none"/>
          <w:lang w:bidi="zh-CN"/>
        </w:rPr>
        <w:t>。</w:t>
      </w:r>
    </w:p>
    <w:p w14:paraId="64DBCA14">
      <w:pPr>
        <w:spacing w:line="360" w:lineRule="auto"/>
        <w:ind w:firstLine="480"/>
        <w:jc w:val="left"/>
        <w:rPr>
          <w:rFonts w:hint="eastAsia" w:ascii="宋体" w:hAnsi="宋体" w:cs="宋体"/>
          <w:sz w:val="24"/>
          <w:szCs w:val="24"/>
          <w:highlight w:val="none"/>
        </w:rPr>
      </w:pPr>
      <w:r>
        <w:rPr>
          <w:rFonts w:hint="eastAsia" w:ascii="宋体" w:hAnsi="宋体" w:cs="宋体"/>
          <w:sz w:val="24"/>
          <w:szCs w:val="24"/>
          <w:highlight w:val="none"/>
          <w:lang w:val="zh-CN"/>
        </w:rPr>
        <w:t>附件</w:t>
      </w:r>
      <w:r>
        <w:rPr>
          <w:rFonts w:hint="eastAsia" w:ascii="宋体" w:hAnsi="宋体" w:cs="宋体"/>
          <w:sz w:val="24"/>
          <w:szCs w:val="24"/>
          <w:highlight w:val="none"/>
        </w:rPr>
        <w:t>5</w:t>
      </w:r>
    </w:p>
    <w:p w14:paraId="5EE43F00">
      <w:pPr>
        <w:spacing w:line="360" w:lineRule="auto"/>
        <w:ind w:firstLine="482"/>
        <w:jc w:val="center"/>
        <w:rPr>
          <w:rFonts w:hint="eastAsia" w:ascii="宋体" w:hAnsi="宋体" w:cs="宋体"/>
          <w:b/>
          <w:sz w:val="24"/>
          <w:szCs w:val="24"/>
          <w:highlight w:val="none"/>
        </w:rPr>
      </w:pPr>
      <w:r>
        <w:rPr>
          <w:rFonts w:hint="eastAsia" w:ascii="宋体" w:hAnsi="宋体" w:cs="宋体"/>
          <w:b/>
          <w:sz w:val="24"/>
          <w:szCs w:val="24"/>
          <w:highlight w:val="none"/>
        </w:rPr>
        <w:t>残疾人福利性单位声明函</w:t>
      </w:r>
    </w:p>
    <w:p w14:paraId="7551C5C1">
      <w:pPr>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本单位郑重声明，根据《财政部 民政部 中国残疾人联合会关于促进残疾人就业政府采购政策的通知》（财库〔2017〕141号）的规定，本单位为符合条件的残疾人福利性单位，且本单位参加______单位的项目编号为______的项目采购活动提供本单位制造的货物（由本单位承担工程/提供服务），或者提供其他残疾人福利性单位制造的货物（不包括使用非残疾人福利性单位注册商标的货物）。</w:t>
      </w:r>
    </w:p>
    <w:p w14:paraId="5D1C6663">
      <w:pPr>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本单位对上述声明的真实性负责。如有虚假，将依法承担相应责任。</w:t>
      </w:r>
    </w:p>
    <w:p w14:paraId="2590C5C0">
      <w:pPr>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（备注：1、供应商如不提供此声明函，价格将不做相应扣除。2、中标供应商为残疾人福利单位的，此声明函将随中标结果同时公告，接受社会监督）</w:t>
      </w:r>
    </w:p>
    <w:p w14:paraId="3DFF0BCD">
      <w:pPr>
        <w:spacing w:line="360" w:lineRule="auto"/>
        <w:ind w:firstLine="504"/>
        <w:rPr>
          <w:rFonts w:hint="eastAsia" w:ascii="宋体" w:hAnsi="宋体" w:cs="宋体"/>
          <w:spacing w:val="6"/>
          <w:sz w:val="24"/>
          <w:szCs w:val="24"/>
          <w:highlight w:val="none"/>
        </w:rPr>
      </w:pPr>
    </w:p>
    <w:p w14:paraId="7C748206">
      <w:pPr>
        <w:spacing w:line="360" w:lineRule="auto"/>
        <w:ind w:firstLine="504"/>
        <w:rPr>
          <w:rFonts w:hint="eastAsia" w:ascii="宋体" w:hAnsi="宋体" w:cs="宋体"/>
          <w:spacing w:val="6"/>
          <w:sz w:val="24"/>
          <w:szCs w:val="24"/>
          <w:highlight w:val="none"/>
        </w:rPr>
      </w:pPr>
    </w:p>
    <w:p w14:paraId="1CAD161F">
      <w:pPr>
        <w:spacing w:line="360" w:lineRule="auto"/>
        <w:ind w:firstLine="504"/>
        <w:rPr>
          <w:rFonts w:hint="eastAsia" w:ascii="宋体" w:hAnsi="宋体" w:cs="宋体"/>
          <w:spacing w:val="6"/>
          <w:sz w:val="24"/>
          <w:szCs w:val="24"/>
          <w:highlight w:val="none"/>
        </w:rPr>
      </w:pPr>
    </w:p>
    <w:p w14:paraId="37365324">
      <w:pPr>
        <w:spacing w:line="360" w:lineRule="auto"/>
        <w:ind w:firstLine="504"/>
        <w:rPr>
          <w:rFonts w:hint="eastAsia" w:ascii="宋体" w:hAnsi="宋体" w:cs="宋体"/>
          <w:spacing w:val="6"/>
          <w:sz w:val="24"/>
          <w:szCs w:val="24"/>
          <w:highlight w:val="none"/>
        </w:rPr>
      </w:pPr>
    </w:p>
    <w:p w14:paraId="3A20688A">
      <w:pPr>
        <w:tabs>
          <w:tab w:val="left" w:pos="4860"/>
        </w:tabs>
        <w:spacing w:line="588" w:lineRule="exact"/>
        <w:ind w:left="547" w:right="1560" w:firstLine="584"/>
        <w:jc w:val="center"/>
        <w:rPr>
          <w:rFonts w:hint="eastAsia" w:ascii="宋体" w:hAnsi="宋体" w:cs="宋体"/>
          <w:sz w:val="28"/>
          <w:szCs w:val="28"/>
          <w:highlight w:val="none"/>
        </w:rPr>
      </w:pPr>
      <w:r>
        <w:rPr>
          <w:rFonts w:hint="eastAsia" w:ascii="宋体" w:hAnsi="宋体" w:cs="宋体"/>
          <w:sz w:val="28"/>
          <w:szCs w:val="28"/>
          <w:highlight w:val="none"/>
        </w:rPr>
        <w:t xml:space="preserve">           供应商全称（盖章）：</w:t>
      </w:r>
    </w:p>
    <w:p w14:paraId="08575585">
      <w:pPr>
        <w:tabs>
          <w:tab w:val="left" w:pos="4860"/>
        </w:tabs>
        <w:spacing w:line="588" w:lineRule="exact"/>
        <w:ind w:left="547" w:right="1560" w:firstLine="560"/>
        <w:jc w:val="center"/>
        <w:rPr>
          <w:rFonts w:hint="eastAsia" w:ascii="宋体" w:hAnsi="宋体" w:cs="宋体"/>
          <w:sz w:val="28"/>
          <w:szCs w:val="28"/>
          <w:highlight w:val="none"/>
        </w:rPr>
      </w:pPr>
      <w:r>
        <w:rPr>
          <w:rFonts w:hint="eastAsia" w:ascii="宋体" w:hAnsi="宋体" w:cs="宋体"/>
          <w:sz w:val="28"/>
          <w:szCs w:val="28"/>
          <w:highlight w:val="none"/>
        </w:rPr>
        <w:t xml:space="preserve">              日  期：</w:t>
      </w:r>
    </w:p>
    <w:p w14:paraId="19788B90">
      <w:pPr>
        <w:ind w:left="547" w:firstLine="562"/>
        <w:rPr>
          <w:rFonts w:hint="eastAsia" w:ascii="宋体" w:hAnsi="宋体" w:cs="宋体"/>
          <w:sz w:val="28"/>
          <w:szCs w:val="28"/>
          <w:highlight w:val="none"/>
        </w:rPr>
      </w:pPr>
    </w:p>
    <w:p w14:paraId="408EC849">
      <w:pPr>
        <w:spacing w:line="300" w:lineRule="auto"/>
        <w:ind w:left="547" w:firstLine="562"/>
        <w:outlineLvl w:val="0"/>
        <w:rPr>
          <w:rFonts w:hint="eastAsia" w:ascii="宋体" w:hAnsi="宋体" w:cs="宋体"/>
          <w:sz w:val="28"/>
          <w:szCs w:val="28"/>
          <w:highlight w:val="none"/>
        </w:rPr>
      </w:pPr>
    </w:p>
    <w:p w14:paraId="40A68278">
      <w:pPr>
        <w:spacing w:line="300" w:lineRule="auto"/>
        <w:ind w:left="547" w:firstLine="562"/>
        <w:outlineLvl w:val="0"/>
        <w:rPr>
          <w:rFonts w:hint="eastAsia" w:ascii="宋体" w:hAnsi="宋体" w:cs="宋体"/>
          <w:sz w:val="28"/>
          <w:szCs w:val="28"/>
          <w:highlight w:val="none"/>
        </w:rPr>
      </w:pPr>
    </w:p>
    <w:p w14:paraId="4EE8094A">
      <w:pPr>
        <w:spacing w:line="300" w:lineRule="auto"/>
        <w:ind w:left="547" w:firstLine="562"/>
        <w:outlineLvl w:val="0"/>
        <w:rPr>
          <w:rFonts w:hint="eastAsia" w:ascii="宋体" w:hAnsi="宋体" w:cs="宋体"/>
          <w:sz w:val="28"/>
          <w:szCs w:val="28"/>
          <w:highlight w:val="none"/>
        </w:rPr>
      </w:pPr>
    </w:p>
    <w:p w14:paraId="36B9319A">
      <w:pPr>
        <w:spacing w:line="300" w:lineRule="auto"/>
        <w:ind w:left="547" w:firstLine="562"/>
        <w:outlineLvl w:val="0"/>
        <w:rPr>
          <w:rFonts w:hint="eastAsia" w:ascii="宋体" w:hAnsi="宋体" w:cs="宋体"/>
          <w:sz w:val="28"/>
          <w:szCs w:val="28"/>
          <w:highlight w:val="none"/>
        </w:rPr>
      </w:pPr>
    </w:p>
    <w:p w14:paraId="79B0B2FD">
      <w:pPr>
        <w:spacing w:line="300" w:lineRule="auto"/>
        <w:ind w:left="547" w:firstLine="562"/>
        <w:outlineLvl w:val="0"/>
        <w:rPr>
          <w:rFonts w:hint="eastAsia" w:ascii="宋体" w:hAnsi="宋体" w:cs="宋体"/>
          <w:sz w:val="28"/>
          <w:szCs w:val="28"/>
          <w:highlight w:val="none"/>
        </w:rPr>
      </w:pPr>
    </w:p>
    <w:p w14:paraId="0ACF9025">
      <w:pPr>
        <w:ind w:left="547" w:firstLine="643"/>
        <w:rPr>
          <w:rFonts w:hint="eastAsia" w:ascii="宋体" w:hAnsi="宋体" w:cs="宋体"/>
          <w:sz w:val="32"/>
          <w:szCs w:val="32"/>
          <w:highlight w:val="none"/>
          <w:lang w:val="zh-CN"/>
        </w:rPr>
      </w:pPr>
      <w:r>
        <w:rPr>
          <w:rFonts w:hint="eastAsia" w:ascii="宋体" w:hAnsi="宋体" w:cs="宋体"/>
          <w:sz w:val="32"/>
          <w:szCs w:val="32"/>
          <w:highlight w:val="none"/>
          <w:lang w:val="zh-CN"/>
        </w:rPr>
        <w:br w:type="page" w:clear="all"/>
      </w:r>
    </w:p>
    <w:p w14:paraId="57D99536">
      <w:pPr>
        <w:spacing w:line="360" w:lineRule="auto"/>
        <w:ind w:firstLine="480"/>
        <w:jc w:val="left"/>
        <w:outlineLvl w:val="3"/>
        <w:rPr>
          <w:rFonts w:hint="eastAsia" w:ascii="宋体" w:hAnsi="宋体" w:cs="宋体"/>
          <w:b/>
          <w:bCs/>
          <w:sz w:val="24"/>
          <w:szCs w:val="24"/>
          <w:highlight w:val="none"/>
        </w:rPr>
      </w:pPr>
      <w:r>
        <w:rPr>
          <w:rFonts w:hint="eastAsia" w:ascii="宋体" w:hAnsi="宋体" w:cs="宋体"/>
          <w:sz w:val="24"/>
          <w:szCs w:val="24"/>
          <w:highlight w:val="none"/>
          <w:lang w:val="zh-CN"/>
        </w:rPr>
        <w:t>附件</w:t>
      </w:r>
      <w:r>
        <w:rPr>
          <w:rFonts w:hint="eastAsia" w:ascii="宋体" w:hAnsi="宋体" w:cs="宋体"/>
          <w:sz w:val="24"/>
          <w:szCs w:val="24"/>
          <w:highlight w:val="none"/>
        </w:rPr>
        <w:t>6</w:t>
      </w:r>
    </w:p>
    <w:p w14:paraId="513E142E">
      <w:pPr>
        <w:spacing w:line="360" w:lineRule="auto"/>
        <w:ind w:firstLine="482"/>
        <w:jc w:val="center"/>
        <w:outlineLvl w:val="3"/>
        <w:rPr>
          <w:rFonts w:hint="eastAsia" w:ascii="宋体" w:hAnsi="宋体" w:cs="宋体"/>
          <w:b/>
          <w:bCs/>
          <w:sz w:val="24"/>
          <w:szCs w:val="24"/>
          <w:highlight w:val="none"/>
        </w:rPr>
      </w:pPr>
      <w:r>
        <w:rPr>
          <w:rFonts w:hint="eastAsia" w:ascii="宋体" w:hAnsi="宋体" w:cs="宋体"/>
          <w:b/>
          <w:bCs/>
          <w:sz w:val="24"/>
          <w:szCs w:val="24"/>
          <w:highlight w:val="none"/>
        </w:rPr>
        <w:t>监狱和戒毒企业证明材料</w:t>
      </w:r>
    </w:p>
    <w:p w14:paraId="55990133">
      <w:pPr>
        <w:spacing w:line="360" w:lineRule="auto"/>
        <w:ind w:firstLine="480"/>
        <w:rPr>
          <w:rFonts w:hint="eastAsia" w:ascii="宋体" w:hAnsi="宋体" w:cs="宋体"/>
          <w:sz w:val="24"/>
          <w:szCs w:val="24"/>
          <w:highlight w:val="none"/>
        </w:rPr>
      </w:pPr>
    </w:p>
    <w:p w14:paraId="69CFEF38">
      <w:pPr>
        <w:spacing w:line="360" w:lineRule="auto"/>
        <w:ind w:firstLine="482"/>
        <w:jc w:val="center"/>
        <w:rPr>
          <w:rFonts w:hint="eastAsia" w:ascii="宋体" w:hAnsi="宋体" w:cs="宋体"/>
          <w:b/>
          <w:sz w:val="24"/>
          <w:szCs w:val="24"/>
          <w:highlight w:val="none"/>
        </w:rPr>
      </w:pPr>
      <w:r>
        <w:rPr>
          <w:rFonts w:hint="eastAsia" w:ascii="宋体" w:hAnsi="宋体" w:cs="宋体"/>
          <w:b/>
          <w:sz w:val="24"/>
          <w:szCs w:val="24"/>
          <w:highlight w:val="none"/>
        </w:rPr>
        <w:t>（格式自拟）</w:t>
      </w:r>
    </w:p>
    <w:p w14:paraId="6919348C">
      <w:pPr>
        <w:spacing w:line="360" w:lineRule="auto"/>
        <w:ind w:firstLine="480"/>
        <w:rPr>
          <w:rFonts w:hint="eastAsia" w:ascii="宋体" w:hAnsi="宋体" w:cs="宋体"/>
          <w:sz w:val="24"/>
          <w:szCs w:val="24"/>
          <w:highlight w:val="none"/>
        </w:rPr>
      </w:pPr>
    </w:p>
    <w:p w14:paraId="0701CCB5">
      <w:pPr>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6B16FA2B">
      <w:pPr>
        <w:pStyle w:val="37"/>
        <w:spacing w:before="0" w:beforeAutospacing="0" w:after="0" w:afterAutospacing="0" w:line="360" w:lineRule="auto"/>
        <w:ind w:firstLine="480"/>
        <w:jc w:val="center"/>
        <w:rPr>
          <w:rFonts w:hint="eastAsia"/>
          <w:highlight w:val="none"/>
        </w:rPr>
      </w:pPr>
      <w:r>
        <w:rPr>
          <w:rFonts w:hint="eastAsia"/>
          <w:highlight w:val="none"/>
        </w:rPr>
        <w:br w:type="page" w:clear="all"/>
      </w:r>
    </w:p>
    <w:p w14:paraId="6B882939">
      <w:pPr>
        <w:spacing w:line="360" w:lineRule="auto"/>
        <w:ind w:firstLine="480"/>
        <w:jc w:val="left"/>
        <w:outlineLvl w:val="3"/>
        <w:rPr>
          <w:rFonts w:hint="eastAsia" w:ascii="宋体" w:hAnsi="宋体" w:cs="宋体"/>
          <w:b/>
          <w:bCs/>
          <w:sz w:val="24"/>
          <w:szCs w:val="24"/>
          <w:highlight w:val="none"/>
        </w:rPr>
      </w:pPr>
      <w:r>
        <w:rPr>
          <w:rFonts w:hint="eastAsia" w:ascii="宋体" w:hAnsi="宋体" w:cs="宋体"/>
          <w:sz w:val="24"/>
          <w:szCs w:val="24"/>
          <w:highlight w:val="none"/>
          <w:lang w:val="zh-CN"/>
        </w:rPr>
        <w:t>附件</w:t>
      </w:r>
      <w:r>
        <w:rPr>
          <w:rFonts w:hint="eastAsia" w:ascii="宋体" w:hAnsi="宋体" w:cs="宋体"/>
          <w:sz w:val="24"/>
          <w:szCs w:val="24"/>
          <w:highlight w:val="none"/>
        </w:rPr>
        <w:t>7</w:t>
      </w:r>
    </w:p>
    <w:p w14:paraId="61A2553C">
      <w:pPr>
        <w:pStyle w:val="37"/>
        <w:spacing w:before="0" w:beforeAutospacing="0" w:after="0" w:afterAutospacing="0" w:line="360" w:lineRule="auto"/>
        <w:ind w:firstLine="482"/>
        <w:jc w:val="center"/>
        <w:rPr>
          <w:rFonts w:hint="eastAsia" w:asciiTheme="minorEastAsia" w:hAnsiTheme="minorEastAsia" w:eastAsiaTheme="minorEastAsia"/>
          <w:highlight w:val="none"/>
        </w:rPr>
      </w:pPr>
      <w:r>
        <w:rPr>
          <w:rFonts w:cs="仿宋" w:asciiTheme="minorEastAsia" w:hAnsiTheme="minorEastAsia" w:eastAsiaTheme="minorEastAsia"/>
          <w:b/>
          <w:bCs/>
          <w:color w:val="000000"/>
          <w:highlight w:val="none"/>
        </w:rPr>
        <w:t>无重大违法记录声明</w:t>
      </w:r>
    </w:p>
    <w:p w14:paraId="2BACBD6F">
      <w:pPr>
        <w:pStyle w:val="37"/>
        <w:spacing w:before="0" w:beforeAutospacing="0" w:after="0" w:afterAutospacing="0" w:line="360" w:lineRule="auto"/>
        <w:ind w:firstLine="480"/>
        <w:rPr>
          <w:rFonts w:hint="eastAsia"/>
          <w:highlight w:val="none"/>
        </w:rPr>
      </w:pPr>
    </w:p>
    <w:p w14:paraId="1CEC0E9D">
      <w:pPr>
        <w:pStyle w:val="37"/>
        <w:spacing w:before="0" w:beforeAutospacing="0" w:after="0" w:afterAutospacing="0" w:line="360" w:lineRule="auto"/>
        <w:ind w:firstLine="480"/>
        <w:rPr>
          <w:rFonts w:hint="eastAsia" w:asciiTheme="minorEastAsia" w:hAnsiTheme="minorEastAsia" w:eastAsiaTheme="minorEastAsia"/>
          <w:highlight w:val="none"/>
        </w:rPr>
      </w:pPr>
      <w:r>
        <w:rPr>
          <w:rFonts w:hint="eastAsia" w:cs="仿宋" w:asciiTheme="minorEastAsia" w:hAnsiTheme="minorEastAsia" w:eastAsiaTheme="minorEastAsia"/>
          <w:color w:val="000000"/>
          <w:highlight w:val="none"/>
        </w:rPr>
        <w:t>南通市图书馆：</w:t>
      </w:r>
    </w:p>
    <w:p w14:paraId="26F954DC">
      <w:pPr>
        <w:pStyle w:val="89"/>
        <w:rPr>
          <w:rFonts w:hint="eastAsia"/>
          <w:highlight w:val="none"/>
        </w:rPr>
      </w:pPr>
      <w:r>
        <w:rPr>
          <w:rFonts w:hint="eastAsia"/>
          <w:highlight w:val="none"/>
        </w:rPr>
        <w:t>我公司郑重声明：参加本次采购活动前 3 年内，我公司在经营活动中</w:t>
      </w:r>
      <w:r>
        <w:rPr>
          <w:rFonts w:hint="eastAsia"/>
          <w:highlight w:val="none"/>
          <w:u w:val="single"/>
        </w:rPr>
        <w:t>（有/没有）</w:t>
      </w:r>
      <w:r>
        <w:rPr>
          <w:rFonts w:hint="eastAsia"/>
          <w:highlight w:val="none"/>
        </w:rPr>
        <w:t>因违法经营受到刑事处罚或者责令停产停业、吊销许可证或者执照、较大数额罚款等行政处罚。</w:t>
      </w:r>
    </w:p>
    <w:p w14:paraId="46393BC3">
      <w:pPr>
        <w:pStyle w:val="37"/>
        <w:spacing w:before="0" w:beforeAutospacing="0" w:after="0" w:afterAutospacing="0" w:line="360" w:lineRule="auto"/>
        <w:ind w:firstLine="480"/>
        <w:rPr>
          <w:rFonts w:hint="eastAsia" w:asciiTheme="minorEastAsia" w:hAnsiTheme="minorEastAsia" w:eastAsiaTheme="minorEastAsia"/>
          <w:highlight w:val="none"/>
        </w:rPr>
      </w:pPr>
      <w:r>
        <w:rPr>
          <w:rFonts w:hint="eastAsia" w:cs="仿宋" w:asciiTheme="minorEastAsia" w:hAnsiTheme="minorEastAsia" w:eastAsiaTheme="minorEastAsia"/>
          <w:color w:val="000000"/>
          <w:highlight w:val="none"/>
        </w:rPr>
        <w:t>在投标截止时间节点，没有被 “信用中国”网站列入失信被执行人、重大税收违法失信主体名单、采购严重违法失信行为记录名单、</w:t>
      </w:r>
      <w:r>
        <w:rPr>
          <w:rFonts w:hint="eastAsia" w:asciiTheme="minorEastAsia" w:hAnsiTheme="minorEastAsia" w:eastAsiaTheme="minorEastAsia"/>
          <w:highlight w:val="none"/>
        </w:rPr>
        <w:t>经营异常名录</w:t>
      </w:r>
      <w:r>
        <w:rPr>
          <w:rFonts w:hint="eastAsia" w:cs="仿宋" w:asciiTheme="minorEastAsia" w:hAnsiTheme="minorEastAsia" w:eastAsiaTheme="minorEastAsia"/>
          <w:color w:val="000000"/>
          <w:highlight w:val="none"/>
        </w:rPr>
        <w:t>。</w:t>
      </w:r>
    </w:p>
    <w:p w14:paraId="1CB67864">
      <w:pPr>
        <w:pStyle w:val="37"/>
        <w:spacing w:before="0" w:beforeAutospacing="0" w:after="0" w:afterAutospacing="0" w:line="360" w:lineRule="auto"/>
        <w:ind w:firstLine="480"/>
        <w:rPr>
          <w:rFonts w:hint="eastAsia" w:asciiTheme="minorEastAsia" w:hAnsiTheme="minorEastAsia" w:eastAsiaTheme="minorEastAsia"/>
          <w:highlight w:val="none"/>
        </w:rPr>
      </w:pPr>
    </w:p>
    <w:p w14:paraId="1F3551EC">
      <w:pPr>
        <w:pStyle w:val="37"/>
        <w:spacing w:before="0" w:beforeAutospacing="0" w:after="0" w:afterAutospacing="0" w:line="360" w:lineRule="auto"/>
        <w:ind w:firstLine="480"/>
        <w:jc w:val="right"/>
        <w:rPr>
          <w:rFonts w:hint="eastAsia" w:asciiTheme="minorEastAsia" w:hAnsiTheme="minorEastAsia" w:eastAsiaTheme="minorEastAsia"/>
          <w:highlight w:val="none"/>
        </w:rPr>
      </w:pPr>
      <w:r>
        <w:rPr>
          <w:rFonts w:hint="eastAsia" w:cs="仿宋" w:asciiTheme="minorEastAsia" w:hAnsiTheme="minorEastAsia" w:eastAsiaTheme="minorEastAsia"/>
          <w:color w:val="000000"/>
          <w:highlight w:val="none"/>
        </w:rPr>
        <w:t>法定代表人或授权委托人（签字或盖章）：</w:t>
      </w:r>
    </w:p>
    <w:p w14:paraId="5B948A0C">
      <w:pPr>
        <w:pStyle w:val="37"/>
        <w:spacing w:before="0" w:beforeAutospacing="0" w:after="0" w:afterAutospacing="0" w:line="360" w:lineRule="auto"/>
        <w:ind w:firstLine="480"/>
        <w:jc w:val="right"/>
        <w:rPr>
          <w:rFonts w:hint="eastAsia" w:asciiTheme="minorEastAsia" w:hAnsiTheme="minorEastAsia" w:eastAsiaTheme="minorEastAsia"/>
          <w:highlight w:val="none"/>
        </w:rPr>
      </w:pPr>
      <w:r>
        <w:rPr>
          <w:rFonts w:hint="eastAsia" w:cs="仿宋" w:asciiTheme="minorEastAsia" w:hAnsiTheme="minorEastAsia" w:eastAsiaTheme="minorEastAsia"/>
          <w:color w:val="000000"/>
          <w:highlight w:val="none"/>
        </w:rPr>
        <w:t>供应商名称（盖章）：</w:t>
      </w:r>
    </w:p>
    <w:p w14:paraId="6C80DADA">
      <w:pPr>
        <w:pStyle w:val="37"/>
        <w:spacing w:before="0" w:beforeAutospacing="0" w:after="0" w:afterAutospacing="0" w:line="360" w:lineRule="auto"/>
        <w:ind w:firstLine="480"/>
        <w:jc w:val="center"/>
        <w:rPr>
          <w:rFonts w:hint="eastAsia" w:asciiTheme="minorEastAsia" w:hAnsiTheme="minorEastAsia" w:eastAsiaTheme="minorEastAsia"/>
          <w:highlight w:val="none"/>
        </w:rPr>
      </w:pPr>
      <w:r>
        <w:rPr>
          <w:rFonts w:hint="eastAsia" w:cs="仿宋" w:asciiTheme="minorEastAsia" w:hAnsiTheme="minorEastAsia" w:eastAsiaTheme="minorEastAsia"/>
          <w:color w:val="000000"/>
          <w:highlight w:val="none"/>
        </w:rPr>
        <w:t xml:space="preserve">                                      日期：</w:t>
      </w:r>
    </w:p>
    <w:p w14:paraId="2658DE00">
      <w:pPr>
        <w:spacing w:line="360" w:lineRule="auto"/>
        <w:ind w:firstLine="480"/>
        <w:rPr>
          <w:rFonts w:hint="eastAsia" w:ascii="宋体" w:hAnsi="宋体" w:cs="宋体"/>
          <w:sz w:val="24"/>
          <w:szCs w:val="24"/>
          <w:highlight w:val="none"/>
        </w:rPr>
      </w:pPr>
    </w:p>
    <w:p w14:paraId="3A4962C4">
      <w:pPr>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br w:type="page" w:clear="all"/>
      </w:r>
    </w:p>
    <w:p w14:paraId="2C5EDEF5">
      <w:pPr>
        <w:spacing w:line="360" w:lineRule="auto"/>
        <w:ind w:firstLine="482"/>
        <w:rPr>
          <w:rFonts w:hint="eastAsia" w:ascii="宋体" w:hAnsi="宋体" w:cs="宋体"/>
          <w:b/>
          <w:sz w:val="24"/>
          <w:szCs w:val="24"/>
          <w:highlight w:val="none"/>
        </w:rPr>
      </w:pPr>
      <w:r>
        <w:rPr>
          <w:rFonts w:hint="eastAsia" w:ascii="宋体" w:hAnsi="宋体" w:cs="宋体"/>
          <w:sz w:val="24"/>
          <w:szCs w:val="24"/>
          <w:highlight w:val="none"/>
        </w:rPr>
        <w:t>附件8</w:t>
      </w:r>
    </w:p>
    <w:p w14:paraId="4E9C2A1B">
      <w:pPr>
        <w:spacing w:line="360" w:lineRule="auto"/>
        <w:ind w:firstLine="482"/>
        <w:contextualSpacing/>
        <w:jc w:val="center"/>
        <w:rPr>
          <w:rFonts w:hint="eastAsia" w:ascii="宋体" w:hAnsi="宋体" w:cs="宋体"/>
          <w:b/>
          <w:sz w:val="24"/>
          <w:szCs w:val="24"/>
          <w:highlight w:val="none"/>
        </w:rPr>
      </w:pPr>
      <w:r>
        <w:rPr>
          <w:rFonts w:hint="eastAsia" w:ascii="宋体" w:hAnsi="宋体" w:cs="宋体"/>
          <w:b/>
          <w:sz w:val="24"/>
          <w:szCs w:val="24"/>
          <w:highlight w:val="none"/>
        </w:rPr>
        <w:t>商务部分正负偏离表</w:t>
      </w:r>
    </w:p>
    <w:p w14:paraId="58082420">
      <w:pPr>
        <w:spacing w:line="360" w:lineRule="auto"/>
        <w:ind w:firstLine="482"/>
        <w:jc w:val="center"/>
        <w:rPr>
          <w:rFonts w:hint="eastAsia" w:ascii="宋体" w:hAnsi="宋体" w:cs="宋体"/>
          <w:sz w:val="24"/>
          <w:szCs w:val="24"/>
          <w:highlight w:val="none"/>
        </w:rPr>
      </w:pPr>
      <w:r>
        <w:rPr>
          <w:rFonts w:hint="eastAsia" w:ascii="宋体" w:hAnsi="宋体" w:cs="宋体"/>
          <w:sz w:val="24"/>
          <w:szCs w:val="24"/>
          <w:highlight w:val="none"/>
        </w:rPr>
        <w:t>（由供应商据实填写，表格不够自行添加）</w:t>
      </w:r>
    </w:p>
    <w:tbl>
      <w:tblPr>
        <w:tblStyle w:val="42"/>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64"/>
        <w:gridCol w:w="2358"/>
        <w:gridCol w:w="2059"/>
        <w:gridCol w:w="2656"/>
        <w:gridCol w:w="1463"/>
      </w:tblGrid>
      <w:tr w14:paraId="37F6E8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14:paraId="4B5EC30E">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序号</w:t>
            </w:r>
          </w:p>
        </w:tc>
        <w:tc>
          <w:tcPr>
            <w:tcW w:w="1254" w:type="pct"/>
            <w:tcBorders>
              <w:top w:val="single" w:color="auto" w:sz="12" w:space="0"/>
              <w:left w:val="single" w:color="auto" w:sz="6" w:space="0"/>
              <w:bottom w:val="single" w:color="auto" w:sz="6" w:space="0"/>
              <w:right w:val="single" w:color="auto" w:sz="6" w:space="0"/>
            </w:tcBorders>
            <w:vAlign w:val="center"/>
          </w:tcPr>
          <w:p w14:paraId="0D6DCB5A">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14:paraId="481EF850">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采购文件要求的商务条款</w:t>
            </w:r>
          </w:p>
        </w:tc>
        <w:tc>
          <w:tcPr>
            <w:tcW w:w="1413" w:type="pct"/>
            <w:tcBorders>
              <w:top w:val="single" w:color="auto" w:sz="12" w:space="0"/>
              <w:left w:val="single" w:color="auto" w:sz="6" w:space="0"/>
              <w:bottom w:val="single" w:color="auto" w:sz="6" w:space="0"/>
              <w:right w:val="single" w:color="auto" w:sz="6" w:space="0"/>
            </w:tcBorders>
            <w:vAlign w:val="center"/>
          </w:tcPr>
          <w:p w14:paraId="6728ECE0">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响应文件响应情况</w:t>
            </w:r>
          </w:p>
        </w:tc>
        <w:tc>
          <w:tcPr>
            <w:tcW w:w="778" w:type="pct"/>
            <w:tcBorders>
              <w:top w:val="single" w:color="auto" w:sz="12" w:space="0"/>
              <w:left w:val="single" w:color="auto" w:sz="6" w:space="0"/>
              <w:bottom w:val="single" w:color="auto" w:sz="6" w:space="0"/>
              <w:right w:val="single" w:color="auto" w:sz="12" w:space="0"/>
            </w:tcBorders>
          </w:tcPr>
          <w:p w14:paraId="28144915">
            <w:pPr>
              <w:spacing w:line="360" w:lineRule="auto"/>
              <w:jc w:val="center"/>
              <w:rPr>
                <w:rFonts w:hint="eastAsia" w:ascii="宋体" w:hAnsi="宋体" w:cs="宋体"/>
                <w:sz w:val="24"/>
                <w:szCs w:val="24"/>
                <w:highlight w:val="none"/>
              </w:rPr>
            </w:pPr>
          </w:p>
          <w:p w14:paraId="2D448033">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偏离说明</w:t>
            </w:r>
          </w:p>
        </w:tc>
      </w:tr>
      <w:tr w14:paraId="72F292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tcPr>
          <w:p w14:paraId="16479354">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1</w:t>
            </w:r>
          </w:p>
        </w:tc>
        <w:tc>
          <w:tcPr>
            <w:tcW w:w="1254" w:type="pct"/>
            <w:tcBorders>
              <w:top w:val="single" w:color="auto" w:sz="6" w:space="0"/>
              <w:left w:val="single" w:color="auto" w:sz="6" w:space="0"/>
              <w:bottom w:val="single" w:color="auto" w:sz="6" w:space="0"/>
              <w:right w:val="single" w:color="auto" w:sz="6" w:space="0"/>
            </w:tcBorders>
            <w:vAlign w:val="center"/>
          </w:tcPr>
          <w:p w14:paraId="52EBB663">
            <w:pPr>
              <w:spacing w:line="360" w:lineRule="auto"/>
              <w:jc w:val="left"/>
              <w:rPr>
                <w:rFonts w:hint="eastAsia" w:ascii="宋体" w:hAnsi="宋体" w:cs="宋体"/>
                <w:sz w:val="24"/>
                <w:szCs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37C0C8A2">
            <w:pPr>
              <w:spacing w:line="360" w:lineRule="auto"/>
              <w:jc w:val="left"/>
              <w:rPr>
                <w:rFonts w:hint="eastAsia" w:ascii="宋体" w:hAnsi="宋体" w:cs="宋体"/>
                <w:sz w:val="24"/>
                <w:szCs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79DDD26E">
            <w:pPr>
              <w:spacing w:line="360" w:lineRule="auto"/>
              <w:jc w:val="left"/>
              <w:rPr>
                <w:rFonts w:hint="eastAsia" w:ascii="宋体" w:hAnsi="宋体" w:cs="宋体"/>
                <w:sz w:val="24"/>
                <w:szCs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4DDEAF29">
            <w:pPr>
              <w:spacing w:line="360" w:lineRule="auto"/>
              <w:jc w:val="left"/>
              <w:rPr>
                <w:rFonts w:hint="eastAsia" w:ascii="宋体" w:hAnsi="宋体" w:cs="宋体"/>
                <w:sz w:val="24"/>
                <w:szCs w:val="24"/>
                <w:highlight w:val="none"/>
              </w:rPr>
            </w:pPr>
          </w:p>
        </w:tc>
      </w:tr>
      <w:tr w14:paraId="54D2B4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tcPr>
          <w:p w14:paraId="5EF0296A">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2</w:t>
            </w:r>
          </w:p>
        </w:tc>
        <w:tc>
          <w:tcPr>
            <w:tcW w:w="1254" w:type="pct"/>
            <w:tcBorders>
              <w:top w:val="single" w:color="auto" w:sz="6" w:space="0"/>
              <w:left w:val="single" w:color="auto" w:sz="6" w:space="0"/>
              <w:bottom w:val="single" w:color="auto" w:sz="6" w:space="0"/>
              <w:right w:val="single" w:color="auto" w:sz="6" w:space="0"/>
            </w:tcBorders>
            <w:vAlign w:val="center"/>
          </w:tcPr>
          <w:p w14:paraId="3E71BC52">
            <w:pPr>
              <w:spacing w:line="360" w:lineRule="auto"/>
              <w:jc w:val="left"/>
              <w:rPr>
                <w:rFonts w:hint="eastAsia" w:ascii="宋体" w:hAnsi="宋体" w:cs="宋体"/>
                <w:sz w:val="24"/>
                <w:szCs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2C527673">
            <w:pPr>
              <w:spacing w:line="360" w:lineRule="auto"/>
              <w:jc w:val="left"/>
              <w:rPr>
                <w:rFonts w:hint="eastAsia" w:ascii="宋体" w:hAnsi="宋体" w:cs="宋体"/>
                <w:sz w:val="24"/>
                <w:szCs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7296D964">
            <w:pPr>
              <w:spacing w:line="360" w:lineRule="auto"/>
              <w:jc w:val="left"/>
              <w:rPr>
                <w:rFonts w:hint="eastAsia" w:ascii="宋体" w:hAnsi="宋体" w:cs="宋体"/>
                <w:sz w:val="24"/>
                <w:szCs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201EB356">
            <w:pPr>
              <w:spacing w:line="360" w:lineRule="auto"/>
              <w:jc w:val="left"/>
              <w:rPr>
                <w:rFonts w:hint="eastAsia" w:ascii="宋体" w:hAnsi="宋体" w:cs="宋体"/>
                <w:sz w:val="24"/>
                <w:szCs w:val="24"/>
                <w:highlight w:val="none"/>
              </w:rPr>
            </w:pPr>
          </w:p>
        </w:tc>
      </w:tr>
      <w:tr w14:paraId="61731D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14:paraId="3257C6B8">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3</w:t>
            </w:r>
          </w:p>
        </w:tc>
        <w:tc>
          <w:tcPr>
            <w:tcW w:w="1254" w:type="pct"/>
            <w:tcBorders>
              <w:top w:val="single" w:color="auto" w:sz="6" w:space="0"/>
              <w:left w:val="single" w:color="auto" w:sz="6" w:space="0"/>
              <w:bottom w:val="single" w:color="auto" w:sz="6" w:space="0"/>
              <w:right w:val="single" w:color="auto" w:sz="6" w:space="0"/>
            </w:tcBorders>
            <w:vAlign w:val="center"/>
          </w:tcPr>
          <w:p w14:paraId="6C6F518A">
            <w:pPr>
              <w:spacing w:line="360" w:lineRule="auto"/>
              <w:jc w:val="left"/>
              <w:rPr>
                <w:rFonts w:hint="eastAsia" w:ascii="宋体" w:hAnsi="宋体" w:cs="宋体"/>
                <w:sz w:val="24"/>
                <w:szCs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05980D07">
            <w:pPr>
              <w:spacing w:line="360" w:lineRule="auto"/>
              <w:jc w:val="left"/>
              <w:rPr>
                <w:rFonts w:hint="eastAsia" w:ascii="宋体" w:hAnsi="宋体" w:cs="宋体"/>
                <w:sz w:val="24"/>
                <w:szCs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35387C9E">
            <w:pPr>
              <w:spacing w:line="360" w:lineRule="auto"/>
              <w:jc w:val="left"/>
              <w:rPr>
                <w:rFonts w:hint="eastAsia" w:ascii="宋体" w:hAnsi="宋体" w:cs="宋体"/>
                <w:sz w:val="24"/>
                <w:szCs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53118048">
            <w:pPr>
              <w:spacing w:line="360" w:lineRule="auto"/>
              <w:jc w:val="left"/>
              <w:rPr>
                <w:rFonts w:hint="eastAsia" w:ascii="宋体" w:hAnsi="宋体" w:cs="宋体"/>
                <w:sz w:val="24"/>
                <w:szCs w:val="24"/>
                <w:highlight w:val="none"/>
              </w:rPr>
            </w:pPr>
          </w:p>
        </w:tc>
      </w:tr>
      <w:tr w14:paraId="4BD32E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14:paraId="18418A6F">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4</w:t>
            </w:r>
          </w:p>
        </w:tc>
        <w:tc>
          <w:tcPr>
            <w:tcW w:w="1254" w:type="pct"/>
            <w:tcBorders>
              <w:top w:val="single" w:color="auto" w:sz="6" w:space="0"/>
              <w:left w:val="single" w:color="auto" w:sz="6" w:space="0"/>
              <w:bottom w:val="single" w:color="auto" w:sz="6" w:space="0"/>
              <w:right w:val="single" w:color="auto" w:sz="6" w:space="0"/>
            </w:tcBorders>
            <w:vAlign w:val="center"/>
          </w:tcPr>
          <w:p w14:paraId="2568807E">
            <w:pPr>
              <w:spacing w:line="360" w:lineRule="auto"/>
              <w:jc w:val="left"/>
              <w:rPr>
                <w:rFonts w:hint="eastAsia" w:ascii="宋体" w:hAnsi="宋体" w:cs="宋体"/>
                <w:sz w:val="24"/>
                <w:szCs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35163625">
            <w:pPr>
              <w:spacing w:line="360" w:lineRule="auto"/>
              <w:jc w:val="left"/>
              <w:rPr>
                <w:rFonts w:hint="eastAsia" w:ascii="宋体" w:hAnsi="宋体" w:cs="宋体"/>
                <w:sz w:val="24"/>
                <w:szCs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3027F126">
            <w:pPr>
              <w:spacing w:line="360" w:lineRule="auto"/>
              <w:jc w:val="left"/>
              <w:rPr>
                <w:rFonts w:hint="eastAsia" w:ascii="宋体" w:hAnsi="宋体" w:cs="宋体"/>
                <w:sz w:val="24"/>
                <w:szCs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075B1221">
            <w:pPr>
              <w:spacing w:line="360" w:lineRule="auto"/>
              <w:jc w:val="left"/>
              <w:rPr>
                <w:rFonts w:hint="eastAsia" w:ascii="宋体" w:hAnsi="宋体" w:cs="宋体"/>
                <w:sz w:val="24"/>
                <w:szCs w:val="24"/>
                <w:highlight w:val="none"/>
              </w:rPr>
            </w:pPr>
          </w:p>
        </w:tc>
      </w:tr>
    </w:tbl>
    <w:p w14:paraId="7FB9BAEF">
      <w:pPr>
        <w:spacing w:line="360" w:lineRule="auto"/>
        <w:ind w:firstLine="482"/>
        <w:contextualSpacing/>
        <w:rPr>
          <w:rFonts w:hint="eastAsia" w:ascii="宋体" w:hAnsi="宋体" w:cs="宋体"/>
          <w:b/>
          <w:sz w:val="24"/>
          <w:szCs w:val="24"/>
          <w:highlight w:val="none"/>
        </w:rPr>
      </w:pPr>
      <w:r>
        <w:rPr>
          <w:rFonts w:hint="eastAsia" w:ascii="宋体" w:hAnsi="宋体" w:cs="宋体"/>
          <w:b/>
          <w:sz w:val="24"/>
          <w:szCs w:val="24"/>
          <w:highlight w:val="none"/>
        </w:rPr>
        <w:t>注：</w:t>
      </w:r>
    </w:p>
    <w:p w14:paraId="13455D2F">
      <w:pPr>
        <w:spacing w:line="360" w:lineRule="auto"/>
        <w:ind w:firstLine="482"/>
        <w:contextualSpacing/>
        <w:rPr>
          <w:rFonts w:hint="eastAsia" w:ascii="宋体" w:hAnsi="宋体" w:cs="宋体"/>
          <w:sz w:val="24"/>
          <w:szCs w:val="24"/>
          <w:highlight w:val="none"/>
        </w:rPr>
      </w:pPr>
      <w:r>
        <w:rPr>
          <w:rFonts w:hint="eastAsia" w:ascii="宋体" w:hAnsi="宋体" w:cs="宋体"/>
          <w:sz w:val="24"/>
          <w:szCs w:val="24"/>
          <w:highlight w:val="none"/>
        </w:rPr>
        <w:t>1.供应商提交的响应文件中与采购文件第三部分“项目需求”中的商务部分的要求，应逐条填列在偏离表中。</w:t>
      </w:r>
    </w:p>
    <w:p w14:paraId="67149F60">
      <w:pPr>
        <w:spacing w:line="360" w:lineRule="auto"/>
        <w:ind w:firstLine="482"/>
        <w:contextualSpacing/>
        <w:rPr>
          <w:rFonts w:hint="eastAsia" w:ascii="宋体" w:hAnsi="宋体" w:cs="宋体"/>
          <w:sz w:val="24"/>
          <w:szCs w:val="24"/>
          <w:highlight w:val="none"/>
        </w:rPr>
      </w:pPr>
      <w:r>
        <w:rPr>
          <w:rFonts w:hint="eastAsia" w:ascii="宋体" w:hAnsi="宋体" w:cs="宋体"/>
          <w:sz w:val="24"/>
          <w:szCs w:val="24"/>
          <w:highlight w:val="none"/>
        </w:rPr>
        <w:t>2.“偏离说明”一栏选择“正偏离”、“负偏离”、“无偏离”进行填写。正偏离、负偏离、无偏离的确认，由比选小组认定。</w:t>
      </w:r>
    </w:p>
    <w:p w14:paraId="1D3314C5">
      <w:pPr>
        <w:spacing w:line="360" w:lineRule="auto"/>
        <w:ind w:firstLine="482"/>
        <w:contextualSpacing/>
        <w:rPr>
          <w:rFonts w:hint="eastAsia" w:ascii="宋体" w:hAnsi="宋体" w:cs="宋体"/>
          <w:sz w:val="24"/>
          <w:szCs w:val="24"/>
          <w:highlight w:val="none"/>
        </w:rPr>
      </w:pPr>
      <w:r>
        <w:rPr>
          <w:rFonts w:hint="eastAsia" w:ascii="宋体" w:hAnsi="宋体" w:cs="宋体"/>
          <w:sz w:val="24"/>
          <w:szCs w:val="24"/>
          <w:highlight w:val="none"/>
        </w:rPr>
        <w:t>3.本项目商务条款不接受负偏离，有负偏离的按无效标处理。供应商若提供其他增值服务，可以在表中自行据实填写。</w:t>
      </w:r>
    </w:p>
    <w:p w14:paraId="4BB09CD0">
      <w:pPr>
        <w:spacing w:line="360" w:lineRule="auto"/>
        <w:ind w:firstLine="482"/>
        <w:contextualSpacing/>
        <w:rPr>
          <w:rFonts w:hint="eastAsia" w:ascii="宋体" w:hAnsi="宋体" w:cs="宋体"/>
          <w:sz w:val="24"/>
          <w:szCs w:val="24"/>
          <w:highlight w:val="none"/>
        </w:rPr>
      </w:pPr>
      <w:r>
        <w:rPr>
          <w:rFonts w:hint="eastAsia" w:ascii="宋体" w:hAnsi="宋体" w:cs="宋体"/>
          <w:sz w:val="24"/>
          <w:szCs w:val="24"/>
          <w:highlight w:val="none"/>
        </w:rPr>
        <w:t>4.若完全响应本项目需求且无偏离，投标时本表可空白盖章提供。</w:t>
      </w:r>
    </w:p>
    <w:p w14:paraId="517CA9D5">
      <w:pPr>
        <w:spacing w:line="360" w:lineRule="auto"/>
        <w:ind w:firstLine="480"/>
        <w:contextualSpacing/>
        <w:rPr>
          <w:rFonts w:hint="eastAsia" w:ascii="宋体" w:hAnsi="宋体" w:cs="宋体"/>
          <w:b/>
          <w:sz w:val="24"/>
          <w:szCs w:val="24"/>
          <w:highlight w:val="none"/>
        </w:rPr>
      </w:pPr>
    </w:p>
    <w:p w14:paraId="368C3B27">
      <w:pPr>
        <w:spacing w:line="360" w:lineRule="auto"/>
        <w:ind w:firstLine="480"/>
        <w:contextualSpacing/>
        <w:rPr>
          <w:rFonts w:hint="eastAsia" w:ascii="宋体" w:hAnsi="宋体" w:cs="宋体"/>
          <w:b/>
          <w:sz w:val="24"/>
          <w:szCs w:val="24"/>
          <w:highlight w:val="none"/>
        </w:rPr>
      </w:pPr>
    </w:p>
    <w:p w14:paraId="3CC61ACA">
      <w:pPr>
        <w:spacing w:line="360" w:lineRule="auto"/>
        <w:ind w:firstLine="480"/>
        <w:contextualSpacing/>
        <w:rPr>
          <w:rFonts w:hint="eastAsia" w:ascii="宋体" w:hAnsi="宋体" w:cs="宋体"/>
          <w:b/>
          <w:sz w:val="24"/>
          <w:szCs w:val="24"/>
          <w:highlight w:val="none"/>
        </w:rPr>
      </w:pPr>
    </w:p>
    <w:p w14:paraId="16FE8623">
      <w:pPr>
        <w:spacing w:line="360" w:lineRule="auto"/>
        <w:ind w:firstLine="480"/>
        <w:contextualSpacing/>
        <w:rPr>
          <w:rFonts w:hint="eastAsia" w:ascii="宋体" w:hAnsi="宋体" w:cs="宋体"/>
          <w:b/>
          <w:sz w:val="24"/>
          <w:szCs w:val="24"/>
          <w:highlight w:val="none"/>
        </w:rPr>
      </w:pPr>
    </w:p>
    <w:p w14:paraId="3D6C9C85">
      <w:pPr>
        <w:spacing w:line="400" w:lineRule="exact"/>
        <w:ind w:left="547" w:firstLine="540"/>
        <w:contextualSpacing/>
        <w:rPr>
          <w:rFonts w:hint="eastAsia" w:ascii="宋体" w:hAnsi="宋体" w:cs="宋体"/>
          <w:b/>
          <w:sz w:val="28"/>
          <w:szCs w:val="28"/>
          <w:highlight w:val="none"/>
        </w:rPr>
      </w:pPr>
    </w:p>
    <w:p w14:paraId="0ABD6FD0">
      <w:pPr>
        <w:spacing w:line="400" w:lineRule="exact"/>
        <w:ind w:left="547" w:firstLine="540"/>
        <w:contextualSpacing/>
        <w:rPr>
          <w:rFonts w:hint="eastAsia" w:ascii="宋体" w:hAnsi="宋体" w:cs="宋体"/>
          <w:b/>
          <w:sz w:val="28"/>
          <w:szCs w:val="28"/>
          <w:highlight w:val="none"/>
        </w:rPr>
      </w:pPr>
    </w:p>
    <w:p w14:paraId="20773BB5">
      <w:pPr>
        <w:spacing w:line="400" w:lineRule="exact"/>
        <w:ind w:left="547" w:firstLine="540"/>
        <w:contextualSpacing/>
        <w:rPr>
          <w:rFonts w:hint="eastAsia" w:ascii="宋体" w:hAnsi="宋体" w:cs="宋体"/>
          <w:b/>
          <w:sz w:val="28"/>
          <w:szCs w:val="28"/>
          <w:highlight w:val="none"/>
        </w:rPr>
      </w:pPr>
    </w:p>
    <w:p w14:paraId="193A4AA0">
      <w:pPr>
        <w:spacing w:line="400" w:lineRule="exact"/>
        <w:ind w:left="547" w:firstLine="540"/>
        <w:contextualSpacing/>
        <w:rPr>
          <w:rFonts w:hint="eastAsia" w:ascii="宋体" w:hAnsi="宋体" w:cs="宋体"/>
          <w:b/>
          <w:sz w:val="28"/>
          <w:szCs w:val="28"/>
          <w:highlight w:val="none"/>
        </w:rPr>
      </w:pPr>
    </w:p>
    <w:p w14:paraId="6C4D949E">
      <w:pPr>
        <w:spacing w:line="400" w:lineRule="exact"/>
        <w:ind w:left="547" w:firstLine="540"/>
        <w:contextualSpacing/>
        <w:rPr>
          <w:rFonts w:hint="eastAsia" w:ascii="宋体" w:hAnsi="宋体" w:cs="宋体"/>
          <w:b/>
          <w:sz w:val="28"/>
          <w:szCs w:val="28"/>
          <w:highlight w:val="none"/>
        </w:rPr>
      </w:pPr>
    </w:p>
    <w:p w14:paraId="774B6FF3">
      <w:pPr>
        <w:spacing w:line="400" w:lineRule="exact"/>
        <w:ind w:left="547" w:firstLine="540"/>
        <w:contextualSpacing/>
        <w:rPr>
          <w:rFonts w:hint="eastAsia" w:ascii="宋体" w:hAnsi="宋体" w:cs="宋体"/>
          <w:b/>
          <w:sz w:val="28"/>
          <w:szCs w:val="28"/>
          <w:highlight w:val="none"/>
        </w:rPr>
      </w:pPr>
    </w:p>
    <w:p w14:paraId="2412B58A">
      <w:pPr>
        <w:spacing w:line="400" w:lineRule="exact"/>
        <w:ind w:left="547" w:firstLine="540"/>
        <w:contextualSpacing/>
        <w:rPr>
          <w:rFonts w:hint="eastAsia" w:ascii="宋体" w:hAnsi="宋体" w:cs="宋体"/>
          <w:b/>
          <w:sz w:val="28"/>
          <w:szCs w:val="28"/>
          <w:highlight w:val="none"/>
        </w:rPr>
      </w:pPr>
    </w:p>
    <w:p w14:paraId="7CCB3723">
      <w:pPr>
        <w:spacing w:line="400" w:lineRule="exact"/>
        <w:ind w:left="547" w:firstLine="540"/>
        <w:contextualSpacing/>
        <w:rPr>
          <w:rFonts w:hint="eastAsia" w:ascii="宋体" w:hAnsi="宋体" w:cs="宋体"/>
          <w:b/>
          <w:sz w:val="28"/>
          <w:szCs w:val="28"/>
          <w:highlight w:val="none"/>
        </w:rPr>
      </w:pPr>
    </w:p>
    <w:p w14:paraId="1B0F28E9">
      <w:pPr>
        <w:spacing w:line="400" w:lineRule="exact"/>
        <w:ind w:left="547" w:firstLine="540"/>
        <w:contextualSpacing/>
        <w:rPr>
          <w:rFonts w:hint="eastAsia" w:ascii="宋体" w:hAnsi="宋体" w:cs="宋体"/>
          <w:b/>
          <w:sz w:val="28"/>
          <w:szCs w:val="28"/>
          <w:highlight w:val="none"/>
        </w:rPr>
      </w:pPr>
    </w:p>
    <w:p w14:paraId="2FA13B67">
      <w:pPr>
        <w:spacing w:line="400" w:lineRule="exact"/>
        <w:ind w:left="547" w:firstLine="540"/>
        <w:contextualSpacing/>
        <w:rPr>
          <w:rFonts w:hint="eastAsia" w:ascii="宋体" w:hAnsi="宋体" w:cs="宋体"/>
          <w:b/>
          <w:sz w:val="28"/>
          <w:szCs w:val="28"/>
          <w:highlight w:val="none"/>
        </w:rPr>
      </w:pPr>
    </w:p>
    <w:p w14:paraId="5770A034">
      <w:pPr>
        <w:spacing w:line="360" w:lineRule="auto"/>
        <w:ind w:firstLine="643"/>
        <w:rPr>
          <w:rFonts w:hint="eastAsia" w:ascii="宋体" w:hAnsi="宋体" w:cs="宋体"/>
          <w:sz w:val="24"/>
          <w:szCs w:val="24"/>
          <w:highlight w:val="none"/>
        </w:rPr>
      </w:pPr>
      <w:r>
        <w:rPr>
          <w:rFonts w:hint="eastAsia" w:ascii="宋体" w:hAnsi="宋体" w:cs="宋体"/>
          <w:sz w:val="32"/>
          <w:szCs w:val="32"/>
          <w:highlight w:val="none"/>
        </w:rPr>
        <w:br w:type="page" w:clear="all"/>
      </w:r>
      <w:r>
        <w:rPr>
          <w:rFonts w:hint="eastAsia" w:ascii="宋体" w:hAnsi="宋体" w:cs="宋体"/>
          <w:sz w:val="24"/>
          <w:szCs w:val="24"/>
          <w:highlight w:val="none"/>
        </w:rPr>
        <w:t>附件9</w:t>
      </w:r>
    </w:p>
    <w:p w14:paraId="16BED72A">
      <w:pPr>
        <w:spacing w:line="360" w:lineRule="auto"/>
        <w:ind w:firstLine="482"/>
        <w:contextualSpacing/>
        <w:jc w:val="center"/>
        <w:rPr>
          <w:rFonts w:hint="eastAsia" w:ascii="宋体" w:hAnsi="宋体" w:cs="宋体"/>
          <w:b/>
          <w:sz w:val="24"/>
          <w:szCs w:val="24"/>
          <w:highlight w:val="none"/>
        </w:rPr>
      </w:pPr>
      <w:r>
        <w:rPr>
          <w:rFonts w:hint="eastAsia" w:ascii="宋体" w:hAnsi="宋体" w:cs="宋体"/>
          <w:b/>
          <w:sz w:val="24"/>
          <w:szCs w:val="24"/>
          <w:highlight w:val="none"/>
        </w:rPr>
        <w:t>技术部分正负偏离表</w:t>
      </w:r>
    </w:p>
    <w:p w14:paraId="32512BCB">
      <w:pPr>
        <w:spacing w:line="360" w:lineRule="auto"/>
        <w:ind w:firstLine="482"/>
        <w:jc w:val="center"/>
        <w:rPr>
          <w:rFonts w:hint="eastAsia" w:ascii="宋体" w:hAnsi="宋体" w:cs="宋体"/>
          <w:sz w:val="24"/>
          <w:szCs w:val="24"/>
          <w:highlight w:val="none"/>
        </w:rPr>
      </w:pPr>
      <w:r>
        <w:rPr>
          <w:rFonts w:hint="eastAsia" w:ascii="宋体" w:hAnsi="宋体" w:cs="宋体"/>
          <w:sz w:val="24"/>
          <w:szCs w:val="24"/>
          <w:highlight w:val="none"/>
        </w:rPr>
        <w:t>（由供应商据实填写，表格不够自行添加）</w:t>
      </w:r>
    </w:p>
    <w:tbl>
      <w:tblPr>
        <w:tblStyle w:val="42"/>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63"/>
        <w:gridCol w:w="2359"/>
        <w:gridCol w:w="2059"/>
        <w:gridCol w:w="2656"/>
        <w:gridCol w:w="1463"/>
      </w:tblGrid>
      <w:tr w14:paraId="328BC7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59" w:type="pct"/>
            <w:tcBorders>
              <w:top w:val="single" w:color="auto" w:sz="12" w:space="0"/>
              <w:left w:val="single" w:color="auto" w:sz="12" w:space="0"/>
              <w:bottom w:val="single" w:color="auto" w:sz="6" w:space="0"/>
              <w:right w:val="single" w:color="auto" w:sz="6" w:space="0"/>
            </w:tcBorders>
            <w:vAlign w:val="center"/>
          </w:tcPr>
          <w:p w14:paraId="6F09D3CC">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序号</w:t>
            </w:r>
          </w:p>
        </w:tc>
        <w:tc>
          <w:tcPr>
            <w:tcW w:w="1254" w:type="pct"/>
            <w:tcBorders>
              <w:top w:val="single" w:color="auto" w:sz="12" w:space="0"/>
              <w:left w:val="single" w:color="auto" w:sz="6" w:space="0"/>
              <w:bottom w:val="single" w:color="auto" w:sz="6" w:space="0"/>
              <w:right w:val="single" w:color="auto" w:sz="6" w:space="0"/>
            </w:tcBorders>
            <w:vAlign w:val="center"/>
          </w:tcPr>
          <w:p w14:paraId="670F3D22">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14:paraId="4EA91D4A">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采购文件要求的技术要求</w:t>
            </w:r>
          </w:p>
        </w:tc>
        <w:tc>
          <w:tcPr>
            <w:tcW w:w="1412" w:type="pct"/>
            <w:tcBorders>
              <w:top w:val="single" w:color="auto" w:sz="12" w:space="0"/>
              <w:left w:val="single" w:color="auto" w:sz="6" w:space="0"/>
              <w:bottom w:val="single" w:color="auto" w:sz="6" w:space="0"/>
              <w:right w:val="single" w:color="auto" w:sz="6" w:space="0"/>
            </w:tcBorders>
            <w:vAlign w:val="center"/>
          </w:tcPr>
          <w:p w14:paraId="48D574DA">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响应文件响应情况</w:t>
            </w:r>
          </w:p>
        </w:tc>
        <w:tc>
          <w:tcPr>
            <w:tcW w:w="778" w:type="pct"/>
            <w:tcBorders>
              <w:top w:val="single" w:color="auto" w:sz="12" w:space="0"/>
              <w:left w:val="single" w:color="auto" w:sz="6" w:space="0"/>
              <w:bottom w:val="single" w:color="auto" w:sz="6" w:space="0"/>
              <w:right w:val="single" w:color="auto" w:sz="12" w:space="0"/>
            </w:tcBorders>
          </w:tcPr>
          <w:p w14:paraId="3FF0A849">
            <w:pPr>
              <w:spacing w:line="360" w:lineRule="auto"/>
              <w:jc w:val="center"/>
              <w:rPr>
                <w:rFonts w:hint="eastAsia" w:ascii="宋体" w:hAnsi="宋体" w:cs="宋体"/>
                <w:sz w:val="24"/>
                <w:szCs w:val="24"/>
                <w:highlight w:val="none"/>
              </w:rPr>
            </w:pPr>
          </w:p>
          <w:p w14:paraId="0E74D13D">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偏离说明</w:t>
            </w:r>
          </w:p>
        </w:tc>
      </w:tr>
      <w:tr w14:paraId="1A84B1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59" w:type="pct"/>
            <w:tcBorders>
              <w:top w:val="single" w:color="auto" w:sz="6" w:space="0"/>
              <w:left w:val="single" w:color="auto" w:sz="12" w:space="0"/>
              <w:bottom w:val="single" w:color="auto" w:sz="6" w:space="0"/>
              <w:right w:val="single" w:color="auto" w:sz="6" w:space="0"/>
            </w:tcBorders>
          </w:tcPr>
          <w:p w14:paraId="375F6EC0">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1</w:t>
            </w:r>
          </w:p>
        </w:tc>
        <w:tc>
          <w:tcPr>
            <w:tcW w:w="1254" w:type="pct"/>
            <w:tcBorders>
              <w:top w:val="single" w:color="auto" w:sz="6" w:space="0"/>
              <w:left w:val="single" w:color="auto" w:sz="6" w:space="0"/>
              <w:bottom w:val="single" w:color="auto" w:sz="6" w:space="0"/>
              <w:right w:val="single" w:color="auto" w:sz="6" w:space="0"/>
            </w:tcBorders>
            <w:vAlign w:val="center"/>
          </w:tcPr>
          <w:p w14:paraId="6328845B">
            <w:pPr>
              <w:spacing w:line="360" w:lineRule="auto"/>
              <w:jc w:val="left"/>
              <w:rPr>
                <w:rFonts w:hint="eastAsia" w:ascii="宋体" w:hAnsi="宋体" w:cs="宋体"/>
                <w:sz w:val="24"/>
                <w:szCs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246A7146">
            <w:pPr>
              <w:spacing w:line="360" w:lineRule="auto"/>
              <w:jc w:val="left"/>
              <w:rPr>
                <w:rFonts w:hint="eastAsia" w:ascii="宋体" w:hAnsi="宋体" w:cs="宋体"/>
                <w:sz w:val="24"/>
                <w:szCs w:val="24"/>
                <w:highlight w:val="none"/>
              </w:rPr>
            </w:pPr>
          </w:p>
        </w:tc>
        <w:tc>
          <w:tcPr>
            <w:tcW w:w="1412" w:type="pct"/>
            <w:tcBorders>
              <w:top w:val="single" w:color="auto" w:sz="6" w:space="0"/>
              <w:left w:val="single" w:color="auto" w:sz="6" w:space="0"/>
              <w:bottom w:val="single" w:color="auto" w:sz="6" w:space="0"/>
              <w:right w:val="single" w:color="auto" w:sz="6" w:space="0"/>
            </w:tcBorders>
            <w:vAlign w:val="center"/>
          </w:tcPr>
          <w:p w14:paraId="22885895">
            <w:pPr>
              <w:spacing w:line="360" w:lineRule="auto"/>
              <w:jc w:val="left"/>
              <w:rPr>
                <w:rFonts w:hint="eastAsia" w:ascii="宋体" w:hAnsi="宋体" w:cs="宋体"/>
                <w:sz w:val="24"/>
                <w:szCs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63BB10E9">
            <w:pPr>
              <w:spacing w:line="360" w:lineRule="auto"/>
              <w:jc w:val="left"/>
              <w:rPr>
                <w:rFonts w:hint="eastAsia" w:ascii="宋体" w:hAnsi="宋体" w:cs="宋体"/>
                <w:sz w:val="24"/>
                <w:szCs w:val="24"/>
                <w:highlight w:val="none"/>
              </w:rPr>
            </w:pPr>
          </w:p>
        </w:tc>
      </w:tr>
      <w:tr w14:paraId="1C1953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59" w:type="pct"/>
            <w:tcBorders>
              <w:top w:val="single" w:color="auto" w:sz="6" w:space="0"/>
              <w:left w:val="single" w:color="auto" w:sz="12" w:space="0"/>
              <w:bottom w:val="single" w:color="auto" w:sz="6" w:space="0"/>
              <w:right w:val="single" w:color="auto" w:sz="6" w:space="0"/>
            </w:tcBorders>
          </w:tcPr>
          <w:p w14:paraId="6F8B3950">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2</w:t>
            </w:r>
          </w:p>
        </w:tc>
        <w:tc>
          <w:tcPr>
            <w:tcW w:w="1254" w:type="pct"/>
            <w:tcBorders>
              <w:top w:val="single" w:color="auto" w:sz="6" w:space="0"/>
              <w:left w:val="single" w:color="auto" w:sz="6" w:space="0"/>
              <w:bottom w:val="single" w:color="auto" w:sz="6" w:space="0"/>
              <w:right w:val="single" w:color="auto" w:sz="6" w:space="0"/>
            </w:tcBorders>
            <w:vAlign w:val="center"/>
          </w:tcPr>
          <w:p w14:paraId="4B22B077">
            <w:pPr>
              <w:spacing w:line="360" w:lineRule="auto"/>
              <w:jc w:val="left"/>
              <w:rPr>
                <w:rFonts w:hint="eastAsia" w:ascii="宋体" w:hAnsi="宋体" w:cs="宋体"/>
                <w:sz w:val="24"/>
                <w:szCs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0CD8AF8F">
            <w:pPr>
              <w:spacing w:line="360" w:lineRule="auto"/>
              <w:jc w:val="left"/>
              <w:rPr>
                <w:rFonts w:hint="eastAsia" w:ascii="宋体" w:hAnsi="宋体" w:cs="宋体"/>
                <w:sz w:val="24"/>
                <w:szCs w:val="24"/>
                <w:highlight w:val="none"/>
              </w:rPr>
            </w:pPr>
          </w:p>
        </w:tc>
        <w:tc>
          <w:tcPr>
            <w:tcW w:w="1412" w:type="pct"/>
            <w:tcBorders>
              <w:top w:val="single" w:color="auto" w:sz="6" w:space="0"/>
              <w:left w:val="single" w:color="auto" w:sz="6" w:space="0"/>
              <w:bottom w:val="single" w:color="auto" w:sz="6" w:space="0"/>
              <w:right w:val="single" w:color="auto" w:sz="6" w:space="0"/>
            </w:tcBorders>
            <w:vAlign w:val="center"/>
          </w:tcPr>
          <w:p w14:paraId="6FD3AAC2">
            <w:pPr>
              <w:spacing w:line="360" w:lineRule="auto"/>
              <w:jc w:val="left"/>
              <w:rPr>
                <w:rFonts w:hint="eastAsia" w:ascii="宋体" w:hAnsi="宋体" w:cs="宋体"/>
                <w:sz w:val="24"/>
                <w:szCs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264ABBF4">
            <w:pPr>
              <w:spacing w:line="360" w:lineRule="auto"/>
              <w:jc w:val="left"/>
              <w:rPr>
                <w:rFonts w:hint="eastAsia" w:ascii="宋体" w:hAnsi="宋体" w:cs="宋体"/>
                <w:sz w:val="24"/>
                <w:szCs w:val="24"/>
                <w:highlight w:val="none"/>
              </w:rPr>
            </w:pPr>
          </w:p>
        </w:tc>
      </w:tr>
      <w:tr w14:paraId="039529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59" w:type="pct"/>
            <w:tcBorders>
              <w:top w:val="single" w:color="auto" w:sz="6" w:space="0"/>
              <w:left w:val="single" w:color="auto" w:sz="12" w:space="0"/>
              <w:bottom w:val="single" w:color="auto" w:sz="6" w:space="0"/>
              <w:right w:val="single" w:color="auto" w:sz="6" w:space="0"/>
            </w:tcBorders>
          </w:tcPr>
          <w:p w14:paraId="12AA5F72">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3</w:t>
            </w:r>
          </w:p>
        </w:tc>
        <w:tc>
          <w:tcPr>
            <w:tcW w:w="1254" w:type="pct"/>
            <w:tcBorders>
              <w:top w:val="single" w:color="auto" w:sz="6" w:space="0"/>
              <w:left w:val="single" w:color="auto" w:sz="6" w:space="0"/>
              <w:bottom w:val="single" w:color="auto" w:sz="6" w:space="0"/>
              <w:right w:val="single" w:color="auto" w:sz="6" w:space="0"/>
            </w:tcBorders>
            <w:vAlign w:val="center"/>
          </w:tcPr>
          <w:p w14:paraId="2D1C59FA">
            <w:pPr>
              <w:spacing w:line="360" w:lineRule="auto"/>
              <w:jc w:val="left"/>
              <w:rPr>
                <w:rFonts w:hint="eastAsia" w:ascii="宋体" w:hAnsi="宋体" w:cs="宋体"/>
                <w:sz w:val="24"/>
                <w:szCs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33B4A330">
            <w:pPr>
              <w:spacing w:line="360" w:lineRule="auto"/>
              <w:jc w:val="left"/>
              <w:rPr>
                <w:rFonts w:hint="eastAsia" w:ascii="宋体" w:hAnsi="宋体" w:cs="宋体"/>
                <w:sz w:val="24"/>
                <w:szCs w:val="24"/>
                <w:highlight w:val="none"/>
              </w:rPr>
            </w:pPr>
          </w:p>
        </w:tc>
        <w:tc>
          <w:tcPr>
            <w:tcW w:w="1412" w:type="pct"/>
            <w:tcBorders>
              <w:top w:val="single" w:color="auto" w:sz="6" w:space="0"/>
              <w:left w:val="single" w:color="auto" w:sz="6" w:space="0"/>
              <w:bottom w:val="single" w:color="auto" w:sz="6" w:space="0"/>
              <w:right w:val="single" w:color="auto" w:sz="6" w:space="0"/>
            </w:tcBorders>
            <w:vAlign w:val="center"/>
          </w:tcPr>
          <w:p w14:paraId="33E53A56">
            <w:pPr>
              <w:spacing w:line="360" w:lineRule="auto"/>
              <w:jc w:val="left"/>
              <w:rPr>
                <w:rFonts w:hint="eastAsia" w:ascii="宋体" w:hAnsi="宋体" w:cs="宋体"/>
                <w:sz w:val="24"/>
                <w:szCs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7BFBBD2C">
            <w:pPr>
              <w:spacing w:line="360" w:lineRule="auto"/>
              <w:jc w:val="left"/>
              <w:rPr>
                <w:rFonts w:hint="eastAsia" w:ascii="宋体" w:hAnsi="宋体" w:cs="宋体"/>
                <w:sz w:val="24"/>
                <w:szCs w:val="24"/>
                <w:highlight w:val="none"/>
              </w:rPr>
            </w:pPr>
          </w:p>
        </w:tc>
      </w:tr>
      <w:tr w14:paraId="56C377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59" w:type="pct"/>
            <w:tcBorders>
              <w:top w:val="single" w:color="auto" w:sz="6" w:space="0"/>
              <w:left w:val="single" w:color="auto" w:sz="12" w:space="0"/>
              <w:bottom w:val="single" w:color="auto" w:sz="6" w:space="0"/>
              <w:right w:val="single" w:color="auto" w:sz="6" w:space="0"/>
            </w:tcBorders>
          </w:tcPr>
          <w:p w14:paraId="0C5AC992">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4</w:t>
            </w:r>
          </w:p>
        </w:tc>
        <w:tc>
          <w:tcPr>
            <w:tcW w:w="1254" w:type="pct"/>
            <w:tcBorders>
              <w:top w:val="single" w:color="auto" w:sz="6" w:space="0"/>
              <w:left w:val="single" w:color="auto" w:sz="6" w:space="0"/>
              <w:bottom w:val="single" w:color="auto" w:sz="6" w:space="0"/>
              <w:right w:val="single" w:color="auto" w:sz="6" w:space="0"/>
            </w:tcBorders>
            <w:vAlign w:val="center"/>
          </w:tcPr>
          <w:p w14:paraId="11F3AE6C">
            <w:pPr>
              <w:spacing w:line="360" w:lineRule="auto"/>
              <w:jc w:val="left"/>
              <w:rPr>
                <w:rFonts w:hint="eastAsia" w:ascii="宋体" w:hAnsi="宋体" w:cs="宋体"/>
                <w:sz w:val="24"/>
                <w:szCs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4C772A8B">
            <w:pPr>
              <w:spacing w:line="360" w:lineRule="auto"/>
              <w:jc w:val="left"/>
              <w:rPr>
                <w:rFonts w:hint="eastAsia" w:ascii="宋体" w:hAnsi="宋体" w:cs="宋体"/>
                <w:sz w:val="24"/>
                <w:szCs w:val="24"/>
                <w:highlight w:val="none"/>
              </w:rPr>
            </w:pPr>
          </w:p>
        </w:tc>
        <w:tc>
          <w:tcPr>
            <w:tcW w:w="1412" w:type="pct"/>
            <w:tcBorders>
              <w:top w:val="single" w:color="auto" w:sz="6" w:space="0"/>
              <w:left w:val="single" w:color="auto" w:sz="6" w:space="0"/>
              <w:bottom w:val="single" w:color="auto" w:sz="6" w:space="0"/>
              <w:right w:val="single" w:color="auto" w:sz="6" w:space="0"/>
            </w:tcBorders>
            <w:vAlign w:val="center"/>
          </w:tcPr>
          <w:p w14:paraId="12A7F103">
            <w:pPr>
              <w:spacing w:line="360" w:lineRule="auto"/>
              <w:jc w:val="left"/>
              <w:rPr>
                <w:rFonts w:hint="eastAsia" w:ascii="宋体" w:hAnsi="宋体" w:cs="宋体"/>
                <w:sz w:val="24"/>
                <w:szCs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4FD5C3C0">
            <w:pPr>
              <w:spacing w:line="360" w:lineRule="auto"/>
              <w:jc w:val="left"/>
              <w:rPr>
                <w:rFonts w:hint="eastAsia" w:ascii="宋体" w:hAnsi="宋体" w:cs="宋体"/>
                <w:sz w:val="24"/>
                <w:szCs w:val="24"/>
                <w:highlight w:val="none"/>
              </w:rPr>
            </w:pPr>
          </w:p>
        </w:tc>
      </w:tr>
    </w:tbl>
    <w:p w14:paraId="23C8EF1B">
      <w:pPr>
        <w:spacing w:line="360" w:lineRule="auto"/>
        <w:ind w:firstLine="482"/>
        <w:contextualSpacing/>
        <w:rPr>
          <w:rFonts w:hint="eastAsia" w:ascii="宋体" w:hAnsi="宋体" w:cs="宋体"/>
          <w:b/>
          <w:sz w:val="24"/>
          <w:szCs w:val="24"/>
          <w:highlight w:val="none"/>
        </w:rPr>
      </w:pPr>
      <w:r>
        <w:rPr>
          <w:rFonts w:hint="eastAsia" w:ascii="宋体" w:hAnsi="宋体" w:cs="宋体"/>
          <w:b/>
          <w:sz w:val="24"/>
          <w:szCs w:val="24"/>
          <w:highlight w:val="none"/>
        </w:rPr>
        <w:t>注：</w:t>
      </w:r>
    </w:p>
    <w:p w14:paraId="6E89B13A">
      <w:pPr>
        <w:spacing w:line="360" w:lineRule="auto"/>
        <w:ind w:firstLine="482"/>
        <w:contextualSpacing/>
        <w:rPr>
          <w:rFonts w:hint="eastAsia" w:ascii="宋体" w:hAnsi="宋体" w:cs="宋体"/>
          <w:sz w:val="24"/>
          <w:szCs w:val="24"/>
          <w:highlight w:val="none"/>
        </w:rPr>
      </w:pPr>
      <w:r>
        <w:rPr>
          <w:rFonts w:hint="eastAsia" w:ascii="宋体" w:hAnsi="宋体" w:cs="宋体"/>
          <w:sz w:val="24"/>
          <w:szCs w:val="24"/>
          <w:highlight w:val="none"/>
        </w:rPr>
        <w:t>1.供应商提交的响应文件中与采购文件第三部分“项目需求”中的技术部分的要求，应逐条填列在偏离表中。</w:t>
      </w:r>
    </w:p>
    <w:p w14:paraId="3360F6C8">
      <w:pPr>
        <w:spacing w:line="360" w:lineRule="auto"/>
        <w:ind w:firstLine="482"/>
        <w:contextualSpacing/>
        <w:rPr>
          <w:rFonts w:hint="eastAsia" w:ascii="宋体" w:hAnsi="宋体" w:cs="宋体"/>
          <w:sz w:val="24"/>
          <w:szCs w:val="24"/>
          <w:highlight w:val="none"/>
        </w:rPr>
      </w:pPr>
      <w:r>
        <w:rPr>
          <w:rFonts w:hint="eastAsia" w:ascii="宋体" w:hAnsi="宋体" w:cs="宋体"/>
          <w:sz w:val="24"/>
          <w:szCs w:val="24"/>
          <w:highlight w:val="none"/>
        </w:rPr>
        <w:t>2.“偏离说明”一栏选择“正偏离”、“负偏离”、“无偏离”进行填写。正偏离、负偏离、无偏离的确认，由比选小组认定。</w:t>
      </w:r>
    </w:p>
    <w:p w14:paraId="29E8221C">
      <w:pPr>
        <w:spacing w:line="360" w:lineRule="auto"/>
        <w:ind w:firstLine="482"/>
        <w:contextualSpacing/>
        <w:rPr>
          <w:rFonts w:hint="eastAsia" w:ascii="宋体" w:hAnsi="宋体" w:cs="宋体"/>
          <w:sz w:val="24"/>
          <w:szCs w:val="24"/>
          <w:highlight w:val="none"/>
        </w:rPr>
      </w:pPr>
      <w:r>
        <w:rPr>
          <w:rFonts w:hint="eastAsia" w:ascii="宋体" w:hAnsi="宋体" w:cs="宋体"/>
          <w:sz w:val="24"/>
          <w:szCs w:val="24"/>
          <w:highlight w:val="none"/>
        </w:rPr>
        <w:t>3. 本项目技术条款不接受负偏离，有负偏离的按无效标处理。供应商若提供其他增值服务，可以在表中自行据实填写。</w:t>
      </w:r>
    </w:p>
    <w:p w14:paraId="497162A4">
      <w:pPr>
        <w:spacing w:line="360" w:lineRule="auto"/>
        <w:ind w:firstLine="482"/>
        <w:contextualSpacing/>
        <w:rPr>
          <w:rFonts w:hint="eastAsia" w:ascii="宋体" w:hAnsi="宋体" w:cs="宋体"/>
          <w:sz w:val="24"/>
          <w:szCs w:val="24"/>
          <w:highlight w:val="none"/>
        </w:rPr>
      </w:pPr>
      <w:r>
        <w:rPr>
          <w:rFonts w:hint="eastAsia" w:ascii="宋体" w:hAnsi="宋体" w:cs="宋体"/>
          <w:sz w:val="24"/>
          <w:szCs w:val="24"/>
          <w:highlight w:val="none"/>
        </w:rPr>
        <w:t>4.若完全响应本项目需求且无偏离，投标时本表可空白盖章提供。</w:t>
      </w:r>
    </w:p>
    <w:p w14:paraId="1DE1F895">
      <w:pPr>
        <w:spacing w:line="360" w:lineRule="auto"/>
        <w:ind w:firstLine="482"/>
        <w:rPr>
          <w:highlight w:val="none"/>
        </w:rPr>
      </w:pPr>
      <w:r>
        <w:rPr>
          <w:rFonts w:hint="eastAsia" w:ascii="宋体" w:hAnsi="宋体" w:cs="宋体"/>
          <w:sz w:val="24"/>
          <w:szCs w:val="24"/>
          <w:highlight w:val="none"/>
        </w:rPr>
        <w:br w:type="page" w:clear="all"/>
      </w:r>
    </w:p>
    <w:p w14:paraId="010A3F27">
      <w:pPr>
        <w:pStyle w:val="23"/>
        <w:ind w:left="547"/>
        <w:rPr>
          <w:highlight w:val="none"/>
        </w:rPr>
      </w:pPr>
    </w:p>
    <w:p w14:paraId="0125788A">
      <w:pPr>
        <w:spacing w:line="360" w:lineRule="auto"/>
        <w:ind w:firstLine="482"/>
        <w:rPr>
          <w:rFonts w:hint="eastAsia" w:ascii="宋体" w:hAnsi="宋体" w:cs="宋体"/>
          <w:sz w:val="24"/>
          <w:szCs w:val="24"/>
          <w:highlight w:val="none"/>
        </w:rPr>
      </w:pPr>
      <w:r>
        <w:rPr>
          <w:rFonts w:hint="eastAsia" w:ascii="宋体" w:hAnsi="宋体" w:cs="宋体"/>
          <w:b/>
          <w:bCs/>
          <w:sz w:val="24"/>
          <w:szCs w:val="24"/>
          <w:highlight w:val="none"/>
        </w:rPr>
        <w:t>附件10</w:t>
      </w:r>
    </w:p>
    <w:p w14:paraId="158DF08C">
      <w:pPr>
        <w:spacing w:line="360" w:lineRule="auto"/>
        <w:ind w:firstLine="482"/>
        <w:jc w:val="center"/>
        <w:rPr>
          <w:rFonts w:hint="eastAsia" w:ascii="宋体" w:hAnsi="宋体" w:cs="宋体"/>
          <w:b/>
          <w:sz w:val="24"/>
          <w:szCs w:val="24"/>
          <w:highlight w:val="none"/>
        </w:rPr>
      </w:pPr>
      <w:r>
        <w:rPr>
          <w:rFonts w:ascii="宋体" w:hAnsi="宋体" w:cs="宋体"/>
          <w:b/>
          <w:bCs/>
          <w:sz w:val="24"/>
          <w:szCs w:val="24"/>
          <w:highlight w:val="none"/>
        </w:rPr>
        <w:t>磋商报价表</w:t>
      </w:r>
    </w:p>
    <w:p w14:paraId="0151E27F">
      <w:pPr>
        <w:pStyle w:val="37"/>
        <w:spacing w:before="0" w:beforeAutospacing="0" w:after="0" w:afterAutospacing="0" w:line="360" w:lineRule="auto"/>
        <w:rPr>
          <w:rFonts w:hint="eastAsia"/>
          <w:highlight w:val="none"/>
        </w:rPr>
      </w:pPr>
      <w:r>
        <w:rPr>
          <w:highlight w:val="none"/>
        </w:rPr>
        <w:t>本次为首次报价货币单位：人民币元</w:t>
      </w:r>
    </w:p>
    <w:p w14:paraId="3D6ACCBC">
      <w:pPr>
        <w:pStyle w:val="37"/>
        <w:spacing w:before="0" w:beforeAutospacing="0" w:after="0" w:afterAutospacing="0" w:line="360" w:lineRule="auto"/>
        <w:rPr>
          <w:rFonts w:hint="eastAsia"/>
          <w:highlight w:val="none"/>
        </w:rPr>
      </w:pPr>
      <w:r>
        <w:rPr>
          <w:highlight w:val="none"/>
        </w:rPr>
        <w:t>项目编号：</w:t>
      </w:r>
    </w:p>
    <w:tbl>
      <w:tblPr>
        <w:tblStyle w:val="42"/>
        <w:tblW w:w="0" w:type="auto"/>
        <w:tblCellSpacing w:w="1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15" w:type="dxa"/>
          <w:left w:w="15" w:type="dxa"/>
          <w:bottom w:w="15" w:type="dxa"/>
          <w:right w:w="15" w:type="dxa"/>
        </w:tblCellMar>
      </w:tblPr>
      <w:tblGrid>
        <w:gridCol w:w="2704"/>
        <w:gridCol w:w="2643"/>
        <w:gridCol w:w="3957"/>
      </w:tblGrid>
      <w:tr w14:paraId="0863AB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blCellSpacing w:w="15" w:type="dxa"/>
        </w:trPr>
        <w:tc>
          <w:tcPr>
            <w:tcW w:w="3330" w:type="dxa"/>
            <w:shd w:val="clear" w:color="auto" w:fill="auto"/>
            <w:vAlign w:val="center"/>
          </w:tcPr>
          <w:p w14:paraId="453D1909">
            <w:pPr>
              <w:pStyle w:val="37"/>
              <w:spacing w:before="0" w:beforeAutospacing="0" w:after="0" w:afterAutospacing="0" w:line="360" w:lineRule="auto"/>
              <w:rPr>
                <w:rFonts w:hint="eastAsia"/>
                <w:highlight w:val="none"/>
              </w:rPr>
            </w:pPr>
            <w:r>
              <w:rPr>
                <w:highlight w:val="none"/>
              </w:rPr>
              <w:t>项目名称</w:t>
            </w:r>
          </w:p>
        </w:tc>
        <w:tc>
          <w:tcPr>
            <w:tcW w:w="3345" w:type="dxa"/>
            <w:shd w:val="clear" w:color="auto" w:fill="auto"/>
            <w:vAlign w:val="center"/>
          </w:tcPr>
          <w:p w14:paraId="53F6359A">
            <w:pPr>
              <w:pStyle w:val="37"/>
              <w:spacing w:before="0" w:beforeAutospacing="0" w:after="0" w:afterAutospacing="0" w:line="360" w:lineRule="auto"/>
              <w:rPr>
                <w:rFonts w:hint="eastAsia"/>
                <w:highlight w:val="none"/>
              </w:rPr>
            </w:pPr>
            <w:r>
              <w:rPr>
                <w:highlight w:val="none"/>
              </w:rPr>
              <w:t>项目内容</w:t>
            </w:r>
          </w:p>
        </w:tc>
        <w:tc>
          <w:tcPr>
            <w:tcW w:w="4980" w:type="dxa"/>
            <w:shd w:val="clear" w:color="auto" w:fill="auto"/>
            <w:vAlign w:val="center"/>
          </w:tcPr>
          <w:p w14:paraId="27732BCA">
            <w:pPr>
              <w:pStyle w:val="37"/>
              <w:spacing w:before="0" w:beforeAutospacing="0" w:after="0" w:afterAutospacing="0" w:line="360" w:lineRule="auto"/>
              <w:rPr>
                <w:rFonts w:hint="eastAsia"/>
                <w:highlight w:val="none"/>
              </w:rPr>
            </w:pPr>
            <w:r>
              <w:rPr>
                <w:highlight w:val="none"/>
              </w:rPr>
              <w:t>总价（小写）</w:t>
            </w:r>
          </w:p>
        </w:tc>
      </w:tr>
      <w:tr w14:paraId="7EFD6C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blCellSpacing w:w="15" w:type="dxa"/>
        </w:trPr>
        <w:tc>
          <w:tcPr>
            <w:tcW w:w="3330" w:type="dxa"/>
            <w:shd w:val="clear" w:color="auto" w:fill="auto"/>
            <w:vAlign w:val="center"/>
          </w:tcPr>
          <w:p w14:paraId="72C52210">
            <w:pPr>
              <w:pStyle w:val="37"/>
              <w:spacing w:before="0" w:beforeAutospacing="0" w:after="0" w:afterAutospacing="0" w:line="360" w:lineRule="auto"/>
              <w:rPr>
                <w:rFonts w:hint="eastAsia"/>
                <w:highlight w:val="none"/>
              </w:rPr>
            </w:pPr>
            <w:r>
              <w:rPr>
                <w:highlight w:val="none"/>
              </w:rPr>
              <w:t>项目名称</w:t>
            </w:r>
          </w:p>
        </w:tc>
        <w:tc>
          <w:tcPr>
            <w:tcW w:w="3345" w:type="dxa"/>
            <w:shd w:val="clear" w:color="auto" w:fill="auto"/>
            <w:vAlign w:val="center"/>
          </w:tcPr>
          <w:p w14:paraId="0FB8A56B">
            <w:pPr>
              <w:pStyle w:val="37"/>
              <w:spacing w:before="0" w:beforeAutospacing="0" w:after="0" w:afterAutospacing="0" w:line="360" w:lineRule="auto"/>
              <w:rPr>
                <w:rFonts w:hint="eastAsia"/>
                <w:highlight w:val="none"/>
              </w:rPr>
            </w:pPr>
            <w:r>
              <w:rPr>
                <w:highlight w:val="none"/>
              </w:rPr>
              <w:t>详见响应文件</w:t>
            </w:r>
          </w:p>
        </w:tc>
        <w:tc>
          <w:tcPr>
            <w:tcW w:w="4980" w:type="dxa"/>
            <w:shd w:val="clear" w:color="auto" w:fill="auto"/>
            <w:vAlign w:val="center"/>
          </w:tcPr>
          <w:p w14:paraId="39AEB909">
            <w:pPr>
              <w:pStyle w:val="37"/>
              <w:spacing w:before="0" w:beforeAutospacing="0" w:after="0" w:afterAutospacing="0" w:line="360" w:lineRule="auto"/>
              <w:rPr>
                <w:rFonts w:hint="eastAsia"/>
                <w:highlight w:val="none"/>
              </w:rPr>
            </w:pPr>
            <w:r>
              <w:rPr>
                <w:highlight w:val="none"/>
              </w:rPr>
              <w:t>元</w:t>
            </w:r>
          </w:p>
        </w:tc>
      </w:tr>
      <w:tr w14:paraId="3954C0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blCellSpacing w:w="15" w:type="dxa"/>
        </w:trPr>
        <w:tc>
          <w:tcPr>
            <w:tcW w:w="3330" w:type="dxa"/>
            <w:shd w:val="clear" w:color="auto" w:fill="auto"/>
            <w:vAlign w:val="center"/>
          </w:tcPr>
          <w:p w14:paraId="5B44E3B2">
            <w:pPr>
              <w:pStyle w:val="37"/>
              <w:spacing w:before="0" w:beforeAutospacing="0" w:after="0" w:afterAutospacing="0" w:line="360" w:lineRule="auto"/>
              <w:rPr>
                <w:rFonts w:hint="eastAsia"/>
                <w:highlight w:val="none"/>
              </w:rPr>
            </w:pPr>
            <w:r>
              <w:rPr>
                <w:highlight w:val="none"/>
              </w:rPr>
              <w:t>总价（大写）</w:t>
            </w:r>
          </w:p>
        </w:tc>
        <w:tc>
          <w:tcPr>
            <w:tcW w:w="8340" w:type="dxa"/>
            <w:gridSpan w:val="2"/>
            <w:shd w:val="clear" w:color="auto" w:fill="auto"/>
            <w:vAlign w:val="center"/>
          </w:tcPr>
          <w:p w14:paraId="7CE0060B">
            <w:pPr>
              <w:pStyle w:val="37"/>
              <w:spacing w:before="0" w:beforeAutospacing="0" w:after="0" w:afterAutospacing="0" w:line="360" w:lineRule="auto"/>
              <w:rPr>
                <w:rFonts w:hint="eastAsia"/>
                <w:highlight w:val="none"/>
              </w:rPr>
            </w:pPr>
            <w:r>
              <w:rPr>
                <w:highlight w:val="none"/>
              </w:rPr>
              <w:t>金额大写</w:t>
            </w:r>
            <w:r>
              <w:rPr>
                <w:rFonts w:hint="eastAsia"/>
                <w:highlight w:val="none"/>
              </w:rPr>
              <w:t xml:space="preserve">： </w:t>
            </w:r>
          </w:p>
        </w:tc>
      </w:tr>
    </w:tbl>
    <w:p w14:paraId="0374FBB3">
      <w:pPr>
        <w:pStyle w:val="37"/>
        <w:spacing w:before="0" w:beforeAutospacing="0" w:after="0" w:afterAutospacing="0" w:line="360" w:lineRule="auto"/>
        <w:ind w:firstLine="480"/>
        <w:rPr>
          <w:rFonts w:hint="eastAsia"/>
          <w:highlight w:val="none"/>
        </w:rPr>
      </w:pPr>
      <w:r>
        <w:rPr>
          <w:highlight w:val="none"/>
        </w:rPr>
        <w:t>报价说明：</w:t>
      </w:r>
    </w:p>
    <w:p w14:paraId="39E8AE3C">
      <w:pPr>
        <w:pStyle w:val="37"/>
        <w:spacing w:before="0" w:beforeAutospacing="0" w:after="0" w:afterAutospacing="0" w:line="360" w:lineRule="auto"/>
        <w:ind w:firstLine="480"/>
        <w:rPr>
          <w:rFonts w:hint="eastAsia"/>
          <w:highlight w:val="none"/>
        </w:rPr>
      </w:pPr>
      <w:r>
        <w:rPr>
          <w:highlight w:val="none"/>
        </w:rPr>
        <w:t>1、报价包括完成项目的所有费用。采购人不再支付报价以外的任何费用。</w:t>
      </w:r>
    </w:p>
    <w:p w14:paraId="2E711415">
      <w:pPr>
        <w:pStyle w:val="37"/>
        <w:spacing w:before="0" w:beforeAutospacing="0" w:after="0" w:afterAutospacing="0" w:line="360" w:lineRule="auto"/>
        <w:ind w:firstLine="480"/>
        <w:rPr>
          <w:rFonts w:hint="eastAsia"/>
          <w:highlight w:val="none"/>
        </w:rPr>
      </w:pPr>
      <w:r>
        <w:rPr>
          <w:highlight w:val="none"/>
        </w:rPr>
        <w:t>2、报价以总价为准，大小写不一致以大写为准；</w:t>
      </w:r>
    </w:p>
    <w:p w14:paraId="431C2CC4">
      <w:pPr>
        <w:pStyle w:val="37"/>
        <w:spacing w:before="0" w:beforeAutospacing="0" w:after="0" w:afterAutospacing="0" w:line="360" w:lineRule="auto"/>
        <w:ind w:firstLine="480"/>
        <w:rPr>
          <w:rFonts w:hint="eastAsia"/>
          <w:highlight w:val="none"/>
        </w:rPr>
      </w:pPr>
      <w:r>
        <w:rPr>
          <w:highlight w:val="none"/>
        </w:rPr>
        <w:t>3、偏离说明：详见《偏离表》；</w:t>
      </w:r>
    </w:p>
    <w:p w14:paraId="2AEE2B74">
      <w:pPr>
        <w:pStyle w:val="37"/>
        <w:spacing w:before="0" w:beforeAutospacing="0" w:after="0" w:afterAutospacing="0" w:line="360" w:lineRule="auto"/>
        <w:ind w:firstLine="480"/>
        <w:rPr>
          <w:rFonts w:hint="eastAsia"/>
          <w:highlight w:val="none"/>
        </w:rPr>
      </w:pPr>
    </w:p>
    <w:p w14:paraId="0E05C93A">
      <w:pPr>
        <w:pStyle w:val="37"/>
        <w:spacing w:before="0" w:beforeAutospacing="0" w:after="0" w:afterAutospacing="0" w:line="360" w:lineRule="auto"/>
        <w:ind w:firstLine="480"/>
        <w:rPr>
          <w:rFonts w:hint="eastAsia"/>
          <w:highlight w:val="none"/>
        </w:rPr>
      </w:pPr>
    </w:p>
    <w:p w14:paraId="0F055F82">
      <w:pPr>
        <w:pStyle w:val="37"/>
        <w:spacing w:before="0" w:beforeAutospacing="0" w:after="0" w:afterAutospacing="0" w:line="360" w:lineRule="auto"/>
        <w:ind w:firstLine="480"/>
        <w:rPr>
          <w:rFonts w:hint="eastAsia"/>
          <w:highlight w:val="none"/>
        </w:rPr>
      </w:pPr>
    </w:p>
    <w:p w14:paraId="5C2DC2DC">
      <w:pPr>
        <w:pStyle w:val="37"/>
        <w:spacing w:before="0" w:beforeAutospacing="0" w:after="0" w:afterAutospacing="0" w:line="360" w:lineRule="auto"/>
        <w:ind w:firstLine="480"/>
        <w:rPr>
          <w:rFonts w:hint="eastAsia"/>
          <w:highlight w:val="none"/>
        </w:rPr>
      </w:pPr>
      <w:r>
        <w:rPr>
          <w:highlight w:val="none"/>
        </w:rPr>
        <w:t>响应单位（公章）：</w:t>
      </w:r>
    </w:p>
    <w:p w14:paraId="62995A72">
      <w:pPr>
        <w:pStyle w:val="37"/>
        <w:spacing w:before="0" w:beforeAutospacing="0" w:after="0" w:afterAutospacing="0" w:line="360" w:lineRule="auto"/>
        <w:ind w:firstLine="480"/>
        <w:rPr>
          <w:rFonts w:hint="eastAsia"/>
          <w:highlight w:val="none"/>
        </w:rPr>
      </w:pPr>
    </w:p>
    <w:p w14:paraId="302FB02A">
      <w:pPr>
        <w:pStyle w:val="37"/>
        <w:spacing w:before="0" w:beforeAutospacing="0" w:after="0" w:afterAutospacing="0" w:line="360" w:lineRule="auto"/>
        <w:ind w:firstLine="480"/>
        <w:rPr>
          <w:rFonts w:hint="eastAsia"/>
          <w:highlight w:val="none"/>
        </w:rPr>
      </w:pPr>
      <w:r>
        <w:rPr>
          <w:highlight w:val="none"/>
        </w:rPr>
        <w:t>法定代表人或授权代表（签字或盖章）：</w:t>
      </w:r>
    </w:p>
    <w:p w14:paraId="3086128D">
      <w:pPr>
        <w:pStyle w:val="37"/>
        <w:spacing w:before="0" w:beforeAutospacing="0" w:after="0" w:afterAutospacing="0" w:line="360" w:lineRule="auto"/>
        <w:ind w:firstLine="480"/>
        <w:rPr>
          <w:rFonts w:hint="eastAsia"/>
          <w:highlight w:val="none"/>
        </w:rPr>
      </w:pPr>
    </w:p>
    <w:p w14:paraId="22827627">
      <w:pPr>
        <w:pStyle w:val="37"/>
        <w:spacing w:before="0" w:beforeAutospacing="0" w:after="0" w:afterAutospacing="0" w:line="360" w:lineRule="auto"/>
        <w:ind w:firstLine="480"/>
        <w:rPr>
          <w:rFonts w:hint="eastAsia"/>
          <w:highlight w:val="none"/>
        </w:rPr>
      </w:pPr>
      <w:r>
        <w:rPr>
          <w:highlight w:val="none"/>
        </w:rPr>
        <w:t xml:space="preserve">日期： </w:t>
      </w:r>
      <w:r>
        <w:rPr>
          <w:rFonts w:hint="eastAsia"/>
          <w:highlight w:val="none"/>
        </w:rPr>
        <w:t xml:space="preserve"> </w:t>
      </w:r>
      <w:r>
        <w:rPr>
          <w:highlight w:val="none"/>
        </w:rPr>
        <w:t>年</w:t>
      </w:r>
      <w:r>
        <w:rPr>
          <w:rFonts w:hint="eastAsia"/>
          <w:highlight w:val="none"/>
        </w:rPr>
        <w:t xml:space="preserve">  </w:t>
      </w:r>
      <w:r>
        <w:rPr>
          <w:highlight w:val="none"/>
        </w:rPr>
        <w:t>月</w:t>
      </w:r>
      <w:r>
        <w:rPr>
          <w:rFonts w:hint="eastAsia"/>
          <w:highlight w:val="none"/>
        </w:rPr>
        <w:t xml:space="preserve">  </w:t>
      </w:r>
      <w:r>
        <w:rPr>
          <w:highlight w:val="none"/>
        </w:rPr>
        <w:t>日</w:t>
      </w:r>
    </w:p>
    <w:p w14:paraId="01FB8239">
      <w:pPr>
        <w:spacing w:line="360" w:lineRule="auto"/>
        <w:ind w:firstLine="482"/>
        <w:rPr>
          <w:rFonts w:hint="eastAsia" w:ascii="宋体" w:hAnsi="宋体" w:cs="宋体"/>
          <w:sz w:val="24"/>
          <w:szCs w:val="24"/>
          <w:highlight w:val="none"/>
        </w:rPr>
      </w:pPr>
    </w:p>
    <w:p w14:paraId="28BF8632">
      <w:pPr>
        <w:spacing w:line="400" w:lineRule="exact"/>
        <w:ind w:left="547" w:firstLine="540"/>
        <w:contextualSpacing/>
        <w:rPr>
          <w:rFonts w:hint="eastAsia" w:ascii="宋体" w:hAnsi="宋体" w:cs="宋体"/>
          <w:b/>
          <w:sz w:val="28"/>
          <w:szCs w:val="28"/>
          <w:highlight w:val="none"/>
        </w:rPr>
      </w:pPr>
    </w:p>
    <w:p w14:paraId="568BFC90">
      <w:pPr>
        <w:spacing w:line="560" w:lineRule="exact"/>
        <w:ind w:left="547" w:firstLine="720"/>
        <w:jc w:val="center"/>
        <w:rPr>
          <w:rFonts w:hint="eastAsia" w:ascii="宋体" w:hAnsi="宋体" w:cs="宋体"/>
          <w:b/>
          <w:sz w:val="36"/>
          <w:szCs w:val="36"/>
          <w:highlight w:val="none"/>
        </w:rPr>
      </w:pPr>
    </w:p>
    <w:p w14:paraId="53650D55">
      <w:pPr>
        <w:pStyle w:val="23"/>
        <w:rPr>
          <w:highlight w:val="none"/>
        </w:rPr>
      </w:pPr>
    </w:p>
    <w:p w14:paraId="66BD5ABB">
      <w:pPr>
        <w:pStyle w:val="23"/>
        <w:rPr>
          <w:highlight w:val="none"/>
        </w:rPr>
      </w:pPr>
    </w:p>
    <w:p w14:paraId="6AACF200">
      <w:pPr>
        <w:spacing w:line="360" w:lineRule="auto"/>
        <w:ind w:firstLine="480"/>
        <w:jc w:val="left"/>
        <w:rPr>
          <w:rFonts w:hint="eastAsia" w:ascii="宋体" w:hAnsi="宋体" w:cs="宋体"/>
          <w:sz w:val="24"/>
          <w:szCs w:val="24"/>
          <w:highlight w:val="none"/>
        </w:rPr>
        <w:sectPr>
          <w:pgSz w:w="11906" w:h="16838"/>
          <w:pgMar w:top="1361" w:right="1361" w:bottom="1361" w:left="1361" w:header="851" w:footer="992" w:gutter="0"/>
          <w:cols w:space="720" w:num="1"/>
          <w:docGrid w:linePitch="360" w:charSpace="0"/>
        </w:sectPr>
      </w:pPr>
      <w:bookmarkStart w:id="111" w:name="_Toc20744811"/>
      <w:bookmarkStart w:id="112" w:name="_Toc20744274"/>
    </w:p>
    <w:p w14:paraId="2909CA46">
      <w:pPr>
        <w:spacing w:line="360" w:lineRule="auto"/>
        <w:ind w:firstLine="480"/>
        <w:jc w:val="left"/>
        <w:rPr>
          <w:rFonts w:hint="eastAsia" w:ascii="宋体" w:hAnsi="宋体" w:cs="宋体"/>
          <w:sz w:val="24"/>
          <w:szCs w:val="24"/>
          <w:highlight w:val="none"/>
        </w:rPr>
      </w:pPr>
      <w:r>
        <w:rPr>
          <w:rFonts w:hint="eastAsia" w:ascii="宋体" w:hAnsi="宋体" w:cs="宋体"/>
          <w:sz w:val="24"/>
          <w:szCs w:val="24"/>
          <w:highlight w:val="none"/>
        </w:rPr>
        <w:t>附件11</w:t>
      </w:r>
    </w:p>
    <w:p w14:paraId="77A197FF">
      <w:pPr>
        <w:spacing w:line="360" w:lineRule="auto"/>
        <w:ind w:firstLine="480"/>
        <w:jc w:val="left"/>
        <w:rPr>
          <w:rFonts w:hint="eastAsia" w:ascii="宋体" w:hAnsi="宋体" w:cs="宋体"/>
          <w:sz w:val="24"/>
          <w:szCs w:val="24"/>
          <w:highlight w:val="none"/>
        </w:rPr>
      </w:pPr>
    </w:p>
    <w:p w14:paraId="0D51172A">
      <w:pPr>
        <w:spacing w:line="360" w:lineRule="auto"/>
        <w:ind w:firstLine="482"/>
        <w:jc w:val="center"/>
        <w:rPr>
          <w:rFonts w:hint="eastAsia" w:ascii="宋体" w:hAnsi="宋体" w:cs="宋体"/>
          <w:b/>
          <w:bCs/>
          <w:sz w:val="24"/>
          <w:szCs w:val="24"/>
          <w:highlight w:val="none"/>
        </w:rPr>
      </w:pPr>
      <w:r>
        <w:rPr>
          <w:rFonts w:hint="eastAsia" w:ascii="宋体" w:hAnsi="宋体" w:cs="宋体"/>
          <w:b/>
          <w:bCs/>
          <w:sz w:val="24"/>
          <w:szCs w:val="24"/>
          <w:highlight w:val="none"/>
        </w:rPr>
        <w:t>分项报价明细表（服务类）</w:t>
      </w:r>
    </w:p>
    <w:p w14:paraId="7AF24DBE">
      <w:pPr>
        <w:spacing w:line="400" w:lineRule="exact"/>
        <w:rPr>
          <w:rFonts w:hint="eastAsia" w:asciiTheme="minorEastAsia" w:hAnsiTheme="minorEastAsia" w:eastAsiaTheme="minorEastAsia"/>
          <w:color w:val="000000"/>
          <w:sz w:val="24"/>
          <w:highlight w:val="none"/>
        </w:rPr>
      </w:pPr>
      <w:r>
        <w:rPr>
          <w:rFonts w:hint="eastAsia" w:asciiTheme="minorEastAsia" w:hAnsiTheme="minorEastAsia" w:eastAsiaTheme="minorEastAsia"/>
          <w:sz w:val="24"/>
          <w:highlight w:val="none"/>
        </w:rPr>
        <w:t>投标人（盖章）：</w:t>
      </w:r>
    </w:p>
    <w:tbl>
      <w:tblPr>
        <w:tblStyle w:val="42"/>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1321"/>
        <w:gridCol w:w="1417"/>
        <w:gridCol w:w="1418"/>
        <w:gridCol w:w="1275"/>
        <w:gridCol w:w="1276"/>
        <w:gridCol w:w="851"/>
        <w:gridCol w:w="1151"/>
      </w:tblGrid>
      <w:tr w14:paraId="63F49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971" w:type="dxa"/>
            <w:vAlign w:val="center"/>
          </w:tcPr>
          <w:p w14:paraId="3C9D67A9">
            <w:pPr>
              <w:spacing w:line="360" w:lineRule="auto"/>
              <w:jc w:val="center"/>
              <w:rPr>
                <w:rFonts w:hint="eastAsia" w:asciiTheme="minorEastAsia" w:hAnsiTheme="minorEastAsia" w:eastAsiaTheme="minorEastAsia"/>
                <w:b/>
                <w:color w:val="000000"/>
                <w:sz w:val="24"/>
                <w:highlight w:val="none"/>
              </w:rPr>
            </w:pPr>
            <w:r>
              <w:rPr>
                <w:rFonts w:hint="eastAsia" w:asciiTheme="minorEastAsia" w:hAnsiTheme="minorEastAsia" w:eastAsiaTheme="minorEastAsia"/>
                <w:b/>
                <w:color w:val="000000"/>
                <w:sz w:val="24"/>
                <w:highlight w:val="none"/>
              </w:rPr>
              <w:t>序号</w:t>
            </w:r>
          </w:p>
        </w:tc>
        <w:tc>
          <w:tcPr>
            <w:tcW w:w="1321" w:type="dxa"/>
            <w:vAlign w:val="center"/>
          </w:tcPr>
          <w:p w14:paraId="7D9E9F20">
            <w:pPr>
              <w:spacing w:line="360" w:lineRule="auto"/>
              <w:jc w:val="center"/>
              <w:rPr>
                <w:rFonts w:hint="eastAsia" w:asciiTheme="minorEastAsia" w:hAnsiTheme="minorEastAsia" w:eastAsiaTheme="minorEastAsia"/>
                <w:b/>
                <w:color w:val="000000"/>
                <w:sz w:val="24"/>
                <w:highlight w:val="none"/>
              </w:rPr>
            </w:pPr>
            <w:r>
              <w:rPr>
                <w:rFonts w:hint="eastAsia" w:asciiTheme="minorEastAsia" w:hAnsiTheme="minorEastAsia" w:eastAsiaTheme="minorEastAsia"/>
                <w:b/>
                <w:color w:val="000000"/>
                <w:sz w:val="24"/>
                <w:highlight w:val="none"/>
              </w:rPr>
              <w:t>名称</w:t>
            </w:r>
          </w:p>
        </w:tc>
        <w:tc>
          <w:tcPr>
            <w:tcW w:w="1417" w:type="dxa"/>
            <w:vAlign w:val="center"/>
          </w:tcPr>
          <w:p w14:paraId="494B7B92">
            <w:pPr>
              <w:spacing w:line="360" w:lineRule="auto"/>
              <w:jc w:val="center"/>
              <w:rPr>
                <w:rFonts w:hint="eastAsia" w:asciiTheme="minorEastAsia" w:hAnsiTheme="minorEastAsia" w:eastAsiaTheme="minorEastAsia"/>
                <w:b/>
                <w:color w:val="000000"/>
                <w:sz w:val="24"/>
                <w:highlight w:val="none"/>
              </w:rPr>
            </w:pPr>
            <w:r>
              <w:rPr>
                <w:rFonts w:hint="eastAsia" w:asciiTheme="minorEastAsia" w:hAnsiTheme="minorEastAsia" w:eastAsiaTheme="minorEastAsia"/>
                <w:b/>
                <w:color w:val="000000"/>
                <w:sz w:val="24"/>
                <w:highlight w:val="none"/>
              </w:rPr>
              <w:t>服务范围</w:t>
            </w:r>
          </w:p>
        </w:tc>
        <w:tc>
          <w:tcPr>
            <w:tcW w:w="1418" w:type="dxa"/>
            <w:vAlign w:val="center"/>
          </w:tcPr>
          <w:p w14:paraId="6FD06E12">
            <w:pPr>
              <w:spacing w:line="360" w:lineRule="auto"/>
              <w:jc w:val="center"/>
              <w:rPr>
                <w:rFonts w:hint="eastAsia" w:asciiTheme="minorEastAsia" w:hAnsiTheme="minorEastAsia" w:eastAsiaTheme="minorEastAsia"/>
                <w:b/>
                <w:color w:val="000000"/>
                <w:sz w:val="24"/>
                <w:highlight w:val="none"/>
              </w:rPr>
            </w:pPr>
            <w:r>
              <w:rPr>
                <w:rFonts w:hint="eastAsia" w:asciiTheme="minorEastAsia" w:hAnsiTheme="minorEastAsia" w:eastAsiaTheme="minorEastAsia"/>
                <w:b/>
                <w:color w:val="000000"/>
                <w:sz w:val="24"/>
                <w:highlight w:val="none"/>
              </w:rPr>
              <w:t>服务要求</w:t>
            </w:r>
          </w:p>
        </w:tc>
        <w:tc>
          <w:tcPr>
            <w:tcW w:w="1275" w:type="dxa"/>
            <w:vAlign w:val="center"/>
          </w:tcPr>
          <w:p w14:paraId="2A1BA72B">
            <w:pPr>
              <w:spacing w:line="360" w:lineRule="auto"/>
              <w:jc w:val="center"/>
              <w:rPr>
                <w:rFonts w:hint="eastAsia" w:asciiTheme="minorEastAsia" w:hAnsiTheme="minorEastAsia" w:eastAsiaTheme="minorEastAsia"/>
                <w:b/>
                <w:color w:val="000000"/>
                <w:sz w:val="24"/>
                <w:highlight w:val="none"/>
              </w:rPr>
            </w:pPr>
            <w:r>
              <w:rPr>
                <w:rFonts w:hint="eastAsia" w:asciiTheme="minorEastAsia" w:hAnsiTheme="minorEastAsia" w:eastAsiaTheme="minorEastAsia"/>
                <w:b/>
                <w:color w:val="000000"/>
                <w:sz w:val="24"/>
                <w:highlight w:val="none"/>
              </w:rPr>
              <w:t>服务时间</w:t>
            </w:r>
          </w:p>
        </w:tc>
        <w:tc>
          <w:tcPr>
            <w:tcW w:w="1276" w:type="dxa"/>
            <w:vAlign w:val="center"/>
          </w:tcPr>
          <w:p w14:paraId="01E8F591">
            <w:pPr>
              <w:spacing w:line="360" w:lineRule="auto"/>
              <w:jc w:val="center"/>
              <w:rPr>
                <w:rFonts w:hint="eastAsia" w:asciiTheme="minorEastAsia" w:hAnsiTheme="minorEastAsia" w:eastAsiaTheme="minorEastAsia"/>
                <w:b/>
                <w:color w:val="000000"/>
                <w:sz w:val="24"/>
                <w:highlight w:val="none"/>
              </w:rPr>
            </w:pPr>
            <w:r>
              <w:rPr>
                <w:rFonts w:hint="eastAsia" w:asciiTheme="minorEastAsia" w:hAnsiTheme="minorEastAsia" w:eastAsiaTheme="minorEastAsia"/>
                <w:b/>
                <w:color w:val="000000"/>
                <w:sz w:val="24"/>
                <w:highlight w:val="none"/>
              </w:rPr>
              <w:t>服务标准</w:t>
            </w:r>
          </w:p>
        </w:tc>
        <w:tc>
          <w:tcPr>
            <w:tcW w:w="851" w:type="dxa"/>
            <w:vAlign w:val="center"/>
          </w:tcPr>
          <w:p w14:paraId="61216017">
            <w:pPr>
              <w:spacing w:line="360" w:lineRule="auto"/>
              <w:jc w:val="center"/>
              <w:rPr>
                <w:rFonts w:hint="eastAsia" w:asciiTheme="minorEastAsia" w:hAnsiTheme="minorEastAsia" w:eastAsiaTheme="minorEastAsia"/>
                <w:b/>
                <w:color w:val="000000"/>
                <w:sz w:val="24"/>
                <w:highlight w:val="none"/>
              </w:rPr>
            </w:pPr>
            <w:r>
              <w:rPr>
                <w:rFonts w:hint="eastAsia" w:asciiTheme="minorEastAsia" w:hAnsiTheme="minorEastAsia" w:eastAsiaTheme="minorEastAsia"/>
                <w:b/>
                <w:color w:val="000000"/>
                <w:sz w:val="24"/>
                <w:highlight w:val="none"/>
              </w:rPr>
              <w:t>金额</w:t>
            </w:r>
          </w:p>
        </w:tc>
        <w:tc>
          <w:tcPr>
            <w:tcW w:w="1151" w:type="dxa"/>
            <w:vAlign w:val="center"/>
          </w:tcPr>
          <w:p w14:paraId="587036D6">
            <w:pPr>
              <w:spacing w:line="360" w:lineRule="auto"/>
              <w:ind w:firstLine="120"/>
              <w:jc w:val="center"/>
              <w:rPr>
                <w:rFonts w:hint="eastAsia" w:asciiTheme="minorEastAsia" w:hAnsiTheme="minorEastAsia" w:eastAsiaTheme="minorEastAsia"/>
                <w:b/>
                <w:color w:val="000000"/>
                <w:sz w:val="24"/>
                <w:highlight w:val="none"/>
              </w:rPr>
            </w:pPr>
            <w:r>
              <w:rPr>
                <w:rFonts w:hint="eastAsia" w:asciiTheme="minorEastAsia" w:hAnsiTheme="minorEastAsia" w:eastAsiaTheme="minorEastAsia"/>
                <w:b/>
                <w:color w:val="000000"/>
                <w:sz w:val="24"/>
                <w:highlight w:val="none"/>
              </w:rPr>
              <w:t>备注</w:t>
            </w:r>
          </w:p>
        </w:tc>
      </w:tr>
      <w:tr w14:paraId="5DF31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971" w:type="dxa"/>
            <w:vAlign w:val="center"/>
          </w:tcPr>
          <w:p w14:paraId="38575EE7">
            <w:pPr>
              <w:spacing w:line="360" w:lineRule="auto"/>
              <w:jc w:val="center"/>
              <w:rPr>
                <w:rFonts w:hint="eastAsia"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1</w:t>
            </w:r>
          </w:p>
        </w:tc>
        <w:tc>
          <w:tcPr>
            <w:tcW w:w="1321" w:type="dxa"/>
            <w:vAlign w:val="center"/>
          </w:tcPr>
          <w:p w14:paraId="0AE0A1CF">
            <w:pPr>
              <w:spacing w:line="360" w:lineRule="auto"/>
              <w:jc w:val="center"/>
              <w:rPr>
                <w:rFonts w:hint="eastAsia" w:asciiTheme="minorEastAsia" w:hAnsiTheme="minorEastAsia" w:eastAsiaTheme="minorEastAsia"/>
                <w:color w:val="000000"/>
                <w:sz w:val="24"/>
                <w:highlight w:val="none"/>
              </w:rPr>
            </w:pPr>
          </w:p>
        </w:tc>
        <w:tc>
          <w:tcPr>
            <w:tcW w:w="1417" w:type="dxa"/>
            <w:vAlign w:val="center"/>
          </w:tcPr>
          <w:p w14:paraId="66AC262A">
            <w:pPr>
              <w:spacing w:line="360" w:lineRule="auto"/>
              <w:jc w:val="center"/>
              <w:rPr>
                <w:rFonts w:hint="eastAsia" w:asciiTheme="minorEastAsia" w:hAnsiTheme="minorEastAsia" w:eastAsiaTheme="minorEastAsia"/>
                <w:color w:val="000000"/>
                <w:sz w:val="24"/>
                <w:highlight w:val="none"/>
              </w:rPr>
            </w:pPr>
          </w:p>
        </w:tc>
        <w:tc>
          <w:tcPr>
            <w:tcW w:w="1418" w:type="dxa"/>
            <w:vAlign w:val="center"/>
          </w:tcPr>
          <w:p w14:paraId="7540FA49">
            <w:pPr>
              <w:spacing w:line="360" w:lineRule="auto"/>
              <w:jc w:val="center"/>
              <w:rPr>
                <w:rFonts w:hint="eastAsia" w:asciiTheme="minorEastAsia" w:hAnsiTheme="minorEastAsia" w:eastAsiaTheme="minorEastAsia"/>
                <w:color w:val="000000"/>
                <w:sz w:val="24"/>
                <w:highlight w:val="none"/>
              </w:rPr>
            </w:pPr>
          </w:p>
        </w:tc>
        <w:tc>
          <w:tcPr>
            <w:tcW w:w="1275" w:type="dxa"/>
            <w:vAlign w:val="center"/>
          </w:tcPr>
          <w:p w14:paraId="58CECB56">
            <w:pPr>
              <w:spacing w:line="360" w:lineRule="auto"/>
              <w:jc w:val="center"/>
              <w:rPr>
                <w:rFonts w:hint="eastAsia" w:asciiTheme="minorEastAsia" w:hAnsiTheme="minorEastAsia" w:eastAsiaTheme="minorEastAsia"/>
                <w:color w:val="000000"/>
                <w:sz w:val="24"/>
                <w:highlight w:val="none"/>
              </w:rPr>
            </w:pPr>
          </w:p>
        </w:tc>
        <w:tc>
          <w:tcPr>
            <w:tcW w:w="1276" w:type="dxa"/>
            <w:vAlign w:val="center"/>
          </w:tcPr>
          <w:p w14:paraId="105B9629">
            <w:pPr>
              <w:spacing w:line="360" w:lineRule="auto"/>
              <w:jc w:val="center"/>
              <w:rPr>
                <w:rFonts w:hint="eastAsia" w:asciiTheme="minorEastAsia" w:hAnsiTheme="minorEastAsia" w:eastAsiaTheme="minorEastAsia"/>
                <w:color w:val="000000"/>
                <w:sz w:val="24"/>
                <w:highlight w:val="none"/>
              </w:rPr>
            </w:pPr>
          </w:p>
        </w:tc>
        <w:tc>
          <w:tcPr>
            <w:tcW w:w="851" w:type="dxa"/>
            <w:vAlign w:val="center"/>
          </w:tcPr>
          <w:p w14:paraId="249C564C">
            <w:pPr>
              <w:spacing w:line="360" w:lineRule="auto"/>
              <w:jc w:val="center"/>
              <w:rPr>
                <w:rFonts w:hint="eastAsia" w:asciiTheme="minorEastAsia" w:hAnsiTheme="minorEastAsia" w:eastAsiaTheme="minorEastAsia"/>
                <w:color w:val="000000"/>
                <w:sz w:val="24"/>
                <w:highlight w:val="none"/>
              </w:rPr>
            </w:pPr>
          </w:p>
        </w:tc>
        <w:tc>
          <w:tcPr>
            <w:tcW w:w="1151" w:type="dxa"/>
            <w:vAlign w:val="center"/>
          </w:tcPr>
          <w:p w14:paraId="1CA76C51">
            <w:pPr>
              <w:spacing w:line="360" w:lineRule="auto"/>
              <w:jc w:val="center"/>
              <w:rPr>
                <w:rFonts w:hint="eastAsia" w:asciiTheme="minorEastAsia" w:hAnsiTheme="minorEastAsia" w:eastAsiaTheme="minorEastAsia"/>
                <w:color w:val="000000"/>
                <w:sz w:val="24"/>
                <w:highlight w:val="none"/>
              </w:rPr>
            </w:pPr>
          </w:p>
        </w:tc>
      </w:tr>
      <w:tr w14:paraId="2A46D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971" w:type="dxa"/>
            <w:vAlign w:val="center"/>
          </w:tcPr>
          <w:p w14:paraId="51B5D341">
            <w:pPr>
              <w:spacing w:line="360" w:lineRule="auto"/>
              <w:jc w:val="center"/>
              <w:rPr>
                <w:rFonts w:hint="eastAsia"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2</w:t>
            </w:r>
          </w:p>
        </w:tc>
        <w:tc>
          <w:tcPr>
            <w:tcW w:w="1321" w:type="dxa"/>
            <w:vAlign w:val="center"/>
          </w:tcPr>
          <w:p w14:paraId="477633E3">
            <w:pPr>
              <w:spacing w:line="360" w:lineRule="auto"/>
              <w:jc w:val="center"/>
              <w:rPr>
                <w:rFonts w:hint="eastAsia" w:asciiTheme="minorEastAsia" w:hAnsiTheme="minorEastAsia" w:eastAsiaTheme="minorEastAsia"/>
                <w:color w:val="000000"/>
                <w:sz w:val="24"/>
                <w:highlight w:val="none"/>
              </w:rPr>
            </w:pPr>
          </w:p>
        </w:tc>
        <w:tc>
          <w:tcPr>
            <w:tcW w:w="1417" w:type="dxa"/>
            <w:vAlign w:val="center"/>
          </w:tcPr>
          <w:p w14:paraId="1CB16C0D">
            <w:pPr>
              <w:spacing w:line="360" w:lineRule="auto"/>
              <w:jc w:val="center"/>
              <w:rPr>
                <w:rFonts w:hint="eastAsia" w:asciiTheme="minorEastAsia" w:hAnsiTheme="minorEastAsia" w:eastAsiaTheme="minorEastAsia"/>
                <w:color w:val="000000"/>
                <w:sz w:val="24"/>
                <w:highlight w:val="none"/>
              </w:rPr>
            </w:pPr>
          </w:p>
        </w:tc>
        <w:tc>
          <w:tcPr>
            <w:tcW w:w="1418" w:type="dxa"/>
            <w:vAlign w:val="center"/>
          </w:tcPr>
          <w:p w14:paraId="5D8AE75E">
            <w:pPr>
              <w:spacing w:line="360" w:lineRule="auto"/>
              <w:jc w:val="center"/>
              <w:rPr>
                <w:rFonts w:hint="eastAsia" w:asciiTheme="minorEastAsia" w:hAnsiTheme="minorEastAsia" w:eastAsiaTheme="minorEastAsia"/>
                <w:color w:val="000000"/>
                <w:sz w:val="24"/>
                <w:highlight w:val="none"/>
              </w:rPr>
            </w:pPr>
          </w:p>
        </w:tc>
        <w:tc>
          <w:tcPr>
            <w:tcW w:w="1275" w:type="dxa"/>
            <w:vAlign w:val="center"/>
          </w:tcPr>
          <w:p w14:paraId="34DAE747">
            <w:pPr>
              <w:spacing w:line="360" w:lineRule="auto"/>
              <w:jc w:val="center"/>
              <w:rPr>
                <w:rFonts w:hint="eastAsia" w:asciiTheme="minorEastAsia" w:hAnsiTheme="minorEastAsia" w:eastAsiaTheme="minorEastAsia"/>
                <w:color w:val="000000"/>
                <w:sz w:val="24"/>
                <w:highlight w:val="none"/>
              </w:rPr>
            </w:pPr>
          </w:p>
        </w:tc>
        <w:tc>
          <w:tcPr>
            <w:tcW w:w="1276" w:type="dxa"/>
            <w:vAlign w:val="center"/>
          </w:tcPr>
          <w:p w14:paraId="4CE7585F">
            <w:pPr>
              <w:spacing w:line="360" w:lineRule="auto"/>
              <w:jc w:val="center"/>
              <w:rPr>
                <w:rFonts w:hint="eastAsia" w:asciiTheme="minorEastAsia" w:hAnsiTheme="minorEastAsia" w:eastAsiaTheme="minorEastAsia"/>
                <w:color w:val="000000"/>
                <w:sz w:val="24"/>
                <w:highlight w:val="none"/>
              </w:rPr>
            </w:pPr>
          </w:p>
        </w:tc>
        <w:tc>
          <w:tcPr>
            <w:tcW w:w="851" w:type="dxa"/>
            <w:vAlign w:val="center"/>
          </w:tcPr>
          <w:p w14:paraId="62361C96">
            <w:pPr>
              <w:spacing w:line="360" w:lineRule="auto"/>
              <w:jc w:val="center"/>
              <w:rPr>
                <w:rFonts w:hint="eastAsia" w:asciiTheme="minorEastAsia" w:hAnsiTheme="minorEastAsia" w:eastAsiaTheme="minorEastAsia"/>
                <w:color w:val="000000"/>
                <w:sz w:val="24"/>
                <w:highlight w:val="none"/>
              </w:rPr>
            </w:pPr>
          </w:p>
        </w:tc>
        <w:tc>
          <w:tcPr>
            <w:tcW w:w="1151" w:type="dxa"/>
            <w:vAlign w:val="center"/>
          </w:tcPr>
          <w:p w14:paraId="50F38BCB">
            <w:pPr>
              <w:spacing w:line="360" w:lineRule="auto"/>
              <w:jc w:val="center"/>
              <w:rPr>
                <w:rFonts w:hint="eastAsia" w:asciiTheme="minorEastAsia" w:hAnsiTheme="minorEastAsia" w:eastAsiaTheme="minorEastAsia"/>
                <w:color w:val="000000"/>
                <w:sz w:val="24"/>
                <w:highlight w:val="none"/>
              </w:rPr>
            </w:pPr>
          </w:p>
        </w:tc>
      </w:tr>
      <w:tr w14:paraId="11908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971" w:type="dxa"/>
            <w:vAlign w:val="center"/>
          </w:tcPr>
          <w:p w14:paraId="7B4359E1">
            <w:pPr>
              <w:spacing w:line="360" w:lineRule="auto"/>
              <w:jc w:val="center"/>
              <w:rPr>
                <w:rFonts w:hint="eastAsia"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3</w:t>
            </w:r>
          </w:p>
        </w:tc>
        <w:tc>
          <w:tcPr>
            <w:tcW w:w="1321" w:type="dxa"/>
            <w:vAlign w:val="center"/>
          </w:tcPr>
          <w:p w14:paraId="61DC1448">
            <w:pPr>
              <w:spacing w:line="360" w:lineRule="auto"/>
              <w:jc w:val="center"/>
              <w:rPr>
                <w:rFonts w:hint="eastAsia" w:asciiTheme="minorEastAsia" w:hAnsiTheme="minorEastAsia" w:eastAsiaTheme="minorEastAsia"/>
                <w:color w:val="000000"/>
                <w:sz w:val="24"/>
                <w:highlight w:val="none"/>
              </w:rPr>
            </w:pPr>
          </w:p>
        </w:tc>
        <w:tc>
          <w:tcPr>
            <w:tcW w:w="1417" w:type="dxa"/>
            <w:vAlign w:val="center"/>
          </w:tcPr>
          <w:p w14:paraId="5302FE9F">
            <w:pPr>
              <w:spacing w:line="360" w:lineRule="auto"/>
              <w:jc w:val="center"/>
              <w:rPr>
                <w:rFonts w:hint="eastAsia" w:asciiTheme="minorEastAsia" w:hAnsiTheme="minorEastAsia" w:eastAsiaTheme="minorEastAsia"/>
                <w:color w:val="000000"/>
                <w:sz w:val="24"/>
                <w:highlight w:val="none"/>
              </w:rPr>
            </w:pPr>
          </w:p>
        </w:tc>
        <w:tc>
          <w:tcPr>
            <w:tcW w:w="1418" w:type="dxa"/>
            <w:vAlign w:val="center"/>
          </w:tcPr>
          <w:p w14:paraId="34EF0C41">
            <w:pPr>
              <w:spacing w:line="360" w:lineRule="auto"/>
              <w:jc w:val="center"/>
              <w:rPr>
                <w:rFonts w:hint="eastAsia" w:asciiTheme="minorEastAsia" w:hAnsiTheme="minorEastAsia" w:eastAsiaTheme="minorEastAsia"/>
                <w:color w:val="000000"/>
                <w:sz w:val="24"/>
                <w:highlight w:val="none"/>
              </w:rPr>
            </w:pPr>
          </w:p>
        </w:tc>
        <w:tc>
          <w:tcPr>
            <w:tcW w:w="1275" w:type="dxa"/>
            <w:vAlign w:val="center"/>
          </w:tcPr>
          <w:p w14:paraId="51B5E211">
            <w:pPr>
              <w:spacing w:line="360" w:lineRule="auto"/>
              <w:jc w:val="center"/>
              <w:rPr>
                <w:rFonts w:hint="eastAsia" w:asciiTheme="minorEastAsia" w:hAnsiTheme="minorEastAsia" w:eastAsiaTheme="minorEastAsia"/>
                <w:color w:val="000000"/>
                <w:sz w:val="24"/>
                <w:highlight w:val="none"/>
              </w:rPr>
            </w:pPr>
          </w:p>
        </w:tc>
        <w:tc>
          <w:tcPr>
            <w:tcW w:w="1276" w:type="dxa"/>
            <w:vAlign w:val="center"/>
          </w:tcPr>
          <w:p w14:paraId="49AE98D1">
            <w:pPr>
              <w:spacing w:line="360" w:lineRule="auto"/>
              <w:jc w:val="center"/>
              <w:rPr>
                <w:rFonts w:hint="eastAsia" w:asciiTheme="minorEastAsia" w:hAnsiTheme="minorEastAsia" w:eastAsiaTheme="minorEastAsia"/>
                <w:color w:val="000000"/>
                <w:sz w:val="24"/>
                <w:highlight w:val="none"/>
              </w:rPr>
            </w:pPr>
          </w:p>
        </w:tc>
        <w:tc>
          <w:tcPr>
            <w:tcW w:w="851" w:type="dxa"/>
            <w:vAlign w:val="center"/>
          </w:tcPr>
          <w:p w14:paraId="4A296051">
            <w:pPr>
              <w:spacing w:line="360" w:lineRule="auto"/>
              <w:jc w:val="center"/>
              <w:rPr>
                <w:rFonts w:hint="eastAsia" w:asciiTheme="minorEastAsia" w:hAnsiTheme="minorEastAsia" w:eastAsiaTheme="minorEastAsia"/>
                <w:color w:val="000000"/>
                <w:sz w:val="24"/>
                <w:highlight w:val="none"/>
              </w:rPr>
            </w:pPr>
          </w:p>
        </w:tc>
        <w:tc>
          <w:tcPr>
            <w:tcW w:w="1151" w:type="dxa"/>
            <w:vAlign w:val="center"/>
          </w:tcPr>
          <w:p w14:paraId="3060EDD3">
            <w:pPr>
              <w:spacing w:line="360" w:lineRule="auto"/>
              <w:jc w:val="center"/>
              <w:rPr>
                <w:rFonts w:hint="eastAsia" w:asciiTheme="minorEastAsia" w:hAnsiTheme="minorEastAsia" w:eastAsiaTheme="minorEastAsia"/>
                <w:color w:val="000000"/>
                <w:sz w:val="24"/>
                <w:highlight w:val="none"/>
              </w:rPr>
            </w:pPr>
          </w:p>
        </w:tc>
      </w:tr>
      <w:tr w14:paraId="66C0E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971" w:type="dxa"/>
            <w:vAlign w:val="center"/>
          </w:tcPr>
          <w:p w14:paraId="71C2E519">
            <w:pPr>
              <w:spacing w:line="360" w:lineRule="auto"/>
              <w:jc w:val="center"/>
              <w:rPr>
                <w:rFonts w:hint="eastAsia"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4</w:t>
            </w:r>
          </w:p>
        </w:tc>
        <w:tc>
          <w:tcPr>
            <w:tcW w:w="1321" w:type="dxa"/>
            <w:vAlign w:val="center"/>
          </w:tcPr>
          <w:p w14:paraId="5CDBEABD">
            <w:pPr>
              <w:spacing w:line="360" w:lineRule="auto"/>
              <w:jc w:val="center"/>
              <w:rPr>
                <w:rFonts w:hint="eastAsia" w:asciiTheme="minorEastAsia" w:hAnsiTheme="minorEastAsia" w:eastAsiaTheme="minorEastAsia"/>
                <w:color w:val="000000"/>
                <w:sz w:val="24"/>
                <w:highlight w:val="none"/>
              </w:rPr>
            </w:pPr>
          </w:p>
        </w:tc>
        <w:tc>
          <w:tcPr>
            <w:tcW w:w="1417" w:type="dxa"/>
            <w:vAlign w:val="center"/>
          </w:tcPr>
          <w:p w14:paraId="7BC93BD5">
            <w:pPr>
              <w:spacing w:line="360" w:lineRule="auto"/>
              <w:jc w:val="center"/>
              <w:rPr>
                <w:rFonts w:hint="eastAsia" w:asciiTheme="minorEastAsia" w:hAnsiTheme="minorEastAsia" w:eastAsiaTheme="minorEastAsia"/>
                <w:color w:val="000000"/>
                <w:sz w:val="24"/>
                <w:highlight w:val="none"/>
              </w:rPr>
            </w:pPr>
          </w:p>
        </w:tc>
        <w:tc>
          <w:tcPr>
            <w:tcW w:w="1418" w:type="dxa"/>
            <w:vAlign w:val="center"/>
          </w:tcPr>
          <w:p w14:paraId="72095F26">
            <w:pPr>
              <w:spacing w:line="360" w:lineRule="auto"/>
              <w:jc w:val="center"/>
              <w:rPr>
                <w:rFonts w:hint="eastAsia" w:asciiTheme="minorEastAsia" w:hAnsiTheme="minorEastAsia" w:eastAsiaTheme="minorEastAsia"/>
                <w:color w:val="000000"/>
                <w:sz w:val="24"/>
                <w:highlight w:val="none"/>
              </w:rPr>
            </w:pPr>
          </w:p>
        </w:tc>
        <w:tc>
          <w:tcPr>
            <w:tcW w:w="1275" w:type="dxa"/>
            <w:vAlign w:val="center"/>
          </w:tcPr>
          <w:p w14:paraId="6C942FE9">
            <w:pPr>
              <w:spacing w:line="360" w:lineRule="auto"/>
              <w:jc w:val="center"/>
              <w:rPr>
                <w:rFonts w:hint="eastAsia" w:asciiTheme="minorEastAsia" w:hAnsiTheme="minorEastAsia" w:eastAsiaTheme="minorEastAsia"/>
                <w:color w:val="000000"/>
                <w:sz w:val="24"/>
                <w:highlight w:val="none"/>
              </w:rPr>
            </w:pPr>
          </w:p>
        </w:tc>
        <w:tc>
          <w:tcPr>
            <w:tcW w:w="1276" w:type="dxa"/>
            <w:vAlign w:val="center"/>
          </w:tcPr>
          <w:p w14:paraId="0BFEE845">
            <w:pPr>
              <w:spacing w:line="360" w:lineRule="auto"/>
              <w:jc w:val="center"/>
              <w:rPr>
                <w:rFonts w:hint="eastAsia" w:asciiTheme="minorEastAsia" w:hAnsiTheme="minorEastAsia" w:eastAsiaTheme="minorEastAsia"/>
                <w:color w:val="000000"/>
                <w:sz w:val="24"/>
                <w:highlight w:val="none"/>
              </w:rPr>
            </w:pPr>
          </w:p>
        </w:tc>
        <w:tc>
          <w:tcPr>
            <w:tcW w:w="851" w:type="dxa"/>
            <w:vAlign w:val="center"/>
          </w:tcPr>
          <w:p w14:paraId="4D2164D3">
            <w:pPr>
              <w:spacing w:line="360" w:lineRule="auto"/>
              <w:jc w:val="center"/>
              <w:rPr>
                <w:rFonts w:hint="eastAsia" w:asciiTheme="minorEastAsia" w:hAnsiTheme="minorEastAsia" w:eastAsiaTheme="minorEastAsia"/>
                <w:color w:val="000000"/>
                <w:sz w:val="24"/>
                <w:highlight w:val="none"/>
              </w:rPr>
            </w:pPr>
          </w:p>
        </w:tc>
        <w:tc>
          <w:tcPr>
            <w:tcW w:w="1151" w:type="dxa"/>
            <w:vAlign w:val="center"/>
          </w:tcPr>
          <w:p w14:paraId="1525D09E">
            <w:pPr>
              <w:spacing w:line="360" w:lineRule="auto"/>
              <w:jc w:val="center"/>
              <w:rPr>
                <w:rFonts w:hint="eastAsia" w:asciiTheme="minorEastAsia" w:hAnsiTheme="minorEastAsia" w:eastAsiaTheme="minorEastAsia"/>
                <w:color w:val="000000"/>
                <w:sz w:val="24"/>
                <w:highlight w:val="none"/>
              </w:rPr>
            </w:pPr>
          </w:p>
        </w:tc>
      </w:tr>
      <w:tr w14:paraId="63E46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971" w:type="dxa"/>
            <w:vAlign w:val="center"/>
          </w:tcPr>
          <w:p w14:paraId="119DE1CB">
            <w:pPr>
              <w:spacing w:line="360" w:lineRule="auto"/>
              <w:jc w:val="center"/>
              <w:rPr>
                <w:rFonts w:hint="eastAsia" w:asciiTheme="minorEastAsia" w:hAnsiTheme="minorEastAsia" w:eastAsiaTheme="minorEastAsia"/>
                <w:color w:val="000000"/>
                <w:sz w:val="24"/>
                <w:highlight w:val="none"/>
              </w:rPr>
            </w:pPr>
          </w:p>
        </w:tc>
        <w:tc>
          <w:tcPr>
            <w:tcW w:w="1321" w:type="dxa"/>
            <w:vAlign w:val="center"/>
          </w:tcPr>
          <w:p w14:paraId="70EBE536">
            <w:pPr>
              <w:spacing w:line="360" w:lineRule="auto"/>
              <w:jc w:val="center"/>
              <w:rPr>
                <w:rFonts w:hint="eastAsia" w:asciiTheme="minorEastAsia" w:hAnsiTheme="minorEastAsia" w:eastAsiaTheme="minorEastAsia"/>
                <w:color w:val="000000"/>
                <w:sz w:val="24"/>
                <w:highlight w:val="none"/>
              </w:rPr>
            </w:pPr>
          </w:p>
        </w:tc>
        <w:tc>
          <w:tcPr>
            <w:tcW w:w="1417" w:type="dxa"/>
            <w:vAlign w:val="center"/>
          </w:tcPr>
          <w:p w14:paraId="24C538DD">
            <w:pPr>
              <w:spacing w:line="360" w:lineRule="auto"/>
              <w:jc w:val="center"/>
              <w:rPr>
                <w:rFonts w:hint="eastAsia" w:asciiTheme="minorEastAsia" w:hAnsiTheme="minorEastAsia" w:eastAsiaTheme="minorEastAsia"/>
                <w:color w:val="000000"/>
                <w:sz w:val="24"/>
                <w:highlight w:val="none"/>
              </w:rPr>
            </w:pPr>
          </w:p>
        </w:tc>
        <w:tc>
          <w:tcPr>
            <w:tcW w:w="1418" w:type="dxa"/>
            <w:vAlign w:val="center"/>
          </w:tcPr>
          <w:p w14:paraId="3D232DA8">
            <w:pPr>
              <w:spacing w:line="360" w:lineRule="auto"/>
              <w:jc w:val="center"/>
              <w:rPr>
                <w:rFonts w:hint="eastAsia" w:asciiTheme="minorEastAsia" w:hAnsiTheme="minorEastAsia" w:eastAsiaTheme="minorEastAsia"/>
                <w:color w:val="000000"/>
                <w:sz w:val="24"/>
                <w:highlight w:val="none"/>
              </w:rPr>
            </w:pPr>
          </w:p>
        </w:tc>
        <w:tc>
          <w:tcPr>
            <w:tcW w:w="1275" w:type="dxa"/>
            <w:vAlign w:val="center"/>
          </w:tcPr>
          <w:p w14:paraId="099B68CA">
            <w:pPr>
              <w:spacing w:line="360" w:lineRule="auto"/>
              <w:jc w:val="center"/>
              <w:rPr>
                <w:rFonts w:hint="eastAsia" w:asciiTheme="minorEastAsia" w:hAnsiTheme="minorEastAsia" w:eastAsiaTheme="minorEastAsia"/>
                <w:color w:val="000000"/>
                <w:sz w:val="24"/>
                <w:highlight w:val="none"/>
              </w:rPr>
            </w:pPr>
          </w:p>
        </w:tc>
        <w:tc>
          <w:tcPr>
            <w:tcW w:w="1276" w:type="dxa"/>
            <w:vAlign w:val="center"/>
          </w:tcPr>
          <w:p w14:paraId="2A0FD04C">
            <w:pPr>
              <w:spacing w:line="360" w:lineRule="auto"/>
              <w:jc w:val="center"/>
              <w:rPr>
                <w:rFonts w:hint="eastAsia" w:asciiTheme="minorEastAsia" w:hAnsiTheme="minorEastAsia" w:eastAsiaTheme="minorEastAsia"/>
                <w:color w:val="000000"/>
                <w:sz w:val="24"/>
                <w:highlight w:val="none"/>
              </w:rPr>
            </w:pPr>
          </w:p>
        </w:tc>
        <w:tc>
          <w:tcPr>
            <w:tcW w:w="851" w:type="dxa"/>
            <w:vAlign w:val="center"/>
          </w:tcPr>
          <w:p w14:paraId="3BB6AEF4">
            <w:pPr>
              <w:spacing w:line="360" w:lineRule="auto"/>
              <w:jc w:val="center"/>
              <w:rPr>
                <w:rFonts w:hint="eastAsia" w:asciiTheme="minorEastAsia" w:hAnsiTheme="minorEastAsia" w:eastAsiaTheme="minorEastAsia"/>
                <w:color w:val="000000"/>
                <w:sz w:val="24"/>
                <w:highlight w:val="none"/>
              </w:rPr>
            </w:pPr>
          </w:p>
        </w:tc>
        <w:tc>
          <w:tcPr>
            <w:tcW w:w="1151" w:type="dxa"/>
            <w:vAlign w:val="center"/>
          </w:tcPr>
          <w:p w14:paraId="6A629B15">
            <w:pPr>
              <w:spacing w:line="360" w:lineRule="auto"/>
              <w:jc w:val="center"/>
              <w:rPr>
                <w:rFonts w:hint="eastAsia" w:asciiTheme="minorEastAsia" w:hAnsiTheme="minorEastAsia" w:eastAsiaTheme="minorEastAsia"/>
                <w:color w:val="000000"/>
                <w:sz w:val="24"/>
                <w:highlight w:val="none"/>
              </w:rPr>
            </w:pPr>
          </w:p>
        </w:tc>
      </w:tr>
      <w:tr w14:paraId="210E3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971" w:type="dxa"/>
            <w:vAlign w:val="center"/>
          </w:tcPr>
          <w:p w14:paraId="4CB69452">
            <w:pPr>
              <w:spacing w:line="360" w:lineRule="auto"/>
              <w:jc w:val="center"/>
              <w:rPr>
                <w:rFonts w:hint="eastAsia"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合计</w:t>
            </w:r>
          </w:p>
        </w:tc>
        <w:tc>
          <w:tcPr>
            <w:tcW w:w="8709" w:type="dxa"/>
            <w:gridSpan w:val="7"/>
            <w:vAlign w:val="center"/>
          </w:tcPr>
          <w:p w14:paraId="1364E768">
            <w:pPr>
              <w:spacing w:line="360" w:lineRule="auto"/>
              <w:jc w:val="center"/>
              <w:rPr>
                <w:rFonts w:hint="eastAsia" w:asciiTheme="minorEastAsia" w:hAnsiTheme="minorEastAsia" w:eastAsiaTheme="minorEastAsia"/>
                <w:color w:val="000000"/>
                <w:sz w:val="24"/>
                <w:highlight w:val="none"/>
              </w:rPr>
            </w:pPr>
          </w:p>
        </w:tc>
      </w:tr>
    </w:tbl>
    <w:p w14:paraId="3A5C099D">
      <w:pPr>
        <w:spacing w:line="300" w:lineRule="auto"/>
        <w:outlineLvl w:val="0"/>
        <w:rPr>
          <w:rFonts w:hint="eastAsia" w:cs="宋体" w:asciiTheme="minorEastAsia" w:hAnsiTheme="minorEastAsia" w:eastAsiaTheme="minorEastAsia"/>
          <w:b/>
          <w:sz w:val="28"/>
          <w:szCs w:val="28"/>
          <w:highlight w:val="none"/>
          <w:lang w:val="zh-CN"/>
        </w:rPr>
      </w:pPr>
    </w:p>
    <w:p w14:paraId="77E99922">
      <w:pPr>
        <w:pStyle w:val="231"/>
        <w:rPr>
          <w:rFonts w:hint="eastAsia" w:asciiTheme="minorEastAsia" w:hAnsiTheme="minorEastAsia" w:eastAsiaTheme="minorEastAsia"/>
          <w:highlight w:val="none"/>
          <w:lang w:val="zh-CN"/>
        </w:rPr>
      </w:pPr>
    </w:p>
    <w:p w14:paraId="57A4AA08">
      <w:pPr>
        <w:spacing w:line="360" w:lineRule="auto"/>
        <w:ind w:firstLine="480"/>
        <w:jc w:val="left"/>
        <w:rPr>
          <w:rFonts w:hint="eastAsia" w:cs="宋体" w:asciiTheme="minorEastAsia" w:hAnsiTheme="minorEastAsia" w:eastAsiaTheme="minorEastAsia"/>
          <w:sz w:val="24"/>
          <w:szCs w:val="24"/>
          <w:highlight w:val="none"/>
        </w:rPr>
      </w:pPr>
    </w:p>
    <w:p w14:paraId="631BD856">
      <w:pPr>
        <w:pStyle w:val="23"/>
        <w:rPr>
          <w:highlight w:val="none"/>
        </w:rPr>
      </w:pPr>
    </w:p>
    <w:p w14:paraId="3E473681">
      <w:pPr>
        <w:pStyle w:val="23"/>
        <w:rPr>
          <w:highlight w:val="none"/>
        </w:rPr>
      </w:pPr>
    </w:p>
    <w:p w14:paraId="4D02D5D8">
      <w:pPr>
        <w:pStyle w:val="23"/>
        <w:rPr>
          <w:highlight w:val="none"/>
        </w:rPr>
      </w:pPr>
    </w:p>
    <w:p w14:paraId="00D2974A">
      <w:pPr>
        <w:pStyle w:val="23"/>
        <w:rPr>
          <w:highlight w:val="none"/>
        </w:rPr>
      </w:pPr>
    </w:p>
    <w:p w14:paraId="2A02A0DD">
      <w:pPr>
        <w:pStyle w:val="23"/>
        <w:rPr>
          <w:highlight w:val="none"/>
        </w:rPr>
      </w:pPr>
    </w:p>
    <w:p w14:paraId="41E213DB">
      <w:pPr>
        <w:pStyle w:val="23"/>
        <w:rPr>
          <w:highlight w:val="none"/>
        </w:rPr>
      </w:pPr>
    </w:p>
    <w:p w14:paraId="1920882C">
      <w:pPr>
        <w:pStyle w:val="23"/>
        <w:rPr>
          <w:highlight w:val="none"/>
        </w:rPr>
      </w:pPr>
    </w:p>
    <w:p w14:paraId="1014C66C">
      <w:pPr>
        <w:pStyle w:val="23"/>
        <w:rPr>
          <w:highlight w:val="none"/>
        </w:rPr>
      </w:pPr>
    </w:p>
    <w:p w14:paraId="080CC6D3">
      <w:pPr>
        <w:pStyle w:val="23"/>
        <w:rPr>
          <w:highlight w:val="none"/>
        </w:rPr>
      </w:pPr>
    </w:p>
    <w:p w14:paraId="6D3438DC">
      <w:pPr>
        <w:pStyle w:val="23"/>
        <w:rPr>
          <w:highlight w:val="none"/>
        </w:rPr>
      </w:pPr>
    </w:p>
    <w:p w14:paraId="07763035">
      <w:pPr>
        <w:pStyle w:val="23"/>
        <w:rPr>
          <w:highlight w:val="none"/>
        </w:rPr>
      </w:pPr>
    </w:p>
    <w:p w14:paraId="5C242477">
      <w:pPr>
        <w:pStyle w:val="23"/>
        <w:rPr>
          <w:highlight w:val="none"/>
        </w:rPr>
      </w:pPr>
    </w:p>
    <w:p w14:paraId="7197C072">
      <w:pPr>
        <w:spacing w:line="360" w:lineRule="auto"/>
        <w:ind w:firstLine="480"/>
        <w:jc w:val="left"/>
        <w:rPr>
          <w:rFonts w:hint="eastAsia" w:ascii="宋体" w:hAnsi="宋体" w:cs="宋体"/>
          <w:sz w:val="24"/>
          <w:szCs w:val="24"/>
          <w:highlight w:val="none"/>
        </w:rPr>
      </w:pPr>
    </w:p>
    <w:p w14:paraId="65BEBFBC">
      <w:pPr>
        <w:spacing w:line="360" w:lineRule="auto"/>
        <w:ind w:firstLine="480"/>
        <w:jc w:val="left"/>
        <w:rPr>
          <w:rFonts w:hint="eastAsia" w:ascii="宋体" w:hAnsi="宋体" w:cs="宋体"/>
          <w:sz w:val="24"/>
          <w:szCs w:val="24"/>
          <w:highlight w:val="none"/>
        </w:rPr>
      </w:pPr>
    </w:p>
    <w:p w14:paraId="61CE85E8">
      <w:pPr>
        <w:spacing w:line="360" w:lineRule="auto"/>
        <w:ind w:firstLine="480"/>
        <w:jc w:val="left"/>
        <w:rPr>
          <w:rFonts w:hint="eastAsia" w:ascii="宋体" w:hAnsi="宋体" w:cs="宋体"/>
          <w:sz w:val="24"/>
          <w:szCs w:val="24"/>
          <w:highlight w:val="none"/>
        </w:rPr>
      </w:pPr>
    </w:p>
    <w:p w14:paraId="4AF403BA">
      <w:pPr>
        <w:spacing w:line="360" w:lineRule="auto"/>
        <w:ind w:firstLine="480"/>
        <w:jc w:val="left"/>
        <w:rPr>
          <w:rFonts w:hint="eastAsia" w:ascii="宋体" w:hAnsi="宋体" w:cs="宋体"/>
          <w:sz w:val="24"/>
          <w:szCs w:val="24"/>
          <w:highlight w:val="none"/>
        </w:rPr>
      </w:pPr>
      <w:r>
        <w:rPr>
          <w:rFonts w:hint="eastAsia" w:ascii="宋体" w:hAnsi="宋体" w:cs="宋体"/>
          <w:sz w:val="24"/>
          <w:szCs w:val="24"/>
          <w:highlight w:val="none"/>
        </w:rPr>
        <w:t>附件12</w:t>
      </w:r>
    </w:p>
    <w:p w14:paraId="0E3FC65F">
      <w:pPr>
        <w:spacing w:line="360" w:lineRule="auto"/>
        <w:ind w:firstLine="482"/>
        <w:jc w:val="center"/>
        <w:rPr>
          <w:rFonts w:hint="eastAsia" w:ascii="宋体" w:hAnsi="宋体" w:cs="宋体"/>
          <w:b/>
          <w:sz w:val="24"/>
          <w:szCs w:val="24"/>
          <w:highlight w:val="none"/>
        </w:rPr>
      </w:pPr>
      <w:r>
        <w:rPr>
          <w:rFonts w:hint="eastAsia" w:ascii="宋体" w:hAnsi="宋体" w:cs="宋体"/>
          <w:b/>
          <w:sz w:val="24"/>
          <w:szCs w:val="24"/>
          <w:highlight w:val="none"/>
        </w:rPr>
        <w:t>供应商信用承诺书</w:t>
      </w:r>
    </w:p>
    <w:p w14:paraId="3FA9EF25">
      <w:pPr>
        <w:spacing w:line="360" w:lineRule="auto"/>
        <w:ind w:firstLine="480"/>
        <w:rPr>
          <w:rFonts w:hint="eastAsia" w:ascii="宋体" w:hAnsi="宋体" w:cs="宋体"/>
          <w:sz w:val="24"/>
          <w:szCs w:val="24"/>
          <w:highlight w:val="none"/>
          <w:lang w:val="zh-CN"/>
        </w:rPr>
      </w:pPr>
      <w:r>
        <w:rPr>
          <w:rFonts w:hint="eastAsia" w:ascii="宋体" w:hAnsi="宋体" w:cs="宋体"/>
          <w:sz w:val="24"/>
          <w:szCs w:val="24"/>
          <w:highlight w:val="none"/>
          <w:lang w:val="zh-CN"/>
        </w:rPr>
        <w:t>为营造公开、公平、公正的公共资源交易环境，树立诚信守法的投标供应商形象，本人代表本单位作出以下承诺：</w:t>
      </w:r>
    </w:p>
    <w:p w14:paraId="754846F7">
      <w:pPr>
        <w:spacing w:line="360" w:lineRule="auto"/>
        <w:ind w:firstLine="480"/>
        <w:rPr>
          <w:rFonts w:hint="eastAsia" w:ascii="宋体" w:hAnsi="宋体" w:cs="宋体"/>
          <w:sz w:val="24"/>
          <w:szCs w:val="24"/>
          <w:highlight w:val="none"/>
          <w:lang w:val="zh-CN"/>
        </w:rPr>
      </w:pPr>
      <w:r>
        <w:rPr>
          <w:rFonts w:hint="eastAsia" w:ascii="宋体" w:hAnsi="宋体" w:cs="宋体"/>
          <w:sz w:val="24"/>
          <w:szCs w:val="24"/>
          <w:highlight w:val="none"/>
          <w:lang w:val="zh-CN"/>
        </w:rPr>
        <w:t>一、本单位对所提交的单位基本信息、单位负责人、项目负责人、技术负责人、从业资质和资格、业绩、财务状况、信誉等所有资料，均合法、真实、准确、有效，无任何伪造、修改、虚假成分；</w:t>
      </w:r>
    </w:p>
    <w:p w14:paraId="70D75A7A">
      <w:pPr>
        <w:spacing w:line="360" w:lineRule="auto"/>
        <w:ind w:firstLine="480"/>
        <w:rPr>
          <w:rFonts w:hint="eastAsia" w:ascii="宋体" w:hAnsi="宋体" w:cs="宋体"/>
          <w:sz w:val="24"/>
          <w:szCs w:val="24"/>
          <w:highlight w:val="none"/>
          <w:lang w:val="zh-CN"/>
        </w:rPr>
      </w:pPr>
      <w:r>
        <w:rPr>
          <w:rFonts w:hint="eastAsia" w:ascii="宋体" w:hAnsi="宋体" w:cs="宋体"/>
          <w:sz w:val="24"/>
          <w:szCs w:val="24"/>
          <w:highlight w:val="none"/>
          <w:lang w:val="zh-CN"/>
        </w:rPr>
        <w:t>二、严格依照国家和省、市、县关于政府采购等方面的法律、法规、规章、规范性文件，参加公共资源交易招标投标活动；积极履行社会责任，促进廉政建设；</w:t>
      </w:r>
    </w:p>
    <w:p w14:paraId="10B6F821">
      <w:pPr>
        <w:spacing w:line="360" w:lineRule="auto"/>
        <w:ind w:firstLine="480"/>
        <w:rPr>
          <w:rFonts w:hint="eastAsia" w:ascii="宋体" w:hAnsi="宋体" w:cs="宋体"/>
          <w:sz w:val="24"/>
          <w:szCs w:val="24"/>
          <w:highlight w:val="none"/>
          <w:lang w:val="zh-CN"/>
        </w:rPr>
      </w:pPr>
      <w:r>
        <w:rPr>
          <w:rFonts w:hint="eastAsia" w:ascii="宋体" w:hAnsi="宋体" w:cs="宋体"/>
          <w:sz w:val="24"/>
          <w:szCs w:val="24"/>
          <w:highlight w:val="none"/>
          <w:lang w:val="zh-CN"/>
        </w:rPr>
        <w:t>三、严格遵守即时信息公示规定，及时更新公共资源交易中心主体信息库中信息；</w:t>
      </w:r>
    </w:p>
    <w:p w14:paraId="5659BC90">
      <w:pPr>
        <w:spacing w:line="360" w:lineRule="auto"/>
        <w:ind w:firstLine="480"/>
        <w:rPr>
          <w:rFonts w:hint="eastAsia" w:ascii="宋体" w:hAnsi="宋体" w:cs="宋体"/>
          <w:sz w:val="24"/>
          <w:szCs w:val="24"/>
          <w:highlight w:val="none"/>
          <w:lang w:val="zh-CN"/>
        </w:rPr>
      </w:pPr>
      <w:r>
        <w:rPr>
          <w:rFonts w:hint="eastAsia" w:ascii="宋体" w:hAnsi="宋体" w:cs="宋体"/>
          <w:sz w:val="24"/>
          <w:szCs w:val="24"/>
          <w:highlight w:val="none"/>
          <w:lang w:val="zh-CN"/>
        </w:rPr>
        <w:t>四、自我约束、自我管理，守合同、重信用，不参与围标串标、弄虚作假、骗取中标、干扰评标、违约毁约、恶意投诉等行为，主动维护公共资源交易招标投标的良好秩序；</w:t>
      </w:r>
    </w:p>
    <w:p w14:paraId="4BA3D174">
      <w:pPr>
        <w:spacing w:line="360" w:lineRule="auto"/>
        <w:ind w:firstLine="480"/>
        <w:rPr>
          <w:rFonts w:hint="eastAsia" w:ascii="宋体" w:hAnsi="宋体" w:cs="宋体"/>
          <w:sz w:val="24"/>
          <w:szCs w:val="24"/>
          <w:highlight w:val="none"/>
          <w:lang w:val="zh-CN"/>
        </w:rPr>
      </w:pPr>
      <w:r>
        <w:rPr>
          <w:rFonts w:hint="eastAsia" w:ascii="宋体" w:hAnsi="宋体" w:cs="宋体"/>
          <w:sz w:val="24"/>
          <w:szCs w:val="24"/>
          <w:highlight w:val="none"/>
          <w:lang w:val="zh-CN"/>
        </w:rPr>
        <w:t>五、本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66A7339E">
      <w:pPr>
        <w:spacing w:line="360" w:lineRule="auto"/>
        <w:ind w:firstLine="480"/>
        <w:rPr>
          <w:rFonts w:hint="eastAsia" w:ascii="宋体" w:hAnsi="宋体" w:cs="宋体"/>
          <w:sz w:val="24"/>
          <w:szCs w:val="24"/>
          <w:highlight w:val="none"/>
          <w:lang w:val="zh-CN"/>
        </w:rPr>
      </w:pPr>
      <w:r>
        <w:rPr>
          <w:rFonts w:hint="eastAsia" w:ascii="宋体" w:hAnsi="宋体" w:cs="宋体"/>
          <w:sz w:val="24"/>
          <w:szCs w:val="24"/>
          <w:highlight w:val="none"/>
          <w:lang w:val="zh-CN"/>
        </w:rPr>
        <w:t>六、自觉接受政府部门、行业组织、社会公众、新闻舆论等监督；</w:t>
      </w:r>
    </w:p>
    <w:p w14:paraId="3774247E">
      <w:pPr>
        <w:spacing w:line="360" w:lineRule="auto"/>
        <w:ind w:firstLine="480"/>
        <w:rPr>
          <w:rFonts w:hint="eastAsia" w:ascii="宋体" w:hAnsi="宋体" w:cs="宋体"/>
          <w:sz w:val="24"/>
          <w:szCs w:val="24"/>
          <w:highlight w:val="none"/>
          <w:lang w:val="zh-CN"/>
        </w:rPr>
      </w:pPr>
      <w:r>
        <w:rPr>
          <w:rFonts w:hint="eastAsia" w:ascii="宋体" w:hAnsi="宋体" w:cs="宋体"/>
          <w:sz w:val="24"/>
          <w:szCs w:val="24"/>
          <w:highlight w:val="none"/>
          <w:lang w:val="zh-CN"/>
        </w:rPr>
        <w:t>七、上述承诺已向本单位员工作了宣传教育；</w:t>
      </w:r>
    </w:p>
    <w:p w14:paraId="7DA8C56B">
      <w:pPr>
        <w:tabs>
          <w:tab w:val="left" w:pos="4860"/>
        </w:tabs>
        <w:spacing w:line="360" w:lineRule="auto"/>
        <w:ind w:firstLine="482"/>
        <w:jc w:val="left"/>
        <w:rPr>
          <w:rFonts w:hint="eastAsia" w:ascii="宋体" w:hAnsi="宋体" w:cs="宋体"/>
          <w:b/>
          <w:sz w:val="24"/>
          <w:szCs w:val="24"/>
          <w:highlight w:val="none"/>
          <w:lang w:val="zh-CN"/>
        </w:rPr>
      </w:pPr>
      <w:r>
        <w:rPr>
          <w:rFonts w:hint="eastAsia" w:ascii="宋体" w:hAnsi="宋体" w:cs="宋体"/>
          <w:b/>
          <w:sz w:val="24"/>
          <w:szCs w:val="24"/>
          <w:highlight w:val="none"/>
          <w:lang w:val="zh-CN"/>
        </w:rPr>
        <w:t>如有违反上述承诺的不良行为，本单位同意将其予以上网公示。</w:t>
      </w:r>
    </w:p>
    <w:p w14:paraId="4EAA9D4B">
      <w:pPr>
        <w:spacing w:line="360" w:lineRule="auto"/>
        <w:ind w:firstLine="480"/>
        <w:rPr>
          <w:rFonts w:hint="eastAsia" w:ascii="宋体" w:hAnsi="宋体" w:cs="宋体"/>
          <w:sz w:val="24"/>
          <w:szCs w:val="24"/>
          <w:highlight w:val="none"/>
        </w:rPr>
      </w:pPr>
    </w:p>
    <w:p w14:paraId="0261372B">
      <w:pPr>
        <w:spacing w:line="360" w:lineRule="auto"/>
        <w:ind w:firstLine="480"/>
        <w:rPr>
          <w:rFonts w:hint="eastAsia" w:ascii="宋体" w:hAnsi="宋体" w:cs="宋体"/>
          <w:sz w:val="24"/>
          <w:szCs w:val="24"/>
          <w:highlight w:val="none"/>
          <w:u w:val="single"/>
          <w:lang w:val="zh-CN"/>
        </w:rPr>
      </w:pPr>
      <w:r>
        <w:rPr>
          <w:rFonts w:hint="eastAsia" w:ascii="宋体" w:hAnsi="宋体" w:cs="宋体"/>
          <w:sz w:val="24"/>
          <w:szCs w:val="24"/>
          <w:highlight w:val="none"/>
          <w:lang w:val="zh-CN"/>
        </w:rPr>
        <w:t>投标供应商全称(盖公章)：</w:t>
      </w:r>
    </w:p>
    <w:p w14:paraId="668E15D4">
      <w:pPr>
        <w:spacing w:line="360" w:lineRule="auto"/>
        <w:ind w:firstLine="480"/>
        <w:rPr>
          <w:rFonts w:hint="eastAsia" w:ascii="宋体" w:hAnsi="宋体" w:cs="宋体"/>
          <w:sz w:val="24"/>
          <w:szCs w:val="24"/>
          <w:highlight w:val="none"/>
          <w:u w:val="single"/>
          <w:lang w:val="zh-CN"/>
        </w:rPr>
      </w:pPr>
      <w:r>
        <w:rPr>
          <w:rFonts w:hint="eastAsia" w:ascii="宋体" w:hAnsi="宋体" w:cs="宋体"/>
          <w:sz w:val="24"/>
          <w:szCs w:val="24"/>
          <w:highlight w:val="none"/>
          <w:lang w:val="zh-CN"/>
        </w:rPr>
        <w:t>法定代表人（签字或盖章）：</w:t>
      </w:r>
    </w:p>
    <w:p w14:paraId="73E86279">
      <w:pPr>
        <w:spacing w:line="360" w:lineRule="auto"/>
        <w:ind w:firstLine="480"/>
        <w:rPr>
          <w:rFonts w:hint="eastAsia" w:ascii="宋体" w:hAnsi="宋体" w:cs="宋体"/>
          <w:sz w:val="24"/>
          <w:szCs w:val="24"/>
          <w:highlight w:val="none"/>
          <w:lang w:val="zh-CN"/>
        </w:rPr>
      </w:pPr>
      <w:r>
        <w:rPr>
          <w:rFonts w:hint="eastAsia" w:ascii="宋体" w:hAnsi="宋体" w:cs="宋体"/>
          <w:sz w:val="24"/>
          <w:szCs w:val="24"/>
          <w:highlight w:val="none"/>
          <w:lang w:val="zh-CN"/>
        </w:rPr>
        <w:t>时间：  年  月   日</w:t>
      </w:r>
    </w:p>
    <w:p w14:paraId="3516A17C">
      <w:pPr>
        <w:spacing w:line="460" w:lineRule="exact"/>
        <w:ind w:left="547" w:firstLine="803"/>
        <w:jc w:val="center"/>
        <w:rPr>
          <w:rFonts w:hint="eastAsia" w:ascii="宋体" w:hAnsi="宋体" w:cs="宋体"/>
          <w:bCs/>
          <w:sz w:val="40"/>
          <w:szCs w:val="40"/>
          <w:highlight w:val="none"/>
        </w:rPr>
      </w:pPr>
    </w:p>
    <w:p w14:paraId="403DF0AE">
      <w:pPr>
        <w:ind w:left="547" w:firstLine="723"/>
        <w:rPr>
          <w:rFonts w:hint="eastAsia" w:ascii="宋体" w:hAnsi="宋体" w:cs="宋体"/>
          <w:sz w:val="36"/>
          <w:szCs w:val="36"/>
          <w:highlight w:val="none"/>
        </w:rPr>
      </w:pPr>
    </w:p>
    <w:p w14:paraId="23472CDD">
      <w:pPr>
        <w:ind w:left="547" w:firstLine="723"/>
        <w:rPr>
          <w:rFonts w:hint="eastAsia" w:ascii="宋体" w:hAnsi="宋体" w:cs="宋体"/>
          <w:sz w:val="36"/>
          <w:szCs w:val="36"/>
          <w:highlight w:val="none"/>
        </w:rPr>
      </w:pPr>
      <w:r>
        <w:rPr>
          <w:rFonts w:hint="eastAsia" w:ascii="宋体" w:hAnsi="宋体" w:cs="宋体"/>
          <w:sz w:val="36"/>
          <w:szCs w:val="36"/>
          <w:highlight w:val="none"/>
        </w:rPr>
        <w:br w:type="page" w:clear="all"/>
      </w:r>
    </w:p>
    <w:p w14:paraId="7C90D21A">
      <w:pPr>
        <w:spacing w:line="360" w:lineRule="auto"/>
        <w:ind w:firstLine="482"/>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附件13</w:t>
      </w:r>
    </w:p>
    <w:p w14:paraId="5AD93C02">
      <w:pPr>
        <w:spacing w:line="360" w:lineRule="auto"/>
        <w:ind w:firstLine="482"/>
        <w:jc w:val="center"/>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质疑函范本</w:t>
      </w:r>
    </w:p>
    <w:p w14:paraId="5AE00FA3">
      <w:pPr>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一、质疑供应商基本信息</w:t>
      </w:r>
    </w:p>
    <w:p w14:paraId="60C4C42B">
      <w:pPr>
        <w:spacing w:line="360" w:lineRule="auto"/>
        <w:ind w:firstLine="480"/>
        <w:rPr>
          <w:rFonts w:hint="eastAsia" w:cs="宋体" w:asciiTheme="minorEastAsia" w:hAnsiTheme="minorEastAsia" w:eastAsiaTheme="minorEastAsia"/>
          <w:sz w:val="24"/>
          <w:szCs w:val="24"/>
          <w:highlight w:val="none"/>
          <w:u w:val="single"/>
        </w:rPr>
      </w:pPr>
      <w:r>
        <w:rPr>
          <w:rFonts w:hint="eastAsia" w:cs="宋体" w:asciiTheme="minorEastAsia" w:hAnsiTheme="minorEastAsia" w:eastAsiaTheme="minorEastAsia"/>
          <w:sz w:val="24"/>
          <w:szCs w:val="24"/>
          <w:highlight w:val="none"/>
        </w:rPr>
        <w:t>质疑供应商：</w:t>
      </w:r>
    </w:p>
    <w:p w14:paraId="77A68B4C">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地址：邮编：</w:t>
      </w:r>
    </w:p>
    <w:p w14:paraId="4B3ACF1B">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联系人：联系电话：</w:t>
      </w:r>
    </w:p>
    <w:p w14:paraId="2A281940">
      <w:pPr>
        <w:spacing w:line="360" w:lineRule="auto"/>
        <w:ind w:firstLine="480"/>
        <w:rPr>
          <w:rFonts w:hint="eastAsia" w:cs="宋体" w:asciiTheme="minorEastAsia" w:hAnsiTheme="minorEastAsia" w:eastAsiaTheme="minorEastAsia"/>
          <w:sz w:val="24"/>
          <w:szCs w:val="24"/>
          <w:highlight w:val="none"/>
          <w:u w:val="single"/>
        </w:rPr>
      </w:pPr>
      <w:r>
        <w:rPr>
          <w:rFonts w:hint="eastAsia" w:cs="宋体" w:asciiTheme="minorEastAsia" w:hAnsiTheme="minorEastAsia" w:eastAsiaTheme="minorEastAsia"/>
          <w:sz w:val="24"/>
          <w:szCs w:val="24"/>
          <w:highlight w:val="none"/>
        </w:rPr>
        <w:t>授权代表：</w:t>
      </w:r>
    </w:p>
    <w:p w14:paraId="5F5D68F1">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联系电话：</w:t>
      </w:r>
    </w:p>
    <w:p w14:paraId="1D8FC456">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地址：邮编：</w:t>
      </w:r>
    </w:p>
    <w:p w14:paraId="2F6BE877">
      <w:pPr>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二、质疑项目基本情况</w:t>
      </w:r>
    </w:p>
    <w:p w14:paraId="59C1F32C">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质疑项目的名称：</w:t>
      </w:r>
    </w:p>
    <w:p w14:paraId="009AC5F1">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质疑项目的编号：包号：</w:t>
      </w:r>
    </w:p>
    <w:p w14:paraId="4CA851B1">
      <w:pPr>
        <w:spacing w:line="360" w:lineRule="auto"/>
        <w:ind w:firstLine="480"/>
        <w:rPr>
          <w:rFonts w:hint="eastAsia" w:cs="宋体" w:asciiTheme="minorEastAsia" w:hAnsiTheme="minorEastAsia" w:eastAsiaTheme="minorEastAsia"/>
          <w:sz w:val="24"/>
          <w:szCs w:val="24"/>
          <w:highlight w:val="none"/>
          <w:u w:val="single"/>
        </w:rPr>
      </w:pPr>
      <w:r>
        <w:rPr>
          <w:rFonts w:hint="eastAsia" w:cs="宋体" w:asciiTheme="minorEastAsia" w:hAnsiTheme="minorEastAsia" w:eastAsiaTheme="minorEastAsia"/>
          <w:sz w:val="24"/>
          <w:szCs w:val="24"/>
          <w:highlight w:val="none"/>
        </w:rPr>
        <w:t>采购人名称：</w:t>
      </w:r>
    </w:p>
    <w:p w14:paraId="7052D468">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采购文件获取日期：</w:t>
      </w:r>
    </w:p>
    <w:p w14:paraId="34AB8EAC">
      <w:pPr>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三、质疑事项具体内容</w:t>
      </w:r>
    </w:p>
    <w:p w14:paraId="348D1DBF">
      <w:pPr>
        <w:spacing w:line="360" w:lineRule="auto"/>
        <w:ind w:firstLine="480"/>
        <w:rPr>
          <w:rFonts w:hint="eastAsia" w:cs="宋体" w:asciiTheme="minorEastAsia" w:hAnsiTheme="minorEastAsia" w:eastAsiaTheme="minorEastAsia"/>
          <w:sz w:val="24"/>
          <w:szCs w:val="24"/>
          <w:highlight w:val="none"/>
          <w:u w:val="single"/>
        </w:rPr>
      </w:pPr>
      <w:r>
        <w:rPr>
          <w:rFonts w:hint="eastAsia" w:cs="宋体" w:asciiTheme="minorEastAsia" w:hAnsiTheme="minorEastAsia" w:eastAsiaTheme="minorEastAsia"/>
          <w:sz w:val="24"/>
          <w:szCs w:val="24"/>
          <w:highlight w:val="none"/>
        </w:rPr>
        <w:t>质疑事项1：</w:t>
      </w:r>
    </w:p>
    <w:p w14:paraId="24BB0A3F">
      <w:pPr>
        <w:spacing w:line="360" w:lineRule="auto"/>
        <w:ind w:firstLine="480"/>
        <w:rPr>
          <w:rFonts w:hint="eastAsia" w:cs="宋体" w:asciiTheme="minorEastAsia" w:hAnsiTheme="minorEastAsia" w:eastAsiaTheme="minorEastAsia"/>
          <w:sz w:val="24"/>
          <w:szCs w:val="24"/>
          <w:highlight w:val="none"/>
          <w:u w:val="single"/>
        </w:rPr>
      </w:pPr>
      <w:r>
        <w:rPr>
          <w:rFonts w:hint="eastAsia" w:cs="宋体" w:asciiTheme="minorEastAsia" w:hAnsiTheme="minorEastAsia" w:eastAsiaTheme="minorEastAsia"/>
          <w:sz w:val="24"/>
          <w:szCs w:val="24"/>
          <w:highlight w:val="none"/>
        </w:rPr>
        <w:t>事实依据：</w:t>
      </w:r>
    </w:p>
    <w:p w14:paraId="3684CEE8">
      <w:pPr>
        <w:spacing w:line="360" w:lineRule="auto"/>
        <w:ind w:firstLine="480"/>
        <w:rPr>
          <w:rFonts w:hint="eastAsia" w:cs="宋体" w:asciiTheme="minorEastAsia" w:hAnsiTheme="minorEastAsia" w:eastAsiaTheme="minorEastAsia"/>
          <w:sz w:val="24"/>
          <w:szCs w:val="24"/>
          <w:highlight w:val="none"/>
        </w:rPr>
      </w:pPr>
    </w:p>
    <w:p w14:paraId="200260B7">
      <w:pPr>
        <w:spacing w:line="360" w:lineRule="auto"/>
        <w:ind w:firstLine="480"/>
        <w:rPr>
          <w:rFonts w:hint="eastAsia" w:cs="宋体" w:asciiTheme="minorEastAsia" w:hAnsiTheme="minorEastAsia" w:eastAsiaTheme="minorEastAsia"/>
          <w:sz w:val="24"/>
          <w:szCs w:val="24"/>
          <w:highlight w:val="none"/>
          <w:u w:val="single"/>
        </w:rPr>
      </w:pPr>
      <w:r>
        <w:rPr>
          <w:rFonts w:hint="eastAsia" w:cs="宋体" w:asciiTheme="minorEastAsia" w:hAnsiTheme="minorEastAsia" w:eastAsiaTheme="minorEastAsia"/>
          <w:sz w:val="24"/>
          <w:szCs w:val="24"/>
          <w:highlight w:val="none"/>
        </w:rPr>
        <w:t>法律依据：</w:t>
      </w:r>
    </w:p>
    <w:p w14:paraId="16451C6F">
      <w:pPr>
        <w:spacing w:line="360" w:lineRule="auto"/>
        <w:ind w:firstLine="480"/>
        <w:rPr>
          <w:rFonts w:hint="eastAsia" w:cs="宋体" w:asciiTheme="minorEastAsia" w:hAnsiTheme="minorEastAsia" w:eastAsiaTheme="minorEastAsia"/>
          <w:sz w:val="24"/>
          <w:szCs w:val="24"/>
          <w:highlight w:val="none"/>
          <w:u w:val="single"/>
        </w:rPr>
      </w:pPr>
    </w:p>
    <w:p w14:paraId="74607A87">
      <w:pPr>
        <w:spacing w:line="360" w:lineRule="auto"/>
        <w:ind w:firstLine="480"/>
        <w:rPr>
          <w:rFonts w:hint="eastAsia" w:cs="宋体" w:asciiTheme="minorEastAsia" w:hAnsiTheme="minorEastAsia" w:eastAsiaTheme="minorEastAsia"/>
          <w:sz w:val="24"/>
          <w:szCs w:val="24"/>
          <w:highlight w:val="none"/>
          <w:u w:val="single"/>
        </w:rPr>
      </w:pPr>
      <w:r>
        <w:rPr>
          <w:rFonts w:hint="eastAsia" w:cs="宋体" w:asciiTheme="minorEastAsia" w:hAnsiTheme="minorEastAsia" w:eastAsiaTheme="minorEastAsia"/>
          <w:sz w:val="24"/>
          <w:szCs w:val="24"/>
          <w:highlight w:val="none"/>
        </w:rPr>
        <w:t>质疑事项2</w:t>
      </w:r>
    </w:p>
    <w:p w14:paraId="344993B1">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w:t>
      </w:r>
    </w:p>
    <w:p w14:paraId="05B3B084">
      <w:pPr>
        <w:spacing w:line="360" w:lineRule="auto"/>
        <w:ind w:firstLine="480"/>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四、与质疑事项相关的质疑请求</w:t>
      </w:r>
    </w:p>
    <w:p w14:paraId="598768CE">
      <w:pPr>
        <w:spacing w:line="360" w:lineRule="auto"/>
        <w:ind w:firstLine="480"/>
        <w:rPr>
          <w:rFonts w:hint="eastAsia" w:cs="宋体" w:asciiTheme="minorEastAsia" w:hAnsiTheme="minorEastAsia" w:eastAsiaTheme="minorEastAsia"/>
          <w:sz w:val="24"/>
          <w:szCs w:val="24"/>
          <w:highlight w:val="none"/>
          <w:u w:val="single"/>
        </w:rPr>
      </w:pPr>
      <w:r>
        <w:rPr>
          <w:rFonts w:hint="eastAsia" w:cs="宋体" w:asciiTheme="minorEastAsia" w:hAnsiTheme="minorEastAsia" w:eastAsiaTheme="minorEastAsia"/>
          <w:sz w:val="24"/>
          <w:szCs w:val="24"/>
          <w:highlight w:val="none"/>
        </w:rPr>
        <w:t>请求：</w:t>
      </w:r>
    </w:p>
    <w:p w14:paraId="3ACC9129">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 xml:space="preserve">签字(签章)：                   公章：                      </w:t>
      </w:r>
    </w:p>
    <w:p w14:paraId="54E9A211">
      <w:pPr>
        <w:spacing w:line="360" w:lineRule="auto"/>
        <w:ind w:firstLine="48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 xml:space="preserve">日期：    </w:t>
      </w:r>
    </w:p>
    <w:p w14:paraId="21FB4DA7">
      <w:pPr>
        <w:spacing w:line="360" w:lineRule="auto"/>
        <w:ind w:firstLine="480"/>
        <w:rPr>
          <w:rFonts w:hint="eastAsia" w:cs="宋体" w:asciiTheme="minorEastAsia" w:hAnsiTheme="minorEastAsia" w:eastAsiaTheme="minorEastAsia"/>
          <w:sz w:val="24"/>
          <w:szCs w:val="24"/>
          <w:highlight w:val="none"/>
        </w:rPr>
      </w:pPr>
    </w:p>
    <w:p w14:paraId="40DED397">
      <w:pPr>
        <w:spacing w:line="360" w:lineRule="auto"/>
        <w:ind w:firstLine="482"/>
        <w:rPr>
          <w:rFonts w:hint="eastAsia" w:cs="宋体" w:asciiTheme="minorEastAsia" w:hAnsiTheme="minorEastAsia" w:eastAsiaTheme="minorEastAsia"/>
          <w:b/>
          <w:sz w:val="24"/>
          <w:szCs w:val="24"/>
          <w:highlight w:val="none"/>
        </w:rPr>
      </w:pPr>
    </w:p>
    <w:p w14:paraId="3F680C1E">
      <w:pPr>
        <w:pStyle w:val="41"/>
        <w:rPr>
          <w:highlight w:val="none"/>
        </w:rPr>
      </w:pPr>
    </w:p>
    <w:p w14:paraId="15A5A096">
      <w:pPr>
        <w:spacing w:line="360" w:lineRule="auto"/>
        <w:ind w:firstLine="482"/>
        <w:rPr>
          <w:rFonts w:hint="eastAsia" w:cs="宋体" w:asciiTheme="minorEastAsia" w:hAnsiTheme="minorEastAsia" w:eastAsiaTheme="minorEastAsia"/>
          <w:b/>
          <w:sz w:val="24"/>
          <w:szCs w:val="24"/>
          <w:highlight w:val="none"/>
        </w:rPr>
      </w:pPr>
    </w:p>
    <w:p w14:paraId="0E0E4B20">
      <w:pPr>
        <w:spacing w:line="360" w:lineRule="auto"/>
        <w:ind w:firstLine="482"/>
        <w:rPr>
          <w:rFonts w:hint="eastAsia" w:cs="宋体" w:asciiTheme="minorEastAsia" w:hAnsiTheme="minorEastAsia" w:eastAsiaTheme="minorEastAsia"/>
          <w:b/>
          <w:sz w:val="24"/>
          <w:szCs w:val="24"/>
          <w:highlight w:val="none"/>
        </w:rPr>
      </w:pPr>
      <w:r>
        <w:rPr>
          <w:rFonts w:hint="eastAsia" w:cs="宋体" w:asciiTheme="minorEastAsia" w:hAnsiTheme="minorEastAsia" w:eastAsiaTheme="minorEastAsia"/>
          <w:b/>
          <w:sz w:val="24"/>
          <w:szCs w:val="24"/>
          <w:highlight w:val="none"/>
        </w:rPr>
        <w:t>质疑函制作说明：</w:t>
      </w:r>
    </w:p>
    <w:p w14:paraId="5564B9AE">
      <w:pPr>
        <w:widowControl/>
        <w:spacing w:line="360" w:lineRule="auto"/>
        <w:ind w:firstLine="480"/>
        <w:jc w:val="left"/>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1.供应商提出质疑时，应提交质疑函和必要的证明材料。</w:t>
      </w:r>
    </w:p>
    <w:p w14:paraId="143424C0">
      <w:pPr>
        <w:widowControl/>
        <w:spacing w:line="360" w:lineRule="auto"/>
        <w:ind w:firstLine="480"/>
        <w:jc w:val="left"/>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F7299BD">
      <w:pPr>
        <w:widowControl/>
        <w:spacing w:line="360" w:lineRule="auto"/>
        <w:ind w:firstLine="480"/>
        <w:jc w:val="left"/>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3.质疑供应商若对项目的某一分包进行质疑，质疑函中应列明具体分包号。</w:t>
      </w:r>
    </w:p>
    <w:p w14:paraId="5A80C625">
      <w:pPr>
        <w:widowControl/>
        <w:spacing w:line="360" w:lineRule="auto"/>
        <w:ind w:firstLine="480"/>
        <w:jc w:val="left"/>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4.质疑函的质疑事项应具体、明确，并有必要的事实依据和法律依据。</w:t>
      </w:r>
    </w:p>
    <w:p w14:paraId="193E5528">
      <w:pPr>
        <w:widowControl/>
        <w:spacing w:line="360" w:lineRule="auto"/>
        <w:ind w:firstLine="480"/>
        <w:jc w:val="left"/>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5.质疑函的质疑请求应与质疑事项相关。</w:t>
      </w:r>
    </w:p>
    <w:p w14:paraId="07559F99">
      <w:pPr>
        <w:widowControl/>
        <w:spacing w:line="360" w:lineRule="auto"/>
        <w:ind w:firstLine="480"/>
        <w:jc w:val="left"/>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6.质疑供应商为自然人的，质疑函应由本人签字；质疑供应商为法人或者其他组织的，质疑函应由法定代表人、主要负责人，或者其授权代表签字或者盖章，并加盖公章。</w:t>
      </w:r>
      <w:bookmarkEnd w:id="111"/>
      <w:bookmarkEnd w:id="112"/>
    </w:p>
    <w:p w14:paraId="7AD86FAB">
      <w:pPr>
        <w:widowControl/>
        <w:spacing w:line="360" w:lineRule="auto"/>
        <w:ind w:firstLine="482"/>
        <w:jc w:val="left"/>
        <w:rPr>
          <w:rFonts w:hint="eastAsia" w:cs="宋体" w:asciiTheme="minorEastAsia" w:hAnsiTheme="minorEastAsia" w:eastAsiaTheme="minorEastAsia"/>
          <w:sz w:val="24"/>
          <w:szCs w:val="24"/>
          <w:highlight w:val="none"/>
        </w:rPr>
      </w:pPr>
    </w:p>
    <w:p w14:paraId="5C40F113">
      <w:pPr>
        <w:spacing w:line="360" w:lineRule="auto"/>
        <w:ind w:firstLine="482"/>
        <w:rPr>
          <w:rFonts w:hint="eastAsia" w:cs="宋体" w:asciiTheme="minorEastAsia" w:hAnsiTheme="minorEastAsia" w:eastAsiaTheme="minorEastAsia"/>
          <w:sz w:val="24"/>
          <w:szCs w:val="24"/>
          <w:highlight w:val="none"/>
        </w:rPr>
      </w:pPr>
    </w:p>
    <w:p w14:paraId="426D4CC7">
      <w:pPr>
        <w:spacing w:line="360" w:lineRule="auto"/>
        <w:ind w:firstLine="482"/>
        <w:rPr>
          <w:rFonts w:hint="eastAsia" w:cs="宋体" w:asciiTheme="minorEastAsia" w:hAnsiTheme="minorEastAsia" w:eastAsiaTheme="minorEastAsia"/>
          <w:sz w:val="24"/>
          <w:szCs w:val="24"/>
          <w:highlight w:val="none"/>
        </w:rPr>
      </w:pPr>
    </w:p>
    <w:p w14:paraId="76275731">
      <w:pPr>
        <w:spacing w:line="360" w:lineRule="auto"/>
        <w:ind w:firstLine="482"/>
        <w:rPr>
          <w:rFonts w:hint="eastAsia" w:cs="宋体" w:asciiTheme="minorEastAsia" w:hAnsiTheme="minorEastAsia" w:eastAsiaTheme="minorEastAsia"/>
          <w:sz w:val="24"/>
          <w:szCs w:val="24"/>
          <w:highlight w:val="none"/>
        </w:rPr>
      </w:pPr>
    </w:p>
    <w:p w14:paraId="5E48D807">
      <w:pPr>
        <w:pStyle w:val="41"/>
        <w:spacing w:after="0" w:line="360" w:lineRule="auto"/>
        <w:ind w:left="0" w:firstLine="482"/>
        <w:rPr>
          <w:rFonts w:hint="eastAsia" w:cs="宋体" w:asciiTheme="minorEastAsia" w:hAnsiTheme="minorEastAsia" w:eastAsiaTheme="minorEastAsia"/>
          <w:sz w:val="24"/>
          <w:highlight w:val="none"/>
        </w:rPr>
      </w:pPr>
    </w:p>
    <w:p w14:paraId="2B946DAB">
      <w:pPr>
        <w:spacing w:line="360" w:lineRule="auto"/>
        <w:ind w:firstLine="482"/>
        <w:rPr>
          <w:rFonts w:hint="eastAsia" w:asciiTheme="minorEastAsia" w:hAnsiTheme="minorEastAsia" w:eastAsiaTheme="minorEastAsia"/>
          <w:sz w:val="24"/>
          <w:szCs w:val="24"/>
          <w:highlight w:val="none"/>
        </w:rPr>
      </w:pPr>
    </w:p>
    <w:p w14:paraId="78400CE3">
      <w:pPr>
        <w:pStyle w:val="23"/>
        <w:spacing w:line="360" w:lineRule="auto"/>
        <w:ind w:firstLine="0"/>
        <w:rPr>
          <w:rFonts w:hint="eastAsia" w:asciiTheme="minorEastAsia" w:hAnsiTheme="minorEastAsia" w:eastAsiaTheme="minorEastAsia"/>
          <w:sz w:val="24"/>
          <w:szCs w:val="24"/>
          <w:highlight w:val="none"/>
        </w:rPr>
      </w:pPr>
    </w:p>
    <w:p w14:paraId="4C3B6384">
      <w:pPr>
        <w:pStyle w:val="23"/>
        <w:spacing w:line="360" w:lineRule="auto"/>
        <w:ind w:firstLine="0"/>
        <w:rPr>
          <w:rFonts w:hint="eastAsia" w:asciiTheme="minorEastAsia" w:hAnsiTheme="minorEastAsia" w:eastAsiaTheme="minorEastAsia"/>
          <w:sz w:val="24"/>
          <w:szCs w:val="24"/>
          <w:highlight w:val="none"/>
        </w:rPr>
      </w:pPr>
    </w:p>
    <w:p w14:paraId="1D658CF5">
      <w:pPr>
        <w:pStyle w:val="23"/>
        <w:spacing w:line="360" w:lineRule="auto"/>
        <w:ind w:firstLine="0"/>
        <w:rPr>
          <w:rFonts w:hint="eastAsia" w:asciiTheme="minorEastAsia" w:hAnsiTheme="minorEastAsia" w:eastAsiaTheme="minorEastAsia"/>
          <w:sz w:val="24"/>
          <w:szCs w:val="24"/>
          <w:highlight w:val="none"/>
        </w:rPr>
      </w:pPr>
    </w:p>
    <w:p w14:paraId="5BDD49DA">
      <w:pPr>
        <w:pStyle w:val="23"/>
        <w:spacing w:line="360" w:lineRule="auto"/>
        <w:ind w:firstLine="0"/>
        <w:rPr>
          <w:rFonts w:hint="eastAsia" w:asciiTheme="minorEastAsia" w:hAnsiTheme="minorEastAsia" w:eastAsiaTheme="minorEastAsia"/>
          <w:sz w:val="24"/>
          <w:szCs w:val="24"/>
          <w:highlight w:val="none"/>
        </w:rPr>
      </w:pPr>
    </w:p>
    <w:p w14:paraId="53670889">
      <w:pPr>
        <w:pStyle w:val="23"/>
        <w:spacing w:line="360" w:lineRule="auto"/>
        <w:ind w:firstLine="0"/>
        <w:rPr>
          <w:rFonts w:hint="eastAsia" w:asciiTheme="minorEastAsia" w:hAnsiTheme="minorEastAsia" w:eastAsiaTheme="minorEastAsia"/>
          <w:sz w:val="24"/>
          <w:szCs w:val="24"/>
          <w:highlight w:val="none"/>
        </w:rPr>
      </w:pPr>
    </w:p>
    <w:p w14:paraId="32BF4F87">
      <w:pPr>
        <w:pStyle w:val="23"/>
        <w:spacing w:line="360" w:lineRule="auto"/>
        <w:ind w:firstLine="0"/>
        <w:rPr>
          <w:rFonts w:hint="eastAsia" w:asciiTheme="minorEastAsia" w:hAnsiTheme="minorEastAsia" w:eastAsiaTheme="minorEastAsia"/>
          <w:sz w:val="24"/>
          <w:szCs w:val="24"/>
          <w:highlight w:val="none"/>
        </w:rPr>
      </w:pPr>
    </w:p>
    <w:p w14:paraId="705ACD20">
      <w:pPr>
        <w:pStyle w:val="23"/>
        <w:spacing w:line="360" w:lineRule="auto"/>
        <w:ind w:firstLine="0"/>
        <w:rPr>
          <w:rFonts w:hint="eastAsia" w:asciiTheme="minorEastAsia" w:hAnsiTheme="minorEastAsia" w:eastAsiaTheme="minorEastAsia"/>
          <w:sz w:val="24"/>
          <w:szCs w:val="24"/>
          <w:highlight w:val="none"/>
        </w:rPr>
      </w:pPr>
    </w:p>
    <w:p w14:paraId="667C31B8">
      <w:pPr>
        <w:pStyle w:val="23"/>
        <w:spacing w:line="360" w:lineRule="auto"/>
        <w:ind w:firstLine="0"/>
        <w:rPr>
          <w:rFonts w:hint="eastAsia" w:asciiTheme="minorEastAsia" w:hAnsiTheme="minorEastAsia" w:eastAsiaTheme="minorEastAsia"/>
          <w:sz w:val="24"/>
          <w:szCs w:val="24"/>
          <w:highlight w:val="none"/>
        </w:rPr>
      </w:pPr>
    </w:p>
    <w:p w14:paraId="458C4BAA">
      <w:pPr>
        <w:pStyle w:val="23"/>
        <w:spacing w:line="360" w:lineRule="auto"/>
        <w:ind w:firstLine="0"/>
        <w:rPr>
          <w:rFonts w:hint="eastAsia" w:asciiTheme="minorEastAsia" w:hAnsiTheme="minorEastAsia" w:eastAsiaTheme="minorEastAsia"/>
          <w:sz w:val="24"/>
          <w:szCs w:val="24"/>
          <w:highlight w:val="none"/>
        </w:rPr>
      </w:pPr>
    </w:p>
    <w:p w14:paraId="323FA136">
      <w:pPr>
        <w:pStyle w:val="23"/>
        <w:spacing w:line="360" w:lineRule="auto"/>
        <w:ind w:firstLine="0"/>
        <w:rPr>
          <w:rFonts w:hint="eastAsia" w:asciiTheme="minorEastAsia" w:hAnsiTheme="minorEastAsia" w:eastAsiaTheme="minorEastAsia"/>
          <w:sz w:val="24"/>
          <w:szCs w:val="24"/>
          <w:highlight w:val="none"/>
        </w:rPr>
      </w:pPr>
    </w:p>
    <w:p w14:paraId="4E185009">
      <w:pPr>
        <w:pStyle w:val="23"/>
        <w:spacing w:line="360" w:lineRule="auto"/>
        <w:ind w:firstLine="0"/>
        <w:rPr>
          <w:rFonts w:hint="eastAsia" w:asciiTheme="minorEastAsia" w:hAnsiTheme="minorEastAsia" w:eastAsiaTheme="minorEastAsia"/>
          <w:sz w:val="24"/>
          <w:szCs w:val="24"/>
          <w:highlight w:val="none"/>
        </w:rPr>
      </w:pPr>
    </w:p>
    <w:p w14:paraId="15C344AF">
      <w:pPr>
        <w:pStyle w:val="23"/>
        <w:ind w:left="547"/>
        <w:rPr>
          <w:highlight w:val="none"/>
        </w:rPr>
      </w:pPr>
    </w:p>
    <w:p w14:paraId="7F2EB820">
      <w:pPr>
        <w:pStyle w:val="23"/>
        <w:ind w:left="547"/>
        <w:rPr>
          <w:highlight w:val="none"/>
        </w:rPr>
      </w:pPr>
    </w:p>
    <w:p w14:paraId="3E5A9990">
      <w:pPr>
        <w:spacing w:line="360" w:lineRule="auto"/>
        <w:ind w:firstLine="482"/>
        <w:rPr>
          <w:rFonts w:hint="eastAsia" w:cs="宋体" w:asciiTheme="minorEastAsia" w:hAnsiTheme="minorEastAsia" w:eastAsiaTheme="minorEastAsia"/>
          <w:color w:val="FF0000"/>
          <w:sz w:val="24"/>
          <w:szCs w:val="24"/>
          <w:highlight w:val="none"/>
        </w:rPr>
      </w:pPr>
      <w:r>
        <w:rPr>
          <w:rFonts w:hint="eastAsia" w:cs="宋体" w:asciiTheme="minorEastAsia" w:hAnsiTheme="minorEastAsia" w:eastAsiaTheme="minorEastAsia"/>
          <w:sz w:val="24"/>
          <w:szCs w:val="24"/>
          <w:highlight w:val="none"/>
        </w:rPr>
        <w:t>附件14</w:t>
      </w:r>
    </w:p>
    <w:p w14:paraId="34C1FF8E">
      <w:pPr>
        <w:spacing w:line="480" w:lineRule="exact"/>
        <w:ind w:firstLine="573"/>
        <w:jc w:val="center"/>
        <w:rPr>
          <w:rFonts w:hint="eastAsia" w:ascii="宋体" w:hAnsi="宋体" w:cs="宋体"/>
          <w:b/>
          <w:iCs/>
          <w:sz w:val="44"/>
          <w:szCs w:val="44"/>
          <w:highlight w:val="none"/>
        </w:rPr>
      </w:pPr>
      <w:r>
        <w:rPr>
          <w:rFonts w:hint="eastAsia" w:ascii="宋体" w:hAnsi="宋体" w:cs="宋体"/>
          <w:b/>
          <w:iCs/>
          <w:sz w:val="44"/>
          <w:szCs w:val="44"/>
          <w:highlight w:val="none"/>
        </w:rPr>
        <w:t>合同主要条款</w:t>
      </w:r>
    </w:p>
    <w:p w14:paraId="1175C70D">
      <w:pPr>
        <w:spacing w:line="360" w:lineRule="auto"/>
        <w:ind w:firstLine="48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甲方:</w:t>
      </w:r>
    </w:p>
    <w:p w14:paraId="6E61F6BE">
      <w:pPr>
        <w:spacing w:line="360" w:lineRule="auto"/>
        <w:ind w:firstLine="48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乙方:</w:t>
      </w:r>
    </w:p>
    <w:p w14:paraId="3F43B9A1">
      <w:pPr>
        <w:spacing w:line="360" w:lineRule="auto"/>
        <w:ind w:firstLine="480"/>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签订地点：</w:t>
      </w:r>
    </w:p>
    <w:p w14:paraId="243530D4">
      <w:pPr>
        <w:spacing w:line="360" w:lineRule="auto"/>
        <w:ind w:firstLine="480"/>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合同时间:</w:t>
      </w:r>
      <w:r>
        <w:rPr>
          <w:rFonts w:hint="eastAsia" w:asciiTheme="minorEastAsia" w:hAnsiTheme="minorEastAsia" w:eastAsiaTheme="minorEastAsia"/>
          <w:sz w:val="24"/>
          <w:szCs w:val="24"/>
          <w:highlight w:val="none"/>
          <w:u w:val="single"/>
        </w:rPr>
        <w:t xml:space="preserve">     年    月    日</w:t>
      </w:r>
    </w:p>
    <w:p w14:paraId="279EF89A">
      <w:pPr>
        <w:spacing w:line="360" w:lineRule="auto"/>
        <w:ind w:firstLine="480"/>
        <w:rPr>
          <w:rFonts w:hint="eastAsia" w:cs="仿宋_GB2312" w:asciiTheme="minorEastAsia" w:hAnsiTheme="minorEastAsia" w:eastAsiaTheme="minorEastAsia"/>
          <w:spacing w:val="2"/>
          <w:sz w:val="24"/>
          <w:szCs w:val="24"/>
          <w:highlight w:val="none"/>
          <w:u w:val="single"/>
          <w:lang w:val="zh-CN"/>
        </w:rPr>
      </w:pPr>
      <w:r>
        <w:rPr>
          <w:rFonts w:hint="eastAsia" w:asciiTheme="minorEastAsia" w:hAnsiTheme="minorEastAsia" w:eastAsiaTheme="minorEastAsia"/>
          <w:sz w:val="24"/>
          <w:szCs w:val="24"/>
          <w:highlight w:val="none"/>
        </w:rPr>
        <w:t>根据</w:t>
      </w:r>
      <w:r>
        <w:rPr>
          <w:rFonts w:hint="eastAsia" w:asciiTheme="minorEastAsia" w:hAnsiTheme="minorEastAsia" w:eastAsiaTheme="minorEastAsia"/>
          <w:sz w:val="24"/>
          <w:szCs w:val="24"/>
          <w:highlight w:val="none"/>
          <w:u w:val="single"/>
        </w:rPr>
        <w:t xml:space="preserve">                        （项目名称）</w:t>
      </w:r>
      <w:r>
        <w:rPr>
          <w:rFonts w:hint="eastAsia" w:asciiTheme="minorEastAsia" w:hAnsiTheme="minorEastAsia" w:eastAsiaTheme="minorEastAsia"/>
          <w:sz w:val="24"/>
          <w:szCs w:val="24"/>
          <w:highlight w:val="none"/>
        </w:rPr>
        <w:t>的采购要求</w:t>
      </w:r>
      <w:r>
        <w:rPr>
          <w:rFonts w:hint="eastAsia" w:asciiTheme="minorEastAsia" w:hAnsiTheme="minorEastAsia" w:eastAsiaTheme="minorEastAsia"/>
          <w:bCs/>
          <w:sz w:val="24"/>
          <w:szCs w:val="24"/>
          <w:highlight w:val="none"/>
        </w:rPr>
        <w:t>，甲乙双方</w:t>
      </w:r>
      <w:r>
        <w:rPr>
          <w:rFonts w:hint="eastAsia" w:asciiTheme="minorEastAsia" w:hAnsiTheme="minorEastAsia" w:eastAsiaTheme="minorEastAsia"/>
          <w:sz w:val="24"/>
          <w:szCs w:val="24"/>
          <w:highlight w:val="none"/>
        </w:rPr>
        <w:t>本着平等互利的原则，通过共同协商，根据</w:t>
      </w:r>
      <w:r>
        <w:rPr>
          <w:rFonts w:hint="eastAsia" w:asciiTheme="minorEastAsia" w:hAnsiTheme="minorEastAsia" w:eastAsiaTheme="minorEastAsia"/>
          <w:bCs/>
          <w:sz w:val="24"/>
          <w:szCs w:val="24"/>
          <w:highlight w:val="none"/>
        </w:rPr>
        <w:t>《中华人民共和国民法典》</w:t>
      </w:r>
      <w:r>
        <w:rPr>
          <w:rFonts w:hint="eastAsia" w:asciiTheme="minorEastAsia" w:hAnsiTheme="minorEastAsia" w:eastAsiaTheme="minorEastAsia"/>
          <w:sz w:val="24"/>
          <w:szCs w:val="24"/>
          <w:highlight w:val="none"/>
        </w:rPr>
        <w:t>及有关法律法规，就相关事宜达成如下合同。</w:t>
      </w:r>
    </w:p>
    <w:p w14:paraId="18B3FFA5">
      <w:pPr>
        <w:spacing w:line="360" w:lineRule="auto"/>
        <w:ind w:firstLine="482"/>
        <w:jc w:val="left"/>
        <w:rPr>
          <w:rFonts w:hint="eastAsia"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 xml:space="preserve">一、总则             </w:t>
      </w:r>
    </w:p>
    <w:p w14:paraId="4C630C4C">
      <w:pPr>
        <w:spacing w:line="360" w:lineRule="auto"/>
        <w:ind w:firstLine="480"/>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乙方按甲方要求，为甲方提供的项目服务；合同金额为人民币大写，小写：元。</w:t>
      </w:r>
    </w:p>
    <w:p w14:paraId="0EDB91A9">
      <w:pPr>
        <w:spacing w:line="360" w:lineRule="auto"/>
        <w:ind w:firstLine="480"/>
        <w:jc w:val="left"/>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项目的具体服务要求详见本项目磋商文件。</w:t>
      </w:r>
    </w:p>
    <w:p w14:paraId="186FAFE7">
      <w:pPr>
        <w:spacing w:line="360" w:lineRule="auto"/>
        <w:ind w:firstLine="482"/>
        <w:jc w:val="left"/>
        <w:rPr>
          <w:rFonts w:hint="eastAsia"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二、合同文件</w:t>
      </w:r>
    </w:p>
    <w:p w14:paraId="0FBBEA8B">
      <w:pPr>
        <w:spacing w:line="360" w:lineRule="auto"/>
        <w:ind w:firstLine="480"/>
        <w:jc w:val="left"/>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下列文件是构成合同不可分割的部分，并与本合同具有同等法律效力，</w:t>
      </w:r>
      <w:r>
        <w:rPr>
          <w:rFonts w:hint="eastAsia" w:asciiTheme="minorEastAsia" w:hAnsiTheme="minorEastAsia" w:eastAsiaTheme="minorEastAsia"/>
          <w:bCs/>
          <w:sz w:val="24"/>
          <w:szCs w:val="24"/>
          <w:highlight w:val="none"/>
        </w:rPr>
        <w:t>这些文件包括但不限于：</w:t>
      </w:r>
    </w:p>
    <w:p w14:paraId="37217DC2">
      <w:pPr>
        <w:spacing w:line="360" w:lineRule="auto"/>
        <w:ind w:firstLine="48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1、甲方的采购文件。</w:t>
      </w:r>
    </w:p>
    <w:p w14:paraId="1AE25C36">
      <w:pPr>
        <w:spacing w:line="360" w:lineRule="auto"/>
        <w:ind w:firstLine="480"/>
        <w:jc w:val="left"/>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2、乙方提交的磋商响应文件。</w:t>
      </w:r>
    </w:p>
    <w:p w14:paraId="78F84A32">
      <w:pPr>
        <w:spacing w:line="360" w:lineRule="auto"/>
        <w:ind w:firstLine="480"/>
        <w:jc w:val="left"/>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3、乙方投标的其他资料及承诺。</w:t>
      </w:r>
    </w:p>
    <w:p w14:paraId="68436469">
      <w:pPr>
        <w:tabs>
          <w:tab w:val="left" w:pos="0"/>
        </w:tabs>
        <w:spacing w:line="360" w:lineRule="auto"/>
        <w:ind w:firstLine="482" w:firstLineChars="200"/>
        <w:rPr>
          <w:rFonts w:hint="eastAsia" w:ascii="宋体" w:hAnsi="宋体" w:cs="宋体"/>
          <w:b/>
          <w:bCs/>
          <w:sz w:val="24"/>
          <w:highlight w:val="none"/>
        </w:rPr>
      </w:pPr>
      <w:r>
        <w:rPr>
          <w:rFonts w:hint="eastAsia" w:asciiTheme="minorEastAsia" w:hAnsiTheme="minorEastAsia" w:eastAsiaTheme="minorEastAsia"/>
          <w:b/>
          <w:sz w:val="24"/>
          <w:szCs w:val="24"/>
          <w:highlight w:val="none"/>
        </w:rPr>
        <w:t>三、</w:t>
      </w:r>
      <w:r>
        <w:rPr>
          <w:rFonts w:hint="eastAsia" w:ascii="宋体" w:hAnsi="宋体" w:cs="宋体"/>
          <w:b/>
          <w:bCs/>
          <w:sz w:val="24"/>
          <w:highlight w:val="none"/>
        </w:rPr>
        <w:t>采购项目技术、服务要求：</w:t>
      </w:r>
    </w:p>
    <w:p w14:paraId="570A6C5E">
      <w:pPr>
        <w:spacing w:line="360" w:lineRule="auto"/>
        <w:ind w:firstLine="482"/>
        <w:rPr>
          <w:rFonts w:hint="eastAsia" w:asciiTheme="minorEastAsia" w:hAnsiTheme="minorEastAsia" w:eastAsiaTheme="minorEastAsia"/>
          <w:b/>
          <w:sz w:val="24"/>
          <w:szCs w:val="24"/>
          <w:highlight w:val="none"/>
        </w:rPr>
      </w:pPr>
      <w:r>
        <w:rPr>
          <w:rFonts w:hint="eastAsia" w:asciiTheme="minorEastAsia" w:hAnsiTheme="minorEastAsia" w:eastAsiaTheme="minorEastAsia"/>
          <w:b w:val="0"/>
          <w:bCs/>
          <w:sz w:val="24"/>
          <w:szCs w:val="24"/>
          <w:highlight w:val="none"/>
        </w:rPr>
        <w:t>古籍数字化加工数量为43000筒子叶；严格依据《规范手册》的命名规则和存储结构要求按时保质保量提供 XML文件、对象数据等各种成果数据。</w:t>
      </w:r>
    </w:p>
    <w:p w14:paraId="3E99E66F">
      <w:pPr>
        <w:spacing w:line="360" w:lineRule="auto"/>
        <w:ind w:firstLine="482"/>
        <w:rPr>
          <w:rFonts w:hint="eastAsia"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四、付款方式</w:t>
      </w:r>
    </w:p>
    <w:p w14:paraId="312A0B37">
      <w:pPr>
        <w:tabs>
          <w:tab w:val="left" w:pos="0"/>
        </w:tabs>
        <w:spacing w:line="360" w:lineRule="auto"/>
        <w:ind w:firstLine="353"/>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1、本项目合同生效后，以人民币支付。</w:t>
      </w:r>
    </w:p>
    <w:p w14:paraId="34FCFD1F">
      <w:pPr>
        <w:tabs>
          <w:tab w:val="left" w:pos="0"/>
        </w:tabs>
        <w:spacing w:line="360" w:lineRule="auto"/>
        <w:ind w:firstLine="353"/>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2、合同款项按照以下方式支付：</w:t>
      </w:r>
    </w:p>
    <w:p w14:paraId="168B7032">
      <w:pPr>
        <w:spacing w:line="360" w:lineRule="auto"/>
        <w:ind w:firstLine="482"/>
        <w:rPr>
          <w:rFonts w:hint="eastAsia" w:ascii="宋体" w:hAnsi="宋体" w:cs="宋体"/>
          <w:sz w:val="24"/>
          <w:highlight w:val="none"/>
        </w:rPr>
      </w:pPr>
      <w:r>
        <w:rPr>
          <w:rFonts w:hint="eastAsia" w:cs="宋体" w:asciiTheme="minorEastAsia" w:hAnsiTheme="minorEastAsia" w:eastAsiaTheme="minorEastAsia"/>
          <w:b/>
          <w:bCs/>
          <w:sz w:val="24"/>
          <w:szCs w:val="24"/>
          <w:highlight w:val="none"/>
        </w:rPr>
        <w:t>支付方式：</w:t>
      </w:r>
      <w:r>
        <w:rPr>
          <w:rFonts w:hint="eastAsia" w:ascii="宋体" w:hAnsi="宋体" w:cs="宋体"/>
          <w:sz w:val="24"/>
          <w:highlight w:val="none"/>
        </w:rPr>
        <w:t>（1）采购人在合同签订后，10天内向成交供应商支付40%合同款；</w:t>
      </w:r>
    </w:p>
    <w:p w14:paraId="46CAD13D">
      <w:pPr>
        <w:spacing w:line="360" w:lineRule="auto"/>
        <w:ind w:firstLine="482"/>
        <w:rPr>
          <w:rFonts w:hint="eastAsia" w:ascii="宋体" w:hAnsi="宋体" w:cs="宋体"/>
          <w:sz w:val="24"/>
          <w:highlight w:val="none"/>
        </w:rPr>
      </w:pPr>
      <w:r>
        <w:rPr>
          <w:rFonts w:hint="eastAsia" w:ascii="宋体" w:hAnsi="宋体" w:cs="宋体"/>
          <w:sz w:val="24"/>
          <w:highlight w:val="none"/>
        </w:rPr>
        <w:t>（2）成交供应商完成所有项目内容且通过采购人验收合格后，采购人在一周内向供应商支付50%合同款。</w:t>
      </w:r>
    </w:p>
    <w:p w14:paraId="02893EE6">
      <w:pPr>
        <w:spacing w:line="360" w:lineRule="auto"/>
        <w:ind w:firstLine="482"/>
        <w:rPr>
          <w:rFonts w:hint="eastAsia" w:ascii="宋体" w:hAnsi="宋体" w:cs="宋体"/>
          <w:sz w:val="24"/>
          <w:highlight w:val="none"/>
        </w:rPr>
      </w:pPr>
      <w:r>
        <w:rPr>
          <w:rFonts w:hint="eastAsia" w:ascii="宋体" w:hAnsi="宋体" w:cs="宋体"/>
          <w:sz w:val="24"/>
          <w:highlight w:val="none"/>
        </w:rPr>
        <w:t>（3）所有项目内容通过国家图书馆终验合格后，采购人向供应商支付剩余10%合同款。</w:t>
      </w:r>
    </w:p>
    <w:p w14:paraId="54C94827">
      <w:pPr>
        <w:spacing w:line="360" w:lineRule="auto"/>
        <w:ind w:firstLine="573"/>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3、根据现行税法对甲方征收的与本合同有关的一切税费均由甲方承担；根据现行税法对乙方征收的与本合同有关的一切税费均由乙方承担。</w:t>
      </w:r>
    </w:p>
    <w:p w14:paraId="48E1DE94">
      <w:pPr>
        <w:spacing w:line="360" w:lineRule="auto"/>
        <w:ind w:firstLine="480"/>
        <w:rPr>
          <w:rFonts w:hint="eastAsia" w:cs="宋体" w:asciiTheme="minorEastAsia" w:hAnsiTheme="minorEastAsia" w:eastAsiaTheme="minorEastAsia"/>
          <w:b/>
          <w:bCs/>
          <w:sz w:val="24"/>
          <w:szCs w:val="24"/>
          <w:highlight w:val="none"/>
        </w:rPr>
      </w:pPr>
      <w:r>
        <w:rPr>
          <w:rFonts w:hint="eastAsia" w:cs="宋体" w:asciiTheme="minorEastAsia" w:hAnsiTheme="minorEastAsia" w:eastAsiaTheme="minorEastAsia"/>
          <w:sz w:val="24"/>
          <w:szCs w:val="24"/>
          <w:highlight w:val="none"/>
        </w:rPr>
        <w:t>4、支付（结算）方式：由甲方通知乙方提交相关发票并办理支付手续，甲方在各项手续、票据齐全的情况下完成对外支付。</w:t>
      </w:r>
    </w:p>
    <w:p w14:paraId="1C24A883">
      <w:pPr>
        <w:tabs>
          <w:tab w:val="left" w:pos="0"/>
        </w:tabs>
        <w:spacing w:line="360" w:lineRule="auto"/>
        <w:ind w:firstLine="482" w:firstLineChars="200"/>
        <w:rPr>
          <w:rFonts w:hint="eastAsia" w:ascii="宋体" w:hAnsi="宋体" w:cs="宋体"/>
          <w:sz w:val="24"/>
          <w:highlight w:val="none"/>
        </w:rPr>
      </w:pPr>
      <w:r>
        <w:rPr>
          <w:rFonts w:hint="eastAsia" w:cs="宋体" w:asciiTheme="minorEastAsia" w:hAnsiTheme="minorEastAsia" w:eastAsiaTheme="minorEastAsia"/>
          <w:b/>
          <w:bCs/>
          <w:sz w:val="24"/>
          <w:szCs w:val="24"/>
          <w:highlight w:val="none"/>
        </w:rPr>
        <w:t>五、验收</w:t>
      </w:r>
      <w:r>
        <w:rPr>
          <w:rFonts w:hint="eastAsia" w:asciiTheme="minorEastAsia" w:hAnsiTheme="minorEastAsia" w:eastAsiaTheme="minorEastAsia"/>
          <w:b/>
          <w:sz w:val="24"/>
          <w:szCs w:val="24"/>
          <w:highlight w:val="none"/>
        </w:rPr>
        <w:t>：</w:t>
      </w:r>
    </w:p>
    <w:p w14:paraId="45616DC6">
      <w:pPr>
        <w:tabs>
          <w:tab w:val="left" w:pos="0"/>
        </w:tabs>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验收依据：①采购文件确定的技术指标或者服务要求；②磋商响应文件承诺、询标回复；③服务合同、甲方制定的考核标准。未进行相应约定的，应当符合国家强制性规定、政策要求、安全标准、行业或企业有关标准等。</w:t>
      </w:r>
    </w:p>
    <w:p w14:paraId="45BD2A02">
      <w:pPr>
        <w:tabs>
          <w:tab w:val="left" w:pos="0"/>
        </w:tabs>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验收标准：①项目时间进度是否按要求开展。②项目团队是否按要求配备。提供实际项目人员清单，且与磋商响应文件的内容一致。③采购内容是否全部完成。主要考察主场活动完成情况是否达到采购文件要求及磋商响应文件的响应情况。④成果是否达到甲方要求，是否达到采购文件要求及磋商响应文件的响应情况。</w:t>
      </w:r>
    </w:p>
    <w:p w14:paraId="050169D8">
      <w:pPr>
        <w:tabs>
          <w:tab w:val="left" w:pos="0"/>
        </w:tabs>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验收方法：乙方应及时、如实整理项目有关档案、记录和技术资料，服务完毕后通知甲方组织接收，内容包括书面验收申请、相关说明、报告等。甲方收到乙方申请后，组织进行验收考核，乙方应当协助进行。验收结果可以作为甲方付款的考虑依据。</w:t>
      </w:r>
    </w:p>
    <w:p w14:paraId="22463227">
      <w:pPr>
        <w:tabs>
          <w:tab w:val="left" w:pos="0"/>
        </w:tabs>
        <w:spacing w:line="360" w:lineRule="auto"/>
        <w:ind w:firstLine="482" w:firstLineChars="200"/>
        <w:rPr>
          <w:rFonts w:hint="eastAsia" w:ascii="宋体" w:hAnsi="宋体" w:cs="宋体"/>
          <w:sz w:val="24"/>
          <w:highlight w:val="none"/>
        </w:rPr>
      </w:pPr>
      <w:r>
        <w:rPr>
          <w:rFonts w:hint="eastAsia" w:cs="仿宋" w:asciiTheme="minorEastAsia" w:hAnsiTheme="minorEastAsia" w:eastAsiaTheme="minorEastAsia"/>
          <w:b/>
          <w:sz w:val="24"/>
          <w:szCs w:val="24"/>
          <w:highlight w:val="none"/>
        </w:rPr>
        <w:t>六、</w:t>
      </w:r>
      <w:r>
        <w:rPr>
          <w:rFonts w:hint="eastAsia" w:ascii="宋体" w:hAnsi="宋体" w:cs="宋体"/>
          <w:b/>
          <w:bCs/>
          <w:sz w:val="24"/>
          <w:highlight w:val="none"/>
        </w:rPr>
        <w:t>合同履行期限：</w:t>
      </w:r>
      <w:r>
        <w:rPr>
          <w:rFonts w:hint="eastAsia" w:ascii="宋体" w:hAnsi="宋体" w:cs="宋体"/>
          <w:b w:val="0"/>
          <w:bCs w:val="0"/>
          <w:sz w:val="24"/>
          <w:highlight w:val="none"/>
        </w:rPr>
        <w:t>合同签订后120日历天内完成加工任务</w:t>
      </w:r>
      <w:r>
        <w:rPr>
          <w:rFonts w:hint="eastAsia" w:ascii="宋体" w:hAnsi="宋体" w:cs="宋体"/>
          <w:b w:val="0"/>
          <w:bCs w:val="0"/>
          <w:sz w:val="24"/>
          <w:highlight w:val="none"/>
          <w:lang w:eastAsia="zh-CN"/>
        </w:rPr>
        <w:t>。</w:t>
      </w:r>
      <w:r>
        <w:rPr>
          <w:rFonts w:hint="eastAsia" w:ascii="宋体" w:hAnsi="宋体" w:cs="宋体"/>
          <w:sz w:val="24"/>
          <w:highlight w:val="none"/>
        </w:rPr>
        <w:t>具体活动执行时间由甲方根据实际情况确定，执行方负责落实。</w:t>
      </w:r>
    </w:p>
    <w:p w14:paraId="79FEBBDC">
      <w:pPr>
        <w:spacing w:line="360" w:lineRule="auto"/>
        <w:ind w:firstLine="482"/>
        <w:jc w:val="left"/>
        <w:rPr>
          <w:rFonts w:hint="eastAsia" w:ascii="宋体" w:hAnsi="宋体" w:cs="宋体"/>
          <w:sz w:val="24"/>
          <w:highlight w:val="none"/>
        </w:rPr>
      </w:pPr>
      <w:r>
        <w:rPr>
          <w:rFonts w:hint="eastAsia" w:cs="仿宋" w:asciiTheme="minorEastAsia" w:hAnsiTheme="minorEastAsia" w:eastAsiaTheme="minorEastAsia"/>
          <w:b/>
          <w:sz w:val="24"/>
          <w:szCs w:val="24"/>
          <w:highlight w:val="none"/>
        </w:rPr>
        <w:t>七、</w:t>
      </w:r>
      <w:r>
        <w:rPr>
          <w:rFonts w:hint="eastAsia" w:ascii="宋体" w:hAnsi="宋体" w:cs="宋体"/>
          <w:b/>
          <w:bCs/>
          <w:sz w:val="24"/>
          <w:highlight w:val="none"/>
        </w:rPr>
        <w:t>服务提供的地点、方式：</w:t>
      </w:r>
      <w:r>
        <w:rPr>
          <w:rFonts w:hint="eastAsia" w:ascii="宋体" w:hAnsi="宋体" w:cs="宋体"/>
          <w:sz w:val="24"/>
          <w:highlight w:val="none"/>
        </w:rPr>
        <w:t>甲方指定地点：具体活动地点由甲方根据实际情况确定，由甲方负责落实。</w:t>
      </w:r>
    </w:p>
    <w:p w14:paraId="3C79E1E1">
      <w:pPr>
        <w:spacing w:line="360" w:lineRule="auto"/>
        <w:ind w:firstLine="482"/>
        <w:jc w:val="left"/>
        <w:rPr>
          <w:rFonts w:hint="eastAsia" w:asciiTheme="minorEastAsia" w:hAnsiTheme="minorEastAsia" w:eastAsiaTheme="minorEastAsia"/>
          <w:sz w:val="24"/>
          <w:szCs w:val="24"/>
          <w:highlight w:val="none"/>
        </w:rPr>
      </w:pPr>
      <w:r>
        <w:rPr>
          <w:rFonts w:hint="eastAsia" w:cs="宋体" w:asciiTheme="minorEastAsia" w:hAnsiTheme="minorEastAsia" w:eastAsiaTheme="minorEastAsia"/>
          <w:b/>
          <w:bCs/>
          <w:sz w:val="24"/>
          <w:szCs w:val="24"/>
          <w:highlight w:val="none"/>
        </w:rPr>
        <w:t>八、</w:t>
      </w:r>
      <w:r>
        <w:rPr>
          <w:rFonts w:hint="eastAsia" w:cs="仿宋" w:asciiTheme="minorEastAsia" w:hAnsiTheme="minorEastAsia" w:eastAsiaTheme="minorEastAsia"/>
          <w:b/>
          <w:sz w:val="24"/>
          <w:szCs w:val="24"/>
          <w:highlight w:val="none"/>
        </w:rPr>
        <w:t>不可抗力</w:t>
      </w:r>
      <w:r>
        <w:rPr>
          <w:rFonts w:hint="eastAsia" w:cs="仿宋" w:asciiTheme="minorEastAsia" w:hAnsiTheme="minorEastAsia" w:eastAsiaTheme="minorEastAsia"/>
          <w:sz w:val="24"/>
          <w:szCs w:val="24"/>
          <w:highlight w:val="none"/>
        </w:rPr>
        <w:t>：</w:t>
      </w:r>
      <w:r>
        <w:rPr>
          <w:rFonts w:hint="eastAsia" w:asciiTheme="minorEastAsia" w:hAnsiTheme="minorEastAsia" w:eastAsiaTheme="minorEastAsia"/>
          <w:sz w:val="24"/>
          <w:szCs w:val="24"/>
          <w:highlight w:val="none"/>
        </w:rPr>
        <w:t>如果任何一方遭遇法律规定的不可抗力，致使合同履行受阻时，受不可抗力影响的一方及时以书面形式通知对方当事人；履行合同的期限应予延长，延长的期限应相当于不可抗力所影响的时间；因不可抗力致使不能实现合同目的的，当事人可以解除合同；因不可抗力致使合同有变更必要的，双方当事人应在约定时间内以书面形式变更合同</w:t>
      </w:r>
    </w:p>
    <w:p w14:paraId="2ADB516D">
      <w:pPr>
        <w:spacing w:line="360" w:lineRule="auto"/>
        <w:ind w:firstLine="573"/>
        <w:rPr>
          <w:rFonts w:hint="eastAsia" w:cs="宋体" w:asciiTheme="minorEastAsia" w:hAnsiTheme="minorEastAsia" w:eastAsiaTheme="minorEastAsia"/>
          <w:sz w:val="24"/>
          <w:szCs w:val="24"/>
          <w:highlight w:val="none"/>
        </w:rPr>
      </w:pPr>
      <w:r>
        <w:rPr>
          <w:rFonts w:hint="eastAsia" w:cs="仿宋" w:asciiTheme="minorEastAsia" w:hAnsiTheme="minorEastAsia" w:eastAsiaTheme="minorEastAsia"/>
          <w:b/>
          <w:sz w:val="24"/>
          <w:szCs w:val="24"/>
          <w:highlight w:val="none"/>
        </w:rPr>
        <w:t>九、合同的解除和转让</w:t>
      </w:r>
    </w:p>
    <w:p w14:paraId="3ACF9086">
      <w:pPr>
        <w:spacing w:line="360" w:lineRule="auto"/>
        <w:ind w:firstLine="573"/>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9.1 甲方和乙方协商一致，可以解除合同。</w:t>
      </w:r>
    </w:p>
    <w:p w14:paraId="47E83AEC">
      <w:pPr>
        <w:spacing w:line="360" w:lineRule="auto"/>
        <w:ind w:firstLine="573"/>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9.2 有下列情形之一，合同一方可以解除合同：</w:t>
      </w:r>
    </w:p>
    <w:p w14:paraId="33294C32">
      <w:pPr>
        <w:spacing w:line="360" w:lineRule="auto"/>
        <w:ind w:firstLine="573"/>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9.2.1 因不可抗力致使不能实现合同目的，未受不可抗力影响的一方有权解除合同。</w:t>
      </w:r>
    </w:p>
    <w:p w14:paraId="525CF98C">
      <w:pPr>
        <w:spacing w:line="360" w:lineRule="auto"/>
        <w:ind w:firstLine="573"/>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9.2.2 因合同一方违约导致合同不能履行，另一方有权解除合同。</w:t>
      </w:r>
    </w:p>
    <w:p w14:paraId="53DE5277">
      <w:pPr>
        <w:spacing w:line="360" w:lineRule="auto"/>
        <w:ind w:firstLine="573"/>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9.2.3 有权解除合同的一方，应当在违约事实或不可抗力发生之后三十天内书面通知对方以主张解除合同，合同在书面通知到达对方时解除。</w:t>
      </w:r>
    </w:p>
    <w:p w14:paraId="130E7A92">
      <w:pPr>
        <w:spacing w:line="360" w:lineRule="auto"/>
        <w:ind w:firstLine="573"/>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9.3 合同的部分和全部都不得转让。</w:t>
      </w:r>
    </w:p>
    <w:p w14:paraId="2D80F6A0">
      <w:pPr>
        <w:spacing w:line="360" w:lineRule="auto"/>
        <w:ind w:firstLine="482"/>
        <w:jc w:val="left"/>
        <w:rPr>
          <w:rFonts w:hint="eastAsia" w:cs="仿宋" w:asciiTheme="minorEastAsia" w:hAnsiTheme="minorEastAsia" w:eastAsiaTheme="minorEastAsia"/>
          <w:b/>
          <w:sz w:val="24"/>
          <w:szCs w:val="24"/>
          <w:highlight w:val="none"/>
        </w:rPr>
      </w:pPr>
      <w:r>
        <w:rPr>
          <w:rFonts w:hint="eastAsia" w:cs="仿宋" w:asciiTheme="minorEastAsia" w:hAnsiTheme="minorEastAsia" w:eastAsiaTheme="minorEastAsia"/>
          <w:b/>
          <w:sz w:val="24"/>
          <w:szCs w:val="24"/>
          <w:highlight w:val="none"/>
        </w:rPr>
        <w:t>十、合同生效</w:t>
      </w:r>
    </w:p>
    <w:p w14:paraId="47822BD2">
      <w:pPr>
        <w:spacing w:line="360" w:lineRule="auto"/>
        <w:ind w:firstLine="480"/>
        <w:jc w:val="left"/>
        <w:rPr>
          <w:rFonts w:hint="eastAsia"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本合同经双方盖章签字后生效，如有变动，必须经双方协商一致后，方可更改。本合同一式陆份，甲方叁份，乙方叁份。</w:t>
      </w:r>
    </w:p>
    <w:p w14:paraId="67D7ED01">
      <w:pPr>
        <w:spacing w:line="360" w:lineRule="auto"/>
        <w:ind w:firstLine="482"/>
        <w:jc w:val="left"/>
        <w:rPr>
          <w:rFonts w:hint="eastAsia" w:cs="仿宋" w:asciiTheme="minorEastAsia" w:hAnsiTheme="minorEastAsia" w:eastAsiaTheme="minorEastAsia"/>
          <w:b/>
          <w:sz w:val="24"/>
          <w:szCs w:val="24"/>
          <w:highlight w:val="none"/>
        </w:rPr>
      </w:pPr>
      <w:r>
        <w:rPr>
          <w:rFonts w:hint="eastAsia" w:cs="仿宋" w:asciiTheme="minorEastAsia" w:hAnsiTheme="minorEastAsia" w:eastAsiaTheme="minorEastAsia"/>
          <w:b/>
          <w:sz w:val="24"/>
          <w:szCs w:val="24"/>
          <w:highlight w:val="none"/>
        </w:rPr>
        <w:t>十一、争议的解决</w:t>
      </w:r>
    </w:p>
    <w:p w14:paraId="61AC37C5">
      <w:pPr>
        <w:spacing w:line="360" w:lineRule="auto"/>
        <w:ind w:firstLine="573"/>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甲乙双方因合同发生争议，应在招标采购单位的主持下进行调解，协商不成，任何一方可以向甲方所在地人民法院起诉。</w:t>
      </w:r>
    </w:p>
    <w:p w14:paraId="26E47CCD">
      <w:pPr>
        <w:spacing w:line="360" w:lineRule="auto"/>
        <w:ind w:firstLine="482"/>
        <w:jc w:val="left"/>
        <w:rPr>
          <w:rFonts w:hint="eastAsia" w:cs="仿宋" w:asciiTheme="minorEastAsia" w:hAnsiTheme="minorEastAsia" w:eastAsiaTheme="minorEastAsia"/>
          <w:b/>
          <w:sz w:val="24"/>
          <w:szCs w:val="24"/>
          <w:highlight w:val="none"/>
        </w:rPr>
      </w:pPr>
      <w:r>
        <w:rPr>
          <w:rFonts w:hint="eastAsia" w:cs="仿宋" w:asciiTheme="minorEastAsia" w:hAnsiTheme="minorEastAsia" w:eastAsiaTheme="minorEastAsia"/>
          <w:b/>
          <w:sz w:val="24"/>
          <w:szCs w:val="24"/>
          <w:highlight w:val="none"/>
        </w:rPr>
        <w:t>十二、附则</w:t>
      </w:r>
    </w:p>
    <w:p w14:paraId="26947E18">
      <w:pPr>
        <w:spacing w:line="360" w:lineRule="auto"/>
        <w:ind w:firstLine="573"/>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12.1 合同份数：本合同一式陆份，采购单位、供应商各叁份。</w:t>
      </w:r>
    </w:p>
    <w:p w14:paraId="29B62C59">
      <w:pPr>
        <w:spacing w:line="360" w:lineRule="auto"/>
        <w:ind w:firstLine="573"/>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12.2 本合同文件使用中文书写、解释和说明。</w:t>
      </w:r>
    </w:p>
    <w:p w14:paraId="4CD00CB3">
      <w:pPr>
        <w:spacing w:line="360" w:lineRule="auto"/>
        <w:ind w:firstLine="573"/>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12.3 本合同履行过程中产生的纪要、协议以及成交通知书、采购响应文件和采购文件为本合同的附件，与合同具有同等效力。</w:t>
      </w:r>
    </w:p>
    <w:p w14:paraId="64841BF9">
      <w:pPr>
        <w:spacing w:line="360" w:lineRule="auto"/>
        <w:ind w:firstLine="573"/>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12.4 未尽事宜</w:t>
      </w:r>
    </w:p>
    <w:p w14:paraId="3B31FD58">
      <w:pPr>
        <w:spacing w:line="360" w:lineRule="auto"/>
        <w:ind w:firstLine="573"/>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本合同未尽事宜应按照《中华人民共和国民法典》及其相关配套法律法规之规定解释。</w:t>
      </w:r>
    </w:p>
    <w:p w14:paraId="07D0E34D">
      <w:pPr>
        <w:spacing w:line="360" w:lineRule="auto"/>
        <w:ind w:firstLine="485"/>
        <w:rPr>
          <w:rFonts w:hint="eastAsia" w:cs="宋体" w:asciiTheme="minorEastAsia" w:hAnsiTheme="minorEastAsia" w:eastAsiaTheme="minorEastAsia"/>
          <w:sz w:val="24"/>
          <w:szCs w:val="24"/>
          <w:highlight w:val="none"/>
        </w:rPr>
      </w:pPr>
    </w:p>
    <w:p w14:paraId="73ACBBA4">
      <w:pPr>
        <w:spacing w:before="120" w:beforeLines="50" w:after="120" w:afterLines="50" w:line="300" w:lineRule="auto"/>
        <w:ind w:firstLine="488"/>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采购单位（或甲方）：             成交供应商（或乙方）：</w:t>
      </w:r>
    </w:p>
    <w:p w14:paraId="44A76509">
      <w:pPr>
        <w:spacing w:before="120" w:beforeLines="50" w:after="120" w:afterLines="50" w:line="300" w:lineRule="auto"/>
        <w:ind w:firstLine="488"/>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法定代表人：                     法定代表人：</w:t>
      </w:r>
    </w:p>
    <w:p w14:paraId="64DBD7D2">
      <w:pPr>
        <w:spacing w:before="120" w:beforeLines="50" w:after="120" w:afterLines="50" w:line="300" w:lineRule="auto"/>
        <w:ind w:firstLine="488"/>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委托代理人：                     委托代理人：</w:t>
      </w:r>
    </w:p>
    <w:p w14:paraId="60F36D0D">
      <w:pPr>
        <w:spacing w:line="400" w:lineRule="exact"/>
        <w:ind w:firstLine="725"/>
        <w:rPr>
          <w:rFonts w:hint="eastAsia" w:ascii="宋体" w:hAnsi="宋体" w:cs="宋体"/>
          <w:b/>
          <w:bCs/>
          <w:sz w:val="44"/>
          <w:szCs w:val="44"/>
          <w:highlight w:val="none"/>
        </w:rPr>
      </w:pPr>
      <w:r>
        <w:rPr>
          <w:rFonts w:hint="eastAsia" w:cs="宋体" w:asciiTheme="minorEastAsia" w:hAnsiTheme="minorEastAsia" w:eastAsiaTheme="minorEastAsia"/>
          <w:sz w:val="24"/>
          <w:szCs w:val="24"/>
          <w:highlight w:val="none"/>
        </w:rPr>
        <w:t xml:space="preserve">                                          年  月  日</w:t>
      </w:r>
    </w:p>
    <w:p w14:paraId="75AB7CC9">
      <w:pPr>
        <w:spacing w:line="360" w:lineRule="auto"/>
        <w:jc w:val="center"/>
        <w:outlineLvl w:val="0"/>
        <w:rPr>
          <w:rFonts w:hint="eastAsia" w:asciiTheme="minorEastAsia" w:hAnsiTheme="minorEastAsia" w:eastAsiaTheme="minorEastAsia"/>
          <w:highlight w:val="none"/>
        </w:rPr>
      </w:pPr>
    </w:p>
    <w:sectPr>
      <w:pgSz w:w="11906" w:h="16838"/>
      <w:pgMar w:top="1361" w:right="1843" w:bottom="1361" w:left="1361" w:header="851" w:footer="992"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方正仿宋_GBK">
    <w:altName w:val="Arial Unicode MS"/>
    <w:panose1 w:val="02000000000000000000"/>
    <w:charset w:val="86"/>
    <w:family w:val="script"/>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 w:name="等线">
    <w:panose1 w:val="02010600030101010101"/>
    <w:charset w:val="86"/>
    <w:family w:val="auto"/>
    <w:pitch w:val="default"/>
    <w:sig w:usb0="A00002BF" w:usb1="38CF7CFA" w:usb2="00000016" w:usb3="00000000" w:csb0="0004000F" w:csb1="00000000"/>
  </w:font>
  <w:font w:name="Trebuchet MS">
    <w:panose1 w:val="020B0603020202020204"/>
    <w:charset w:val="00"/>
    <w:family w:val="swiss"/>
    <w:pitch w:val="default"/>
    <w:sig w:usb0="00000687" w:usb1="00000000" w:usb2="00000000" w:usb3="00000000" w:csb0="2000009F" w:csb1="00000000"/>
  </w:font>
  <w:font w:name="FuturaA Bk B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长城仿宋">
    <w:altName w:val="宋体"/>
    <w:panose1 w:val="00000000000000000000"/>
    <w:charset w:val="00"/>
    <w:family w:val="auto"/>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2179A">
    <w:pPr>
      <w:pStyle w:val="9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151399" name="文本框 1"/>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14:paraId="1B5206BD">
                          <w:pPr>
                            <w:pStyle w:val="98"/>
                          </w:pPr>
                          <w:r>
                            <w:fldChar w:fldCharType="begin"/>
                          </w:r>
                          <w:r>
                            <w:instrText xml:space="preserve">PAGE \* MERGEFORMAT</w:instrText>
                          </w:r>
                          <w:r>
                            <w:fldChar w:fldCharType="separate"/>
                          </w:r>
                          <w:r>
                            <w:t>22</w:t>
                          </w:r>
                          <w:r>
                            <w:fldChar w:fldCharType="end"/>
                          </w:r>
                        </w:p>
                      </w:txbxContent>
                    </wps:txbx>
                    <wps:bodyPr wrap="square" lIns="0" tIns="0" rIns="0" bIns="0" upright="1"/>
                  </wps:wsp>
                </a:graphicData>
              </a:graphic>
            </wp:anchor>
          </w:drawing>
        </mc:Choice>
        <mc:Fallback>
          <w:pict>
            <v:shape id="文本框 1"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mk9kDSAAAABQEAAA8AAAAAAAAAAQAgAAAAIgAAAGRycy9k&#10;b3ducmV2LnhtbFBLAQIUABQAAAAIAIdO4kBK9JfczwEAAJUDAAAOAAAAAAAAAAEAIAAAACEBAABk&#10;cnMvZTJvRG9jLnhtbFBLBQYAAAAABgAGAFkBAABiBQAAAAA=&#10;">
              <v:fill on="f" focussize="0,0"/>
              <v:stroke on="f"/>
              <v:imagedata o:title=""/>
              <o:lock v:ext="edit" aspectratio="f"/>
              <v:textbox inset="0mm,0mm,0mm,0mm">
                <w:txbxContent>
                  <w:p w14:paraId="1B5206BD">
                    <w:pPr>
                      <w:pStyle w:val="98"/>
                    </w:pPr>
                    <w:r>
                      <w:fldChar w:fldCharType="begin"/>
                    </w:r>
                    <w:r>
                      <w:instrText xml:space="preserve">PAGE \* MERGEFORMAT</w:instrText>
                    </w:r>
                    <w:r>
                      <w:fldChar w:fldCharType="separate"/>
                    </w:r>
                    <w:r>
                      <w:t>22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3958C">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98138">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DADFF">
    <w:pPr>
      <w:pStyle w:val="2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938F5">
    <w:pPr>
      <w:pStyle w:val="2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4D9BB">
    <w:pPr>
      <w:pStyle w:val="2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445290"/>
    <w:multiLevelType w:val="singleLevel"/>
    <w:tmpl w:val="2D445290"/>
    <w:lvl w:ilvl="0" w:tentative="0">
      <w:start w:val="2"/>
      <w:numFmt w:val="decimal"/>
      <w:suff w:val="nothing"/>
      <w:lvlText w:val="%1、"/>
      <w:lvlJc w:val="left"/>
    </w:lvl>
  </w:abstractNum>
  <w:abstractNum w:abstractNumId="1">
    <w:nsid w:val="3218DF74"/>
    <w:multiLevelType w:val="singleLevel"/>
    <w:tmpl w:val="3218DF74"/>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balanceSingleByteDoubleByteWidth/>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cxZTk4ODU1ZmZhNDIxMTBlZDJlNDI4ZDQ0ZDk0MDQifQ=="/>
  </w:docVars>
  <w:rsids>
    <w:rsidRoot w:val="009B6844"/>
    <w:rsid w:val="00092DEA"/>
    <w:rsid w:val="000A2FEF"/>
    <w:rsid w:val="001D43BB"/>
    <w:rsid w:val="003154FC"/>
    <w:rsid w:val="003513C5"/>
    <w:rsid w:val="00377518"/>
    <w:rsid w:val="003F077B"/>
    <w:rsid w:val="004638CA"/>
    <w:rsid w:val="00561909"/>
    <w:rsid w:val="00585EA0"/>
    <w:rsid w:val="005B77F8"/>
    <w:rsid w:val="005F7531"/>
    <w:rsid w:val="006633E1"/>
    <w:rsid w:val="00706870"/>
    <w:rsid w:val="00762FA8"/>
    <w:rsid w:val="00795727"/>
    <w:rsid w:val="00897674"/>
    <w:rsid w:val="008F6873"/>
    <w:rsid w:val="00970CB4"/>
    <w:rsid w:val="009B6844"/>
    <w:rsid w:val="009D44C6"/>
    <w:rsid w:val="00A30612"/>
    <w:rsid w:val="00A40968"/>
    <w:rsid w:val="00AB376C"/>
    <w:rsid w:val="00B56FB7"/>
    <w:rsid w:val="00B743AF"/>
    <w:rsid w:val="00B82F32"/>
    <w:rsid w:val="00BB4B1F"/>
    <w:rsid w:val="00C22BC8"/>
    <w:rsid w:val="00C54EFF"/>
    <w:rsid w:val="00C7298E"/>
    <w:rsid w:val="00D65DB3"/>
    <w:rsid w:val="00FA0539"/>
    <w:rsid w:val="011D5946"/>
    <w:rsid w:val="015550E7"/>
    <w:rsid w:val="036839EA"/>
    <w:rsid w:val="03C67700"/>
    <w:rsid w:val="05EA06E6"/>
    <w:rsid w:val="06ED0F6A"/>
    <w:rsid w:val="071C0D73"/>
    <w:rsid w:val="08703469"/>
    <w:rsid w:val="0A704974"/>
    <w:rsid w:val="0A7B568B"/>
    <w:rsid w:val="0CA81750"/>
    <w:rsid w:val="0CFF716D"/>
    <w:rsid w:val="0E1B1632"/>
    <w:rsid w:val="0E7D501B"/>
    <w:rsid w:val="1019620F"/>
    <w:rsid w:val="1702391F"/>
    <w:rsid w:val="1792769D"/>
    <w:rsid w:val="19836A30"/>
    <w:rsid w:val="1B252495"/>
    <w:rsid w:val="1BA82907"/>
    <w:rsid w:val="1C701ABE"/>
    <w:rsid w:val="1D5C3DE8"/>
    <w:rsid w:val="1E28404A"/>
    <w:rsid w:val="20DC2E9E"/>
    <w:rsid w:val="212E1977"/>
    <w:rsid w:val="2A1B1295"/>
    <w:rsid w:val="2B1D79DD"/>
    <w:rsid w:val="2B4F3E40"/>
    <w:rsid w:val="2CDC672B"/>
    <w:rsid w:val="30FC12D2"/>
    <w:rsid w:val="38FC6930"/>
    <w:rsid w:val="3B557465"/>
    <w:rsid w:val="3DB44648"/>
    <w:rsid w:val="3EAD617A"/>
    <w:rsid w:val="41B83B4E"/>
    <w:rsid w:val="4345139E"/>
    <w:rsid w:val="44A45929"/>
    <w:rsid w:val="450E25AA"/>
    <w:rsid w:val="480E5EDB"/>
    <w:rsid w:val="4A2B26C2"/>
    <w:rsid w:val="4A930169"/>
    <w:rsid w:val="4F98252E"/>
    <w:rsid w:val="540112CF"/>
    <w:rsid w:val="58896EB8"/>
    <w:rsid w:val="5F500531"/>
    <w:rsid w:val="62AA1AF2"/>
    <w:rsid w:val="62B23683"/>
    <w:rsid w:val="68BD33C0"/>
    <w:rsid w:val="6F593630"/>
    <w:rsid w:val="703A30F4"/>
    <w:rsid w:val="70F51137"/>
    <w:rsid w:val="71B95409"/>
    <w:rsid w:val="757B37FE"/>
    <w:rsid w:val="75B54641"/>
    <w:rsid w:val="78A159F8"/>
    <w:rsid w:val="7CE34539"/>
    <w:rsid w:val="7E5106CC"/>
    <w:rsid w:val="7FA708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iPriority="39" w:semiHidden="0" w:name="toc 2"/>
    <w:lsdException w:qFormat="1" w:unhideWhenUsed="0" w:uiPriority="0" w:semiHidden="0" w:name="toc 3"/>
    <w:lsdException w:qFormat="1" w:uiPriority="39" w:semiHidden="0" w:name="toc 4"/>
    <w:lsdException w:qFormat="1" w:uiPriority="39" w:semiHidden="0" w:name="toc 5"/>
    <w:lsdException w:qFormat="1" w:unhideWhenUsed="0" w:uiPriority="0"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qFormat="1" w:uiPriority="99" w:semiHidden="0" w:name="envelope return"/>
    <w:lsdException w:qFormat="1" w:uiPriority="99" w:semiHidden="0" w:name="footnote reference"/>
    <w:lsdException w:qFormat="1" w:uiPriority="99"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nhideWhenUsed="0" w:uiPriority="99"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lang w:val="en-US" w:eastAsia="zh-CN" w:bidi="ar-SA"/>
    </w:rPr>
  </w:style>
  <w:style w:type="paragraph" w:styleId="2">
    <w:name w:val="heading 1"/>
    <w:basedOn w:val="1"/>
    <w:next w:val="1"/>
    <w:qFormat/>
    <w:uiPriority w:val="9"/>
    <w:pPr>
      <w:keepNext/>
      <w:keepLines/>
      <w:spacing w:before="480" w:after="200"/>
      <w:outlineLvl w:val="0"/>
    </w:pPr>
    <w:rPr>
      <w:rFonts w:ascii="Arial" w:hAnsi="Arial" w:eastAsia="Arial" w:cs="Arial"/>
      <w:sz w:val="40"/>
      <w:szCs w:val="40"/>
    </w:rPr>
  </w:style>
  <w:style w:type="paragraph" w:styleId="3">
    <w:name w:val="heading 2"/>
    <w:basedOn w:val="1"/>
    <w:next w:val="1"/>
    <w:unhideWhenUsed/>
    <w:qFormat/>
    <w:uiPriority w:val="9"/>
    <w:pPr>
      <w:keepNext/>
      <w:keepLines/>
      <w:spacing w:before="360" w:after="200"/>
      <w:outlineLvl w:val="1"/>
    </w:pPr>
    <w:rPr>
      <w:rFonts w:ascii="Arial" w:hAnsi="Arial" w:eastAsia="Arial" w:cs="Arial"/>
      <w:sz w:val="34"/>
    </w:rPr>
  </w:style>
  <w:style w:type="paragraph" w:styleId="4">
    <w:name w:val="heading 3"/>
    <w:basedOn w:val="1"/>
    <w:next w:val="1"/>
    <w:unhideWhenUsed/>
    <w:qFormat/>
    <w:uiPriority w:val="9"/>
    <w:pPr>
      <w:keepNext/>
      <w:keepLines/>
      <w:spacing w:before="320" w:after="200"/>
      <w:outlineLvl w:val="2"/>
    </w:pPr>
    <w:rPr>
      <w:rFonts w:ascii="Arial" w:hAnsi="Arial" w:eastAsia="Arial" w:cs="Arial"/>
      <w:sz w:val="30"/>
      <w:szCs w:val="30"/>
    </w:rPr>
  </w:style>
  <w:style w:type="paragraph" w:styleId="5">
    <w:name w:val="heading 4"/>
    <w:basedOn w:val="1"/>
    <w:next w:val="1"/>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unhideWhenUsed/>
    <w:qFormat/>
    <w:uiPriority w:val="9"/>
    <w:pPr>
      <w:keepNext/>
      <w:keepLines/>
      <w:spacing w:before="320" w:after="200"/>
      <w:outlineLvl w:val="4"/>
    </w:pPr>
    <w:rPr>
      <w:rFonts w:ascii="Arial" w:hAnsi="Arial" w:eastAsia="Arial" w:cs="Arial"/>
      <w:b/>
      <w:bCs/>
      <w:sz w:val="24"/>
      <w:szCs w:val="24"/>
    </w:rPr>
  </w:style>
  <w:style w:type="paragraph" w:styleId="7">
    <w:name w:val="heading 6"/>
    <w:basedOn w:val="1"/>
    <w:next w:val="1"/>
    <w:unhideWhenUsed/>
    <w:qFormat/>
    <w:uiPriority w:val="9"/>
    <w:pPr>
      <w:keepNext/>
      <w:keepLines/>
      <w:spacing w:before="320" w:after="200"/>
      <w:outlineLvl w:val="5"/>
    </w:pPr>
    <w:rPr>
      <w:rFonts w:ascii="Arial" w:hAnsi="Arial" w:eastAsia="Arial" w:cs="Arial"/>
      <w:b/>
      <w:bCs/>
      <w:sz w:val="22"/>
      <w:szCs w:val="22"/>
    </w:rPr>
  </w:style>
  <w:style w:type="paragraph" w:styleId="8">
    <w:name w:val="heading 7"/>
    <w:basedOn w:val="1"/>
    <w:next w:val="1"/>
    <w:unhideWhenUsed/>
    <w:qFormat/>
    <w:uiPriority w:val="9"/>
    <w:pPr>
      <w:keepNext/>
      <w:keepLines/>
      <w:spacing w:before="320" w:after="200"/>
      <w:outlineLvl w:val="6"/>
    </w:pPr>
    <w:rPr>
      <w:rFonts w:ascii="Arial" w:hAnsi="Arial" w:eastAsia="Arial" w:cs="Arial"/>
      <w:b/>
      <w:bCs/>
      <w:i/>
      <w:iCs/>
      <w:sz w:val="22"/>
      <w:szCs w:val="22"/>
    </w:rPr>
  </w:style>
  <w:style w:type="paragraph" w:styleId="9">
    <w:name w:val="heading 8"/>
    <w:basedOn w:val="1"/>
    <w:next w:val="1"/>
    <w:unhideWhenUsed/>
    <w:qFormat/>
    <w:uiPriority w:val="9"/>
    <w:pPr>
      <w:keepNext/>
      <w:keepLines/>
      <w:spacing w:before="320" w:after="200"/>
      <w:outlineLvl w:val="7"/>
    </w:pPr>
    <w:rPr>
      <w:rFonts w:ascii="Arial" w:hAnsi="Arial" w:eastAsia="Arial" w:cs="Arial"/>
      <w:i/>
      <w:iCs/>
      <w:sz w:val="22"/>
      <w:szCs w:val="22"/>
    </w:rPr>
  </w:style>
  <w:style w:type="paragraph" w:styleId="10">
    <w:name w:val="heading 9"/>
    <w:basedOn w:val="1"/>
    <w:next w:val="1"/>
    <w:unhideWhenUsed/>
    <w:qFormat/>
    <w:uiPriority w:val="9"/>
    <w:pPr>
      <w:keepNext/>
      <w:keepLines/>
      <w:spacing w:before="320" w:after="200"/>
      <w:outlineLvl w:val="8"/>
    </w:pPr>
    <w:rPr>
      <w:rFonts w:ascii="Arial" w:hAnsi="Arial" w:eastAsia="Arial" w:cs="Arial"/>
      <w:i/>
      <w:iCs/>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spacing w:after="57"/>
      <w:ind w:left="1701"/>
    </w:pPr>
  </w:style>
  <w:style w:type="paragraph" w:styleId="12">
    <w:name w:val="Normal Indent"/>
    <w:basedOn w:val="1"/>
    <w:qFormat/>
    <w:uiPriority w:val="0"/>
    <w:pPr>
      <w:ind w:firstLine="420"/>
      <w:jc w:val="left"/>
    </w:pPr>
    <w:rPr>
      <w:rFonts w:eastAsia="楷体_GB2312"/>
      <w:sz w:val="24"/>
    </w:rPr>
  </w:style>
  <w:style w:type="paragraph" w:styleId="13">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4">
    <w:name w:val="annotation text"/>
    <w:basedOn w:val="1"/>
    <w:link w:val="257"/>
    <w:qFormat/>
    <w:uiPriority w:val="0"/>
    <w:pPr>
      <w:jc w:val="left"/>
    </w:pPr>
  </w:style>
  <w:style w:type="paragraph" w:styleId="15">
    <w:name w:val="Body Text"/>
    <w:basedOn w:val="1"/>
    <w:next w:val="1"/>
    <w:qFormat/>
    <w:uiPriority w:val="0"/>
    <w:pPr>
      <w:spacing w:after="120"/>
    </w:pPr>
  </w:style>
  <w:style w:type="paragraph" w:styleId="16">
    <w:name w:val="Body Text Indent"/>
    <w:basedOn w:val="1"/>
    <w:next w:val="17"/>
    <w:unhideWhenUsed/>
    <w:qFormat/>
    <w:uiPriority w:val="99"/>
    <w:pPr>
      <w:spacing w:after="120"/>
      <w:ind w:left="420"/>
    </w:pPr>
    <w:rPr>
      <w:szCs w:val="24"/>
    </w:rPr>
  </w:style>
  <w:style w:type="paragraph" w:styleId="17">
    <w:name w:val="envelope return"/>
    <w:basedOn w:val="1"/>
    <w:unhideWhenUsed/>
    <w:qFormat/>
    <w:uiPriority w:val="99"/>
    <w:rPr>
      <w:rFonts w:ascii="Arial" w:hAnsi="Arial"/>
    </w:rPr>
  </w:style>
  <w:style w:type="paragraph" w:styleId="18">
    <w:name w:val="index 4"/>
    <w:basedOn w:val="1"/>
    <w:next w:val="1"/>
    <w:unhideWhenUsed/>
    <w:qFormat/>
    <w:uiPriority w:val="99"/>
    <w:pPr>
      <w:ind w:left="600"/>
    </w:pPr>
  </w:style>
  <w:style w:type="paragraph" w:styleId="19">
    <w:name w:val="toc 5"/>
    <w:basedOn w:val="1"/>
    <w:next w:val="1"/>
    <w:unhideWhenUsed/>
    <w:qFormat/>
    <w:uiPriority w:val="39"/>
    <w:pPr>
      <w:spacing w:after="57"/>
      <w:ind w:left="1134"/>
    </w:pPr>
  </w:style>
  <w:style w:type="paragraph" w:styleId="20">
    <w:name w:val="toc 3"/>
    <w:basedOn w:val="1"/>
    <w:next w:val="1"/>
    <w:qFormat/>
    <w:uiPriority w:val="0"/>
    <w:pPr>
      <w:ind w:left="840"/>
    </w:pPr>
  </w:style>
  <w:style w:type="paragraph" w:styleId="21">
    <w:name w:val="Plain Text"/>
    <w:basedOn w:val="1"/>
    <w:qFormat/>
    <w:uiPriority w:val="99"/>
    <w:rPr>
      <w:rFonts w:ascii="宋体" w:hAnsi="Courier New"/>
      <w:sz w:val="20"/>
      <w:szCs w:val="21"/>
    </w:rPr>
  </w:style>
  <w:style w:type="paragraph" w:styleId="22">
    <w:name w:val="toc 8"/>
    <w:basedOn w:val="1"/>
    <w:next w:val="1"/>
    <w:unhideWhenUsed/>
    <w:qFormat/>
    <w:uiPriority w:val="39"/>
    <w:pPr>
      <w:spacing w:after="57"/>
      <w:ind w:left="1984"/>
    </w:pPr>
  </w:style>
  <w:style w:type="paragraph" w:styleId="23">
    <w:name w:val="Body Text Indent 2"/>
    <w:basedOn w:val="1"/>
    <w:link w:val="259"/>
    <w:unhideWhenUsed/>
    <w:qFormat/>
    <w:uiPriority w:val="0"/>
    <w:pPr>
      <w:spacing w:line="500" w:lineRule="exact"/>
      <w:ind w:firstLine="560"/>
    </w:pPr>
    <w:rPr>
      <w:rFonts w:eastAsia="仿宋_GB2312"/>
      <w:sz w:val="28"/>
    </w:rPr>
  </w:style>
  <w:style w:type="paragraph" w:styleId="24">
    <w:name w:val="endnote text"/>
    <w:basedOn w:val="1"/>
    <w:link w:val="226"/>
    <w:semiHidden/>
    <w:unhideWhenUsed/>
    <w:qFormat/>
    <w:uiPriority w:val="99"/>
    <w:rPr>
      <w:sz w:val="20"/>
    </w:rPr>
  </w:style>
  <w:style w:type="paragraph" w:styleId="25">
    <w:name w:val="Balloon Text"/>
    <w:basedOn w:val="1"/>
    <w:link w:val="256"/>
    <w:semiHidden/>
    <w:unhideWhenUsed/>
    <w:qFormat/>
    <w:uiPriority w:val="99"/>
    <w:rPr>
      <w:sz w:val="18"/>
      <w:szCs w:val="18"/>
    </w:rPr>
  </w:style>
  <w:style w:type="paragraph" w:styleId="26">
    <w:name w:val="footer"/>
    <w:basedOn w:val="1"/>
    <w:link w:val="261"/>
    <w:unhideWhenUsed/>
    <w:qFormat/>
    <w:uiPriority w:val="99"/>
    <w:pPr>
      <w:tabs>
        <w:tab w:val="center" w:pos="4153"/>
        <w:tab w:val="right" w:pos="8306"/>
      </w:tabs>
      <w:jc w:val="left"/>
    </w:pPr>
    <w:rPr>
      <w:sz w:val="18"/>
      <w:szCs w:val="18"/>
    </w:rPr>
  </w:style>
  <w:style w:type="paragraph" w:styleId="27">
    <w:name w:val="header"/>
    <w:basedOn w:val="1"/>
    <w:link w:val="260"/>
    <w:unhideWhenUsed/>
    <w:qFormat/>
    <w:uiPriority w:val="99"/>
    <w:pPr>
      <w:pBdr>
        <w:bottom w:val="single" w:color="auto" w:sz="6" w:space="1"/>
      </w:pBdr>
      <w:tabs>
        <w:tab w:val="center" w:pos="4153"/>
        <w:tab w:val="right" w:pos="8306"/>
      </w:tabs>
      <w:jc w:val="center"/>
    </w:pPr>
    <w:rPr>
      <w:sz w:val="18"/>
      <w:szCs w:val="18"/>
    </w:rPr>
  </w:style>
  <w:style w:type="paragraph" w:styleId="28">
    <w:name w:val="toc 1"/>
    <w:basedOn w:val="1"/>
    <w:next w:val="1"/>
    <w:qFormat/>
    <w:uiPriority w:val="0"/>
    <w:pPr>
      <w:jc w:val="left"/>
    </w:pPr>
    <w:rPr>
      <w:rFonts w:eastAsia="楷体_GB2312"/>
      <w:sz w:val="24"/>
    </w:rPr>
  </w:style>
  <w:style w:type="paragraph" w:styleId="29">
    <w:name w:val="toc 4"/>
    <w:basedOn w:val="1"/>
    <w:next w:val="1"/>
    <w:unhideWhenUsed/>
    <w:qFormat/>
    <w:uiPriority w:val="39"/>
    <w:pPr>
      <w:spacing w:after="57"/>
      <w:ind w:left="850"/>
    </w:pPr>
  </w:style>
  <w:style w:type="paragraph" w:styleId="30">
    <w:name w:val="Subtitle"/>
    <w:basedOn w:val="1"/>
    <w:next w:val="1"/>
    <w:link w:val="111"/>
    <w:qFormat/>
    <w:uiPriority w:val="11"/>
    <w:pPr>
      <w:spacing w:before="200" w:after="200"/>
    </w:pPr>
    <w:rPr>
      <w:sz w:val="24"/>
      <w:szCs w:val="24"/>
    </w:rPr>
  </w:style>
  <w:style w:type="paragraph" w:styleId="31">
    <w:name w:val="footnote text"/>
    <w:basedOn w:val="1"/>
    <w:link w:val="225"/>
    <w:semiHidden/>
    <w:unhideWhenUsed/>
    <w:qFormat/>
    <w:uiPriority w:val="99"/>
    <w:pPr>
      <w:spacing w:after="40"/>
    </w:pPr>
    <w:rPr>
      <w:sz w:val="18"/>
    </w:rPr>
  </w:style>
  <w:style w:type="paragraph" w:styleId="32">
    <w:name w:val="toc 6"/>
    <w:basedOn w:val="1"/>
    <w:next w:val="1"/>
    <w:qFormat/>
    <w:uiPriority w:val="0"/>
    <w:pPr>
      <w:ind w:left="1050"/>
      <w:jc w:val="left"/>
    </w:pPr>
    <w:rPr>
      <w:sz w:val="18"/>
    </w:rPr>
  </w:style>
  <w:style w:type="paragraph" w:styleId="33">
    <w:name w:val="Body Text Indent 3"/>
    <w:basedOn w:val="1"/>
    <w:qFormat/>
    <w:uiPriority w:val="0"/>
    <w:pPr>
      <w:spacing w:line="520" w:lineRule="exact"/>
      <w:ind w:firstLine="539"/>
    </w:pPr>
    <w:rPr>
      <w:rFonts w:ascii="宋体"/>
      <w:b/>
      <w:spacing w:val="6"/>
      <w:sz w:val="28"/>
    </w:rPr>
  </w:style>
  <w:style w:type="paragraph" w:styleId="34">
    <w:name w:val="table of figures"/>
    <w:basedOn w:val="1"/>
    <w:next w:val="1"/>
    <w:unhideWhenUsed/>
    <w:qFormat/>
    <w:uiPriority w:val="99"/>
  </w:style>
  <w:style w:type="paragraph" w:styleId="35">
    <w:name w:val="toc 2"/>
    <w:basedOn w:val="1"/>
    <w:next w:val="1"/>
    <w:unhideWhenUsed/>
    <w:qFormat/>
    <w:uiPriority w:val="39"/>
    <w:pPr>
      <w:spacing w:after="57"/>
      <w:ind w:left="283"/>
    </w:pPr>
  </w:style>
  <w:style w:type="paragraph" w:styleId="36">
    <w:name w:val="toc 9"/>
    <w:basedOn w:val="1"/>
    <w:next w:val="1"/>
    <w:unhideWhenUsed/>
    <w:qFormat/>
    <w:uiPriority w:val="39"/>
    <w:pPr>
      <w:spacing w:after="57"/>
      <w:ind w:left="2268"/>
    </w:pPr>
  </w:style>
  <w:style w:type="paragraph" w:styleId="37">
    <w:name w:val="Normal (Web)"/>
    <w:basedOn w:val="1"/>
    <w:semiHidden/>
    <w:qFormat/>
    <w:uiPriority w:val="99"/>
    <w:pPr>
      <w:widowControl/>
      <w:spacing w:before="100" w:beforeAutospacing="1" w:after="100" w:afterAutospacing="1"/>
      <w:jc w:val="left"/>
    </w:pPr>
    <w:rPr>
      <w:rFonts w:ascii="宋体" w:hAnsi="宋体" w:cs="宋体"/>
      <w:sz w:val="24"/>
      <w:szCs w:val="24"/>
    </w:rPr>
  </w:style>
  <w:style w:type="paragraph" w:styleId="38">
    <w:name w:val="Title"/>
    <w:basedOn w:val="1"/>
    <w:next w:val="1"/>
    <w:link w:val="110"/>
    <w:qFormat/>
    <w:uiPriority w:val="10"/>
    <w:pPr>
      <w:spacing w:before="300" w:after="200"/>
      <w:contextualSpacing/>
    </w:pPr>
    <w:rPr>
      <w:sz w:val="48"/>
      <w:szCs w:val="48"/>
    </w:rPr>
  </w:style>
  <w:style w:type="paragraph" w:styleId="39">
    <w:name w:val="annotation subject"/>
    <w:basedOn w:val="14"/>
    <w:next w:val="14"/>
    <w:link w:val="258"/>
    <w:semiHidden/>
    <w:unhideWhenUsed/>
    <w:qFormat/>
    <w:uiPriority w:val="99"/>
    <w:rPr>
      <w:b/>
      <w:bCs/>
    </w:rPr>
  </w:style>
  <w:style w:type="paragraph" w:styleId="40">
    <w:name w:val="Body Text First Indent"/>
    <w:basedOn w:val="15"/>
    <w:qFormat/>
    <w:uiPriority w:val="0"/>
    <w:pPr>
      <w:spacing w:line="360" w:lineRule="auto"/>
      <w:ind w:firstLine="482"/>
    </w:pPr>
    <w:rPr>
      <w:b/>
      <w:sz w:val="24"/>
    </w:rPr>
  </w:style>
  <w:style w:type="paragraph" w:styleId="41">
    <w:name w:val="Body Text First Indent 2"/>
    <w:basedOn w:val="16"/>
    <w:next w:val="1"/>
    <w:unhideWhenUsed/>
    <w:qFormat/>
    <w:uiPriority w:val="99"/>
    <w:pPr>
      <w:ind w:firstLine="200"/>
    </w:pPr>
  </w:style>
  <w:style w:type="table" w:styleId="43">
    <w:name w:val="Table Grid"/>
    <w:basedOn w:val="42"/>
    <w:qFormat/>
    <w:uiPriority w:val="59"/>
    <w:rPr>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5">
    <w:name w:val="Strong"/>
    <w:basedOn w:val="44"/>
    <w:qFormat/>
    <w:uiPriority w:val="22"/>
    <w:rPr>
      <w:b/>
      <w:bCs/>
    </w:rPr>
  </w:style>
  <w:style w:type="character" w:styleId="46">
    <w:name w:val="endnote reference"/>
    <w:basedOn w:val="44"/>
    <w:semiHidden/>
    <w:unhideWhenUsed/>
    <w:qFormat/>
    <w:uiPriority w:val="99"/>
    <w:rPr>
      <w:vertAlign w:val="superscript"/>
    </w:rPr>
  </w:style>
  <w:style w:type="character" w:styleId="47">
    <w:name w:val="page number"/>
    <w:qFormat/>
    <w:uiPriority w:val="0"/>
  </w:style>
  <w:style w:type="character" w:styleId="48">
    <w:name w:val="FollowedHyperlink"/>
    <w:qFormat/>
    <w:uiPriority w:val="0"/>
    <w:rPr>
      <w:color w:val="771CAA"/>
      <w:u w:val="none"/>
    </w:rPr>
  </w:style>
  <w:style w:type="character" w:styleId="49">
    <w:name w:val="Emphasis"/>
    <w:qFormat/>
    <w:uiPriority w:val="0"/>
    <w:rPr>
      <w:color w:val="F73131"/>
    </w:rPr>
  </w:style>
  <w:style w:type="character" w:styleId="50">
    <w:name w:val="Hyperlink"/>
    <w:qFormat/>
    <w:uiPriority w:val="0"/>
    <w:rPr>
      <w:color w:val="333333"/>
      <w:u w:val="none"/>
    </w:rPr>
  </w:style>
  <w:style w:type="character" w:styleId="51">
    <w:name w:val="annotation reference"/>
    <w:basedOn w:val="44"/>
    <w:semiHidden/>
    <w:unhideWhenUsed/>
    <w:qFormat/>
    <w:uiPriority w:val="99"/>
    <w:rPr>
      <w:sz w:val="21"/>
      <w:szCs w:val="21"/>
    </w:rPr>
  </w:style>
  <w:style w:type="character" w:styleId="52">
    <w:name w:val="HTML Cite"/>
    <w:qFormat/>
    <w:uiPriority w:val="0"/>
    <w:rPr>
      <w:color w:val="008000"/>
    </w:rPr>
  </w:style>
  <w:style w:type="character" w:styleId="53">
    <w:name w:val="footnote reference"/>
    <w:basedOn w:val="44"/>
    <w:unhideWhenUsed/>
    <w:qFormat/>
    <w:uiPriority w:val="99"/>
    <w:rPr>
      <w:vertAlign w:val="superscript"/>
    </w:rPr>
  </w:style>
  <w:style w:type="paragraph" w:customStyle="1" w:styleId="54">
    <w:name w:val="正文文本1"/>
    <w:basedOn w:val="1"/>
    <w:qFormat/>
    <w:uiPriority w:val="0"/>
    <w:pPr>
      <w:spacing w:after="120"/>
    </w:pPr>
  </w:style>
  <w:style w:type="paragraph" w:styleId="55">
    <w:name w:val="List Paragraph"/>
    <w:basedOn w:val="1"/>
    <w:qFormat/>
    <w:uiPriority w:val="34"/>
    <w:pPr>
      <w:ind w:firstLine="420"/>
    </w:pPr>
    <w:rPr>
      <w:szCs w:val="22"/>
    </w:rPr>
  </w:style>
  <w:style w:type="table" w:customStyle="1" w:styleId="56">
    <w:name w:val="无格式表格 11"/>
    <w:basedOn w:val="42"/>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FFFFF" w:themeColor="text1" w:themeTint="00" w:fill="FFFFFF" w:themeFill="text1" w:themeFillTint="00"/>
      </w:tcPr>
    </w:tblStylePr>
    <w:tblStylePr w:type="band1Horz">
      <w:tcPr>
        <w:shd w:val="clear" w:color="FFFFFF" w:themeColor="text1" w:themeTint="00" w:fill="FFFFFF" w:themeFill="text1" w:themeFillTint="00"/>
      </w:tcPr>
    </w:tblStylePr>
  </w:style>
  <w:style w:type="table" w:customStyle="1" w:styleId="57">
    <w:name w:val="无格式表格 21"/>
    <w:basedOn w:val="42"/>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58">
    <w:name w:val="无格式表格 31"/>
    <w:basedOn w:val="42"/>
    <w:qFormat/>
    <w:uiPriority w:val="99"/>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FFFFF" w:themeColor="text1" w:themeTint="00" w:fill="FFFFFF" w:themeFill="text1" w:themeFillTint="00"/>
      </w:tcPr>
    </w:tblStylePr>
    <w:tblStylePr w:type="band1Horz">
      <w:rPr>
        <w:rFonts w:ascii="Arial" w:hAnsi="Arial"/>
        <w:color w:val="404040"/>
        <w:sz w:val="22"/>
      </w:rPr>
      <w:tcPr>
        <w:shd w:val="clear" w:color="FFFFFF" w:themeColor="text1" w:themeTint="00" w:fill="FFFFFF" w:themeFill="text1" w:themeFillTint="00"/>
      </w:tcPr>
    </w:tblStylePr>
  </w:style>
  <w:style w:type="table" w:customStyle="1" w:styleId="59">
    <w:name w:val="无格式表格 41"/>
    <w:basedOn w:val="42"/>
    <w:qFormat/>
    <w:uiPriority w:val="99"/>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themeColor="text1" w:themeTint="00" w:fill="FFFFFF" w:themeFill="text1" w:themeFillTint="00"/>
      </w:tcPr>
    </w:tblStylePr>
    <w:tblStylePr w:type="band1Horz">
      <w:rPr>
        <w:rFonts w:ascii="Arial" w:hAnsi="Arial"/>
        <w:color w:val="404040"/>
        <w:sz w:val="22"/>
      </w:rPr>
      <w:tcPr>
        <w:shd w:val="clear" w:color="FFFFFF" w:themeColor="text1" w:themeTint="00" w:fill="FFFFFF" w:themeFill="text1" w:themeFillTint="00"/>
      </w:tcPr>
    </w:tblStylePr>
  </w:style>
  <w:style w:type="table" w:customStyle="1" w:styleId="60">
    <w:name w:val="无格式表格 51"/>
    <w:basedOn w:val="42"/>
    <w:qFormat/>
    <w:uiPriority w:val="99"/>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FFFFF" w:themeColor="text1" w:themeTint="00" w:fill="FFFFFF" w:themeFill="text1" w:themeFillTint="00"/>
      </w:tcPr>
    </w:tblStylePr>
    <w:tblStylePr w:type="band1Horz">
      <w:rPr>
        <w:rFonts w:ascii="Arial" w:hAnsi="Arial"/>
        <w:color w:val="404040"/>
        <w:sz w:val="22"/>
      </w:rPr>
      <w:tcPr>
        <w:shd w:val="clear" w:color="FFFFFF" w:themeColor="text1" w:themeTint="00" w:fill="FFFFFF" w:themeFill="text1" w:themeFillTint="00"/>
      </w:tcPr>
    </w:tblStylePr>
  </w:style>
  <w:style w:type="table" w:customStyle="1" w:styleId="61">
    <w:name w:val="网格表 1 浅色1"/>
    <w:basedOn w:val="42"/>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2">
    <w:name w:val="网格表 21"/>
    <w:basedOn w:val="42"/>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63">
    <w:name w:val="网格表 31"/>
    <w:basedOn w:val="42"/>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64">
    <w:name w:val="网格表 41"/>
    <w:basedOn w:val="42"/>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65">
    <w:name w:val="网格表 5 深色1"/>
    <w:basedOn w:val="4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66">
    <w:name w:val="网格表 6 彩色1"/>
    <w:basedOn w:val="42"/>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67">
    <w:name w:val="网格表 7 彩色1"/>
    <w:basedOn w:val="42"/>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FFFFF" w:themeColor="text1" w:themeTint="00" w:fill="FFFFFF" w:themeFill="text1" w:themeFillTint="0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FFFFF" w:themeColor="text1" w:themeTint="00" w:fill="FFFFFF" w:themeFill="text1" w:themeFillTint="0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68">
    <w:name w:val="清单表 1 浅色1"/>
    <w:basedOn w:val="42"/>
    <w:qFormat/>
    <w:uiPriority w:val="99"/>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69">
    <w:name w:val="清单表 21"/>
    <w:basedOn w:val="42"/>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70">
    <w:name w:val="清单表 31"/>
    <w:basedOn w:val="42"/>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71">
    <w:name w:val="清单表 41"/>
    <w:basedOn w:val="42"/>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72">
    <w:name w:val="清单表 5 深色1"/>
    <w:basedOn w:val="42"/>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73">
    <w:name w:val="清单表 6 彩色1"/>
    <w:basedOn w:val="42"/>
    <w:qFormat/>
    <w:uiPriority w:val="99"/>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74">
    <w:name w:val="清单表 7 彩色1"/>
    <w:basedOn w:val="42"/>
    <w:qFormat/>
    <w:uiPriority w:val="99"/>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paragraph" w:customStyle="1" w:styleId="75">
    <w:name w:val="TOC 标题1"/>
    <w:unhideWhenUsed/>
    <w:qFormat/>
    <w:uiPriority w:val="39"/>
    <w:rPr>
      <w:rFonts w:ascii="Times New Roman" w:hAnsi="Times New Roman" w:eastAsia="宋体" w:cs="Times New Roman"/>
      <w:lang w:val="en-US" w:eastAsia="zh-CN" w:bidi="ar-SA"/>
    </w:rPr>
  </w:style>
  <w:style w:type="character" w:customStyle="1" w:styleId="76">
    <w:name w:val="Heading 5 Char"/>
    <w:basedOn w:val="44"/>
    <w:qFormat/>
    <w:uiPriority w:val="9"/>
    <w:rPr>
      <w:rFonts w:ascii="Arial" w:hAnsi="Arial" w:eastAsia="Arial" w:cs="Arial"/>
      <w:b/>
      <w:bCs/>
      <w:sz w:val="24"/>
      <w:szCs w:val="24"/>
    </w:rPr>
  </w:style>
  <w:style w:type="character" w:customStyle="1" w:styleId="77">
    <w:name w:val="Heading 6 Char"/>
    <w:basedOn w:val="44"/>
    <w:qFormat/>
    <w:uiPriority w:val="9"/>
    <w:rPr>
      <w:rFonts w:ascii="Arial" w:hAnsi="Arial" w:eastAsia="Arial" w:cs="Arial"/>
      <w:b/>
      <w:bCs/>
      <w:sz w:val="22"/>
      <w:szCs w:val="22"/>
    </w:rPr>
  </w:style>
  <w:style w:type="character" w:customStyle="1" w:styleId="78">
    <w:name w:val="Heading 7 Char"/>
    <w:basedOn w:val="44"/>
    <w:qFormat/>
    <w:uiPriority w:val="9"/>
    <w:rPr>
      <w:rFonts w:ascii="Arial" w:hAnsi="Arial" w:eastAsia="Arial" w:cs="Arial"/>
      <w:b/>
      <w:bCs/>
      <w:i/>
      <w:iCs/>
      <w:sz w:val="22"/>
      <w:szCs w:val="22"/>
    </w:rPr>
  </w:style>
  <w:style w:type="character" w:customStyle="1" w:styleId="79">
    <w:name w:val="Heading 8 Char"/>
    <w:basedOn w:val="44"/>
    <w:qFormat/>
    <w:uiPriority w:val="9"/>
    <w:rPr>
      <w:rFonts w:ascii="Arial" w:hAnsi="Arial" w:eastAsia="Arial" w:cs="Arial"/>
      <w:i/>
      <w:iCs/>
      <w:sz w:val="22"/>
      <w:szCs w:val="22"/>
    </w:rPr>
  </w:style>
  <w:style w:type="character" w:customStyle="1" w:styleId="80">
    <w:name w:val="Heading 9 Char"/>
    <w:basedOn w:val="44"/>
    <w:qFormat/>
    <w:uiPriority w:val="9"/>
    <w:rPr>
      <w:rFonts w:ascii="Arial" w:hAnsi="Arial" w:eastAsia="Arial" w:cs="Arial"/>
      <w:i/>
      <w:iCs/>
      <w:sz w:val="21"/>
      <w:szCs w:val="21"/>
    </w:rPr>
  </w:style>
  <w:style w:type="character" w:customStyle="1" w:styleId="81">
    <w:name w:val="Title Char"/>
    <w:basedOn w:val="44"/>
    <w:qFormat/>
    <w:uiPriority w:val="10"/>
    <w:rPr>
      <w:sz w:val="48"/>
      <w:szCs w:val="48"/>
    </w:rPr>
  </w:style>
  <w:style w:type="character" w:customStyle="1" w:styleId="82">
    <w:name w:val="Subtitle Char"/>
    <w:basedOn w:val="44"/>
    <w:qFormat/>
    <w:uiPriority w:val="11"/>
    <w:rPr>
      <w:sz w:val="24"/>
      <w:szCs w:val="24"/>
    </w:rPr>
  </w:style>
  <w:style w:type="character" w:customStyle="1" w:styleId="83">
    <w:name w:val="Quote Char"/>
    <w:qFormat/>
    <w:uiPriority w:val="29"/>
    <w:rPr>
      <w:i/>
    </w:rPr>
  </w:style>
  <w:style w:type="character" w:customStyle="1" w:styleId="84">
    <w:name w:val="Intense Quote Char"/>
    <w:qFormat/>
    <w:uiPriority w:val="30"/>
    <w:rPr>
      <w:i/>
    </w:rPr>
  </w:style>
  <w:style w:type="character" w:customStyle="1" w:styleId="85">
    <w:name w:val="Footnote Text Char"/>
    <w:qFormat/>
    <w:uiPriority w:val="99"/>
    <w:rPr>
      <w:sz w:val="18"/>
    </w:rPr>
  </w:style>
  <w:style w:type="character" w:customStyle="1" w:styleId="86">
    <w:name w:val="Endnote Text Char"/>
    <w:qFormat/>
    <w:uiPriority w:val="99"/>
    <w:rPr>
      <w:sz w:val="20"/>
    </w:rPr>
  </w:style>
  <w:style w:type="paragraph" w:customStyle="1" w:styleId="87">
    <w:name w:val="TOC 标题111"/>
    <w:unhideWhenUsed/>
    <w:qFormat/>
    <w:uiPriority w:val="39"/>
    <w:rPr>
      <w:rFonts w:ascii="Times New Roman" w:hAnsi="Times New Roman" w:eastAsia="宋体" w:cs="Times New Roman"/>
      <w:lang w:val="en-US" w:eastAsia="zh-CN" w:bidi="ar-SA"/>
    </w:rPr>
  </w:style>
  <w:style w:type="paragraph" w:customStyle="1" w:styleId="88">
    <w:name w:val="标题 11"/>
    <w:basedOn w:val="1"/>
    <w:next w:val="1"/>
    <w:qFormat/>
    <w:uiPriority w:val="0"/>
    <w:pPr>
      <w:keepNext/>
      <w:keepLines/>
      <w:spacing w:before="340" w:after="330" w:line="578" w:lineRule="auto"/>
      <w:outlineLvl w:val="0"/>
    </w:pPr>
    <w:rPr>
      <w:rFonts w:eastAsia="楷体_GB2312"/>
      <w:b/>
      <w:sz w:val="44"/>
    </w:rPr>
  </w:style>
  <w:style w:type="paragraph" w:customStyle="1" w:styleId="89">
    <w:name w:val="标题 21"/>
    <w:basedOn w:val="1"/>
    <w:next w:val="1"/>
    <w:qFormat/>
    <w:uiPriority w:val="9"/>
    <w:pPr>
      <w:widowControl/>
      <w:spacing w:line="360" w:lineRule="auto"/>
      <w:ind w:firstLine="480"/>
      <w:jc w:val="left"/>
      <w:outlineLvl w:val="1"/>
    </w:pPr>
    <w:rPr>
      <w:rFonts w:asciiTheme="minorEastAsia" w:hAnsiTheme="minorEastAsia" w:eastAsiaTheme="minorEastAsia"/>
      <w:bCs/>
      <w:sz w:val="24"/>
      <w:szCs w:val="24"/>
    </w:rPr>
  </w:style>
  <w:style w:type="paragraph" w:customStyle="1" w:styleId="90">
    <w:name w:val="标题 31"/>
    <w:basedOn w:val="1"/>
    <w:next w:val="1"/>
    <w:qFormat/>
    <w:uiPriority w:val="9"/>
    <w:pPr>
      <w:ind w:left="220"/>
      <w:outlineLvl w:val="2"/>
    </w:pPr>
    <w:rPr>
      <w:rFonts w:ascii="仿宋" w:hAnsi="仿宋" w:eastAsia="仿宋" w:cs="仿宋"/>
      <w:b/>
      <w:bCs/>
      <w:sz w:val="28"/>
      <w:szCs w:val="28"/>
    </w:rPr>
  </w:style>
  <w:style w:type="paragraph" w:customStyle="1" w:styleId="91">
    <w:name w:val="标题 41"/>
    <w:basedOn w:val="1"/>
    <w:next w:val="1"/>
    <w:qFormat/>
    <w:uiPriority w:val="0"/>
    <w:pPr>
      <w:keepNext/>
      <w:keepLines/>
      <w:spacing w:before="120" w:after="120"/>
      <w:outlineLvl w:val="3"/>
    </w:pPr>
    <w:rPr>
      <w:rFonts w:ascii="Arial" w:hAnsi="Arial" w:eastAsia="黑体"/>
      <w:b/>
      <w:sz w:val="20"/>
    </w:rPr>
  </w:style>
  <w:style w:type="paragraph" w:customStyle="1" w:styleId="92">
    <w:name w:val="标题 51"/>
    <w:basedOn w:val="1"/>
    <w:next w:val="1"/>
    <w:link w:val="104"/>
    <w:unhideWhenUsed/>
    <w:qFormat/>
    <w:uiPriority w:val="9"/>
    <w:pPr>
      <w:keepNext/>
      <w:keepLines/>
      <w:spacing w:before="320" w:after="200"/>
      <w:outlineLvl w:val="4"/>
    </w:pPr>
    <w:rPr>
      <w:rFonts w:ascii="Arial" w:hAnsi="Arial" w:eastAsia="Arial" w:cs="Arial"/>
      <w:b/>
      <w:bCs/>
      <w:sz w:val="24"/>
      <w:szCs w:val="24"/>
    </w:rPr>
  </w:style>
  <w:style w:type="paragraph" w:customStyle="1" w:styleId="93">
    <w:name w:val="标题 61"/>
    <w:basedOn w:val="1"/>
    <w:next w:val="1"/>
    <w:link w:val="105"/>
    <w:unhideWhenUsed/>
    <w:qFormat/>
    <w:uiPriority w:val="9"/>
    <w:pPr>
      <w:keepNext/>
      <w:keepLines/>
      <w:spacing w:before="320" w:after="200"/>
      <w:outlineLvl w:val="5"/>
    </w:pPr>
    <w:rPr>
      <w:rFonts w:ascii="Arial" w:hAnsi="Arial" w:eastAsia="Arial" w:cs="Arial"/>
      <w:b/>
      <w:bCs/>
      <w:sz w:val="22"/>
      <w:szCs w:val="22"/>
    </w:rPr>
  </w:style>
  <w:style w:type="paragraph" w:customStyle="1" w:styleId="94">
    <w:name w:val="标题 71"/>
    <w:basedOn w:val="1"/>
    <w:next w:val="1"/>
    <w:link w:val="106"/>
    <w:unhideWhenUsed/>
    <w:qFormat/>
    <w:uiPriority w:val="9"/>
    <w:pPr>
      <w:keepNext/>
      <w:keepLines/>
      <w:spacing w:before="320" w:after="200"/>
      <w:outlineLvl w:val="6"/>
    </w:pPr>
    <w:rPr>
      <w:rFonts w:ascii="Arial" w:hAnsi="Arial" w:eastAsia="Arial" w:cs="Arial"/>
      <w:b/>
      <w:bCs/>
      <w:i/>
      <w:iCs/>
      <w:sz w:val="22"/>
      <w:szCs w:val="22"/>
    </w:rPr>
  </w:style>
  <w:style w:type="paragraph" w:customStyle="1" w:styleId="95">
    <w:name w:val="标题 81"/>
    <w:basedOn w:val="1"/>
    <w:next w:val="1"/>
    <w:link w:val="107"/>
    <w:unhideWhenUsed/>
    <w:qFormat/>
    <w:uiPriority w:val="9"/>
    <w:pPr>
      <w:keepNext/>
      <w:keepLines/>
      <w:spacing w:before="320" w:after="200"/>
      <w:outlineLvl w:val="7"/>
    </w:pPr>
    <w:rPr>
      <w:rFonts w:ascii="Arial" w:hAnsi="Arial" w:eastAsia="Arial" w:cs="Arial"/>
      <w:i/>
      <w:iCs/>
      <w:sz w:val="22"/>
      <w:szCs w:val="22"/>
    </w:rPr>
  </w:style>
  <w:style w:type="paragraph" w:customStyle="1" w:styleId="96">
    <w:name w:val="标题 91"/>
    <w:basedOn w:val="1"/>
    <w:next w:val="1"/>
    <w:link w:val="108"/>
    <w:unhideWhenUsed/>
    <w:qFormat/>
    <w:uiPriority w:val="9"/>
    <w:pPr>
      <w:keepNext/>
      <w:keepLines/>
      <w:spacing w:before="320" w:after="200"/>
      <w:outlineLvl w:val="8"/>
    </w:pPr>
    <w:rPr>
      <w:rFonts w:ascii="Arial" w:hAnsi="Arial" w:eastAsia="Arial" w:cs="Arial"/>
      <w:i/>
      <w:iCs/>
      <w:szCs w:val="21"/>
    </w:rPr>
  </w:style>
  <w:style w:type="paragraph" w:customStyle="1" w:styleId="97">
    <w:name w:val="题注1"/>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customStyle="1" w:styleId="98">
    <w:name w:val="页脚1"/>
    <w:basedOn w:val="1"/>
    <w:qFormat/>
    <w:uiPriority w:val="0"/>
    <w:pPr>
      <w:tabs>
        <w:tab w:val="center" w:pos="4153"/>
        <w:tab w:val="right" w:pos="8306"/>
      </w:tabs>
      <w:jc w:val="left"/>
    </w:pPr>
    <w:rPr>
      <w:sz w:val="18"/>
      <w:szCs w:val="18"/>
    </w:rPr>
  </w:style>
  <w:style w:type="paragraph" w:customStyle="1" w:styleId="99">
    <w:name w:val="页眉1"/>
    <w:basedOn w:val="1"/>
    <w:link w:val="232"/>
    <w:qFormat/>
    <w:uiPriority w:val="0"/>
    <w:pPr>
      <w:pBdr>
        <w:bottom w:val="single" w:color="auto" w:sz="6" w:space="1"/>
      </w:pBdr>
      <w:tabs>
        <w:tab w:val="center" w:pos="4153"/>
        <w:tab w:val="right" w:pos="8306"/>
      </w:tabs>
      <w:jc w:val="center"/>
    </w:pPr>
    <w:rPr>
      <w:sz w:val="18"/>
      <w:szCs w:val="18"/>
    </w:rPr>
  </w:style>
  <w:style w:type="character" w:customStyle="1" w:styleId="100">
    <w:name w:val="Heading 1 Char"/>
    <w:basedOn w:val="44"/>
    <w:qFormat/>
    <w:uiPriority w:val="9"/>
    <w:rPr>
      <w:rFonts w:ascii="Arial" w:hAnsi="Arial" w:eastAsia="Arial" w:cs="Arial"/>
      <w:sz w:val="40"/>
      <w:szCs w:val="40"/>
    </w:rPr>
  </w:style>
  <w:style w:type="character" w:customStyle="1" w:styleId="101">
    <w:name w:val="Heading 2 Char"/>
    <w:basedOn w:val="44"/>
    <w:qFormat/>
    <w:uiPriority w:val="9"/>
    <w:rPr>
      <w:rFonts w:ascii="Arial" w:hAnsi="Arial" w:eastAsia="Arial" w:cs="Arial"/>
      <w:sz w:val="34"/>
    </w:rPr>
  </w:style>
  <w:style w:type="character" w:customStyle="1" w:styleId="102">
    <w:name w:val="Heading 3 Char"/>
    <w:basedOn w:val="44"/>
    <w:qFormat/>
    <w:uiPriority w:val="9"/>
    <w:rPr>
      <w:rFonts w:ascii="Arial" w:hAnsi="Arial" w:eastAsia="Arial" w:cs="Arial"/>
      <w:sz w:val="30"/>
      <w:szCs w:val="30"/>
    </w:rPr>
  </w:style>
  <w:style w:type="character" w:customStyle="1" w:styleId="103">
    <w:name w:val="Heading 4 Char"/>
    <w:basedOn w:val="44"/>
    <w:qFormat/>
    <w:uiPriority w:val="9"/>
    <w:rPr>
      <w:rFonts w:ascii="Arial" w:hAnsi="Arial" w:eastAsia="Arial" w:cs="Arial"/>
      <w:b/>
      <w:bCs/>
      <w:sz w:val="26"/>
      <w:szCs w:val="26"/>
    </w:rPr>
  </w:style>
  <w:style w:type="character" w:customStyle="1" w:styleId="104">
    <w:name w:val="标题 5 Char"/>
    <w:basedOn w:val="44"/>
    <w:link w:val="92"/>
    <w:qFormat/>
    <w:uiPriority w:val="9"/>
    <w:rPr>
      <w:rFonts w:ascii="Arial" w:hAnsi="Arial" w:eastAsia="Arial" w:cs="Arial"/>
      <w:b/>
      <w:bCs/>
      <w:sz w:val="24"/>
      <w:szCs w:val="24"/>
    </w:rPr>
  </w:style>
  <w:style w:type="character" w:customStyle="1" w:styleId="105">
    <w:name w:val="标题 6 Char"/>
    <w:basedOn w:val="44"/>
    <w:link w:val="93"/>
    <w:qFormat/>
    <w:uiPriority w:val="9"/>
    <w:rPr>
      <w:rFonts w:ascii="Arial" w:hAnsi="Arial" w:eastAsia="Arial" w:cs="Arial"/>
      <w:b/>
      <w:bCs/>
      <w:sz w:val="22"/>
      <w:szCs w:val="22"/>
    </w:rPr>
  </w:style>
  <w:style w:type="character" w:customStyle="1" w:styleId="106">
    <w:name w:val="标题 7 Char"/>
    <w:basedOn w:val="44"/>
    <w:link w:val="94"/>
    <w:qFormat/>
    <w:uiPriority w:val="9"/>
    <w:rPr>
      <w:rFonts w:ascii="Arial" w:hAnsi="Arial" w:eastAsia="Arial" w:cs="Arial"/>
      <w:b/>
      <w:bCs/>
      <w:i/>
      <w:iCs/>
      <w:sz w:val="22"/>
      <w:szCs w:val="22"/>
    </w:rPr>
  </w:style>
  <w:style w:type="character" w:customStyle="1" w:styleId="107">
    <w:name w:val="标题 8 Char"/>
    <w:basedOn w:val="44"/>
    <w:link w:val="95"/>
    <w:qFormat/>
    <w:uiPriority w:val="9"/>
    <w:rPr>
      <w:rFonts w:ascii="Arial" w:hAnsi="Arial" w:eastAsia="Arial" w:cs="Arial"/>
      <w:i/>
      <w:iCs/>
      <w:sz w:val="22"/>
      <w:szCs w:val="22"/>
    </w:rPr>
  </w:style>
  <w:style w:type="character" w:customStyle="1" w:styleId="108">
    <w:name w:val="标题 9 Char"/>
    <w:basedOn w:val="44"/>
    <w:link w:val="96"/>
    <w:qFormat/>
    <w:uiPriority w:val="9"/>
    <w:rPr>
      <w:rFonts w:ascii="Arial" w:hAnsi="Arial" w:eastAsia="Arial" w:cs="Arial"/>
      <w:i/>
      <w:iCs/>
      <w:sz w:val="21"/>
      <w:szCs w:val="21"/>
    </w:rPr>
  </w:style>
  <w:style w:type="paragraph" w:styleId="109">
    <w:name w:val="No Spacing"/>
    <w:qFormat/>
    <w:uiPriority w:val="1"/>
    <w:rPr>
      <w:rFonts w:ascii="Times New Roman" w:hAnsi="Times New Roman" w:eastAsia="宋体" w:cs="Times New Roman"/>
      <w:lang w:val="en-US" w:eastAsia="zh-CN" w:bidi="ar-SA"/>
    </w:rPr>
  </w:style>
  <w:style w:type="character" w:customStyle="1" w:styleId="110">
    <w:name w:val="标题 字符"/>
    <w:basedOn w:val="44"/>
    <w:link w:val="38"/>
    <w:qFormat/>
    <w:uiPriority w:val="10"/>
    <w:rPr>
      <w:sz w:val="48"/>
      <w:szCs w:val="48"/>
    </w:rPr>
  </w:style>
  <w:style w:type="character" w:customStyle="1" w:styleId="111">
    <w:name w:val="副标题 字符"/>
    <w:basedOn w:val="44"/>
    <w:link w:val="30"/>
    <w:qFormat/>
    <w:uiPriority w:val="11"/>
    <w:rPr>
      <w:sz w:val="24"/>
      <w:szCs w:val="24"/>
    </w:rPr>
  </w:style>
  <w:style w:type="paragraph" w:styleId="112">
    <w:name w:val="Quote"/>
    <w:basedOn w:val="1"/>
    <w:next w:val="1"/>
    <w:link w:val="113"/>
    <w:qFormat/>
    <w:uiPriority w:val="29"/>
    <w:pPr>
      <w:ind w:left="720" w:right="720"/>
    </w:pPr>
    <w:rPr>
      <w:i/>
    </w:rPr>
  </w:style>
  <w:style w:type="character" w:customStyle="1" w:styleId="113">
    <w:name w:val="引用 字符"/>
    <w:link w:val="112"/>
    <w:qFormat/>
    <w:uiPriority w:val="29"/>
    <w:rPr>
      <w:i/>
    </w:rPr>
  </w:style>
  <w:style w:type="paragraph" w:styleId="114">
    <w:name w:val="Intense Quote"/>
    <w:basedOn w:val="1"/>
    <w:next w:val="1"/>
    <w:link w:val="115"/>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115">
    <w:name w:val="明显引用 字符"/>
    <w:link w:val="114"/>
    <w:qFormat/>
    <w:uiPriority w:val="30"/>
    <w:rPr>
      <w:i/>
    </w:rPr>
  </w:style>
  <w:style w:type="character" w:customStyle="1" w:styleId="116">
    <w:name w:val="Header Char"/>
    <w:basedOn w:val="44"/>
    <w:qFormat/>
    <w:uiPriority w:val="99"/>
  </w:style>
  <w:style w:type="character" w:customStyle="1" w:styleId="117">
    <w:name w:val="Footer Char"/>
    <w:basedOn w:val="44"/>
    <w:qFormat/>
    <w:uiPriority w:val="99"/>
  </w:style>
  <w:style w:type="character" w:customStyle="1" w:styleId="118">
    <w:name w:val="Caption Char"/>
    <w:qFormat/>
    <w:uiPriority w:val="99"/>
  </w:style>
  <w:style w:type="table" w:customStyle="1" w:styleId="119">
    <w:name w:val="Table Grid Light"/>
    <w:basedOn w:val="42"/>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style>
  <w:style w:type="table" w:customStyle="1" w:styleId="120">
    <w:name w:val="Grid Table 1 Light - Accent 1"/>
    <w:basedOn w:val="42"/>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21">
    <w:name w:val="Grid Table 1 Light - Accent 2"/>
    <w:basedOn w:val="42"/>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22">
    <w:name w:val="Grid Table 1 Light - Accent 3"/>
    <w:basedOn w:val="42"/>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23">
    <w:name w:val="Grid Table 1 Light - Accent 4"/>
    <w:basedOn w:val="42"/>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24">
    <w:name w:val="Grid Table 1 Light - Accent 5"/>
    <w:basedOn w:val="42"/>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25">
    <w:name w:val="Grid Table 1 Light - Accent 6"/>
    <w:basedOn w:val="42"/>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126">
    <w:name w:val="Grid Table 2 - Accent 1"/>
    <w:basedOn w:val="42"/>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127">
    <w:name w:val="Grid Table 2 - Accent 2"/>
    <w:basedOn w:val="42"/>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128">
    <w:name w:val="Grid Table 2 - Accent 3"/>
    <w:basedOn w:val="42"/>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29">
    <w:name w:val="Grid Table 2 - Accent 4"/>
    <w:basedOn w:val="42"/>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30">
    <w:name w:val="Grid Table 2 - Accent 5"/>
    <w:basedOn w:val="42"/>
    <w:qFormat/>
    <w:uiPriority w:val="99"/>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31">
    <w:name w:val="Grid Table 2 - Accent 6"/>
    <w:basedOn w:val="42"/>
    <w:qFormat/>
    <w:uiPriority w:val="99"/>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32">
    <w:name w:val="Grid Table 3 - Accent 1"/>
    <w:basedOn w:val="42"/>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133">
    <w:name w:val="Grid Table 3 - Accent 2"/>
    <w:basedOn w:val="42"/>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134">
    <w:name w:val="Grid Table 3 - Accent 3"/>
    <w:basedOn w:val="42"/>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35">
    <w:name w:val="Grid Table 3 - Accent 4"/>
    <w:basedOn w:val="42"/>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36">
    <w:name w:val="Grid Table 3 - Accent 5"/>
    <w:basedOn w:val="42"/>
    <w:qFormat/>
    <w:uiPriority w:val="99"/>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37">
    <w:name w:val="Grid Table 3 - Accent 6"/>
    <w:basedOn w:val="42"/>
    <w:qFormat/>
    <w:uiPriority w:val="99"/>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38">
    <w:name w:val="Grid Table 4 - Accent 1"/>
    <w:basedOn w:val="42"/>
    <w:qFormat/>
    <w:uiPriority w:val="5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139">
    <w:name w:val="Grid Table 4 - Accent 2"/>
    <w:basedOn w:val="42"/>
    <w:qFormat/>
    <w:uiPriority w:val="5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140">
    <w:name w:val="Grid Table 4 - Accent 3"/>
    <w:basedOn w:val="42"/>
    <w:qFormat/>
    <w:uiPriority w:val="5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41">
    <w:name w:val="Grid Table 4 - Accent 4"/>
    <w:basedOn w:val="42"/>
    <w:qFormat/>
    <w:uiPriority w:val="5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42">
    <w:name w:val="Grid Table 4 - Accent 5"/>
    <w:basedOn w:val="42"/>
    <w:qFormat/>
    <w:uiPriority w:val="5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43">
    <w:name w:val="Grid Table 4 - Accent 6"/>
    <w:basedOn w:val="42"/>
    <w:qFormat/>
    <w:uiPriority w:val="5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44">
    <w:name w:val="Grid Table 5 Dark- Accent 1"/>
    <w:basedOn w:val="4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145">
    <w:name w:val="Grid Table 5 Dark - Accent 2"/>
    <w:basedOn w:val="4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146">
    <w:name w:val="Grid Table 5 Dark - Accent 3"/>
    <w:basedOn w:val="4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147">
    <w:name w:val="Grid Table 5 Dark- Accent 4"/>
    <w:basedOn w:val="4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148">
    <w:name w:val="Grid Table 5 Dark - Accent 5"/>
    <w:basedOn w:val="4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149">
    <w:name w:val="Grid Table 5 Dark - Accent 6"/>
    <w:basedOn w:val="4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150">
    <w:name w:val="Grid Table 6 Colorful - Accent 1"/>
    <w:basedOn w:val="42"/>
    <w:qFormat/>
    <w:uiPriority w:val="99"/>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51">
    <w:name w:val="Grid Table 6 Colorful - Accent 2"/>
    <w:basedOn w:val="42"/>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52">
    <w:name w:val="Grid Table 6 Colorful - Accent 3"/>
    <w:basedOn w:val="42"/>
    <w:qFormat/>
    <w:uiPriority w:val="99"/>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14:textFill>
          <w14:solidFill>
            <w14:schemeClr w14:val="accent3"/>
          </w14:solidFill>
        </w14:textFill>
      </w:rPr>
      <w:tcPr>
        <w:tcBorders>
          <w:bottom w:val="single" w:color="9BBB59" w:themeColor="accent3" w:themeTint="FE" w:sz="12" w:space="0"/>
        </w:tcBorders>
      </w:tcPr>
    </w:tblStylePr>
    <w:tblStylePr w:type="lastRow">
      <w:rPr>
        <w:b/>
        <w:color w:val="9BBB59" w:themeColor="accent3"/>
        <w14:textFill>
          <w14:solidFill>
            <w14:schemeClr w14:val="accent3"/>
          </w14:solidFill>
        </w14:textFill>
      </w:rPr>
    </w:tblStylePr>
    <w:tblStylePr w:type="firstCol">
      <w:rPr>
        <w:b/>
        <w:color w:val="9BBB59" w:themeColor="accent3"/>
        <w14:textFill>
          <w14:solidFill>
            <w14:schemeClr w14:val="accent3"/>
          </w14:solidFill>
        </w14:textFill>
      </w:rPr>
    </w:tblStylePr>
    <w:tblStylePr w:type="lastCol">
      <w:rPr>
        <w:b/>
        <w:color w:val="9BBB59" w:themeColor="accent3"/>
        <w14:textFill>
          <w14:solidFill>
            <w14:schemeClr w14:val="accent3"/>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sz w:val="22"/>
        <w14:textFill>
          <w14:solidFill>
            <w14:schemeClr w14:val="accent3"/>
          </w14:solidFill>
        </w14:textFill>
      </w:rPr>
      <w:tcPr>
        <w:shd w:val="clear" w:color="EAF1DD" w:themeColor="accent3" w:themeTint="34" w:fill="EAF1DD" w:themeFill="accent3" w:themeFillTint="34"/>
      </w:tcPr>
    </w:tblStylePr>
    <w:tblStylePr w:type="band2Horz">
      <w:rPr>
        <w:rFonts w:ascii="Arial" w:hAnsi="Arial"/>
        <w:color w:val="9BBB59" w:themeColor="accent3"/>
        <w:sz w:val="22"/>
        <w14:textFill>
          <w14:solidFill>
            <w14:schemeClr w14:val="accent3"/>
          </w14:solidFill>
        </w14:textFill>
      </w:rPr>
    </w:tblStylePr>
  </w:style>
  <w:style w:type="table" w:customStyle="1" w:styleId="153">
    <w:name w:val="Grid Table 6 Colorful - Accent 4"/>
    <w:basedOn w:val="42"/>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4">
    <w:name w:val="Grid Table 6 Colorful - Accent 5"/>
    <w:basedOn w:val="42"/>
    <w:qFormat/>
    <w:uiPriority w:val="99"/>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55">
    <w:name w:val="Grid Table 6 Colorful - Accent 6"/>
    <w:basedOn w:val="42"/>
    <w:qFormat/>
    <w:uiPriority w:val="99"/>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56">
    <w:name w:val="Grid Table 7 Colorful - Accent 1"/>
    <w:basedOn w:val="42"/>
    <w:qFormat/>
    <w:uiPriority w:val="99"/>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57">
    <w:name w:val="Grid Table 7 Colorful - Accent 2"/>
    <w:basedOn w:val="42"/>
    <w:qFormat/>
    <w:uiPriority w:val="99"/>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58">
    <w:name w:val="Grid Table 7 Colorful - Accent 3"/>
    <w:basedOn w:val="42"/>
    <w:qFormat/>
    <w:uiPriority w:val="99"/>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sz w:val="22"/>
        <w14:textFill>
          <w14:solidFill>
            <w14:schemeClr w14:val="accent3"/>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sz w:val="22"/>
        <w14:textFill>
          <w14:solidFill>
            <w14:schemeClr w14:val="accent3"/>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sz w:val="22"/>
        <w14:textFill>
          <w14:solidFill>
            <w14:schemeClr w14:val="accent3"/>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sz w:val="22"/>
        <w14:textFill>
          <w14:solidFill>
            <w14:schemeClr w14:val="accent3"/>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sz w:val="22"/>
        <w14:textFill>
          <w14:solidFill>
            <w14:schemeClr w14:val="accent3"/>
          </w14:solidFill>
        </w14:textFill>
      </w:rPr>
      <w:tcPr>
        <w:shd w:val="clear" w:color="EAF1DD" w:themeColor="accent3" w:themeTint="34" w:fill="EAF1DD" w:themeFill="accent3" w:themeFillTint="34"/>
      </w:tcPr>
    </w:tblStylePr>
    <w:tblStylePr w:type="band2Horz">
      <w:rPr>
        <w:rFonts w:ascii="Arial" w:hAnsi="Arial"/>
        <w:color w:val="9BBB59" w:themeColor="accent3"/>
        <w:sz w:val="22"/>
        <w14:textFill>
          <w14:solidFill>
            <w14:schemeClr w14:val="accent3"/>
          </w14:solidFill>
        </w14:textFill>
      </w:rPr>
    </w:tblStylePr>
  </w:style>
  <w:style w:type="table" w:customStyle="1" w:styleId="159">
    <w:name w:val="Grid Table 7 Colorful - Accent 4"/>
    <w:basedOn w:val="42"/>
    <w:qFormat/>
    <w:uiPriority w:val="99"/>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60">
    <w:name w:val="Grid Table 7 Colorful - Accent 5"/>
    <w:basedOn w:val="42"/>
    <w:qFormat/>
    <w:uiPriority w:val="99"/>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61">
    <w:name w:val="Grid Table 7 Colorful - Accent 6"/>
    <w:basedOn w:val="42"/>
    <w:qFormat/>
    <w:uiPriority w:val="99"/>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62">
    <w:name w:val="List Table 1 Light - Accent 1"/>
    <w:basedOn w:val="42"/>
    <w:qFormat/>
    <w:uiPriority w:val="99"/>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63">
    <w:name w:val="List Table 1 Light - Accent 2"/>
    <w:basedOn w:val="42"/>
    <w:qFormat/>
    <w:uiPriority w:val="99"/>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64">
    <w:name w:val="List Table 1 Light - Accent 3"/>
    <w:basedOn w:val="42"/>
    <w:qFormat/>
    <w:uiPriority w:val="99"/>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65">
    <w:name w:val="List Table 1 Light - Accent 4"/>
    <w:basedOn w:val="42"/>
    <w:qFormat/>
    <w:uiPriority w:val="99"/>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66">
    <w:name w:val="List Table 1 Light - Accent 5"/>
    <w:basedOn w:val="42"/>
    <w:qFormat/>
    <w:uiPriority w:val="99"/>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67">
    <w:name w:val="List Table 1 Light - Accent 6"/>
    <w:basedOn w:val="42"/>
    <w:qFormat/>
    <w:uiPriority w:val="99"/>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68">
    <w:name w:val="List Table 2 - Accent 1"/>
    <w:basedOn w:val="42"/>
    <w:qFormat/>
    <w:uiPriority w:val="99"/>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69">
    <w:name w:val="List Table 2 - Accent 2"/>
    <w:basedOn w:val="42"/>
    <w:qFormat/>
    <w:uiPriority w:val="99"/>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70">
    <w:name w:val="List Table 2 - Accent 3"/>
    <w:basedOn w:val="42"/>
    <w:qFormat/>
    <w:uiPriority w:val="99"/>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71">
    <w:name w:val="List Table 2 - Accent 4"/>
    <w:basedOn w:val="42"/>
    <w:qFormat/>
    <w:uiPriority w:val="99"/>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72">
    <w:name w:val="List Table 2 - Accent 5"/>
    <w:basedOn w:val="42"/>
    <w:qFormat/>
    <w:uiPriority w:val="99"/>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73">
    <w:name w:val="List Table 2 - Accent 6"/>
    <w:basedOn w:val="42"/>
    <w:qFormat/>
    <w:uiPriority w:val="99"/>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74">
    <w:name w:val="List Table 3 - Accent 1"/>
    <w:basedOn w:val="42"/>
    <w:qFormat/>
    <w:uiPriority w:val="99"/>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75">
    <w:name w:val="List Table 3 - Accent 2"/>
    <w:basedOn w:val="42"/>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76">
    <w:name w:val="List Table 3 - Accent 3"/>
    <w:basedOn w:val="42"/>
    <w:qFormat/>
    <w:uiPriority w:val="99"/>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77">
    <w:name w:val="List Table 3 - Accent 4"/>
    <w:basedOn w:val="42"/>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78">
    <w:name w:val="List Table 3 - Accent 5"/>
    <w:basedOn w:val="42"/>
    <w:qFormat/>
    <w:uiPriority w:val="99"/>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79">
    <w:name w:val="List Table 3 - Accent 6"/>
    <w:basedOn w:val="42"/>
    <w:qFormat/>
    <w:uiPriority w:val="99"/>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80">
    <w:name w:val="List Table 4 - Accent 1"/>
    <w:basedOn w:val="42"/>
    <w:qFormat/>
    <w:uiPriority w:val="9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81">
    <w:name w:val="List Table 4 - Accent 2"/>
    <w:basedOn w:val="42"/>
    <w:qFormat/>
    <w:uiPriority w:val="9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82">
    <w:name w:val="List Table 4 - Accent 3"/>
    <w:basedOn w:val="42"/>
    <w:qFormat/>
    <w:uiPriority w:val="9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83">
    <w:name w:val="List Table 4 - Accent 4"/>
    <w:basedOn w:val="42"/>
    <w:qFormat/>
    <w:uiPriority w:val="9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84">
    <w:name w:val="List Table 4 - Accent 5"/>
    <w:basedOn w:val="42"/>
    <w:qFormat/>
    <w:uiPriority w:val="9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85">
    <w:name w:val="List Table 4 - Accent 6"/>
    <w:basedOn w:val="42"/>
    <w:qFormat/>
    <w:uiPriority w:val="9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86">
    <w:name w:val="List Table 5 Dark - Accent 1"/>
    <w:basedOn w:val="42"/>
    <w:qFormat/>
    <w:uiPriority w:val="99"/>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87">
    <w:name w:val="List Table 5 Dark - Accent 2"/>
    <w:basedOn w:val="42"/>
    <w:qFormat/>
    <w:uiPriority w:val="99"/>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88">
    <w:name w:val="List Table 5 Dark - Accent 3"/>
    <w:basedOn w:val="42"/>
    <w:qFormat/>
    <w:uiPriority w:val="99"/>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89">
    <w:name w:val="List Table 5 Dark - Accent 4"/>
    <w:basedOn w:val="42"/>
    <w:qFormat/>
    <w:uiPriority w:val="99"/>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90">
    <w:name w:val="List Table 5 Dark - Accent 5"/>
    <w:basedOn w:val="42"/>
    <w:qFormat/>
    <w:uiPriority w:val="99"/>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91">
    <w:name w:val="List Table 5 Dark - Accent 6"/>
    <w:basedOn w:val="42"/>
    <w:qFormat/>
    <w:uiPriority w:val="99"/>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92">
    <w:name w:val="List Table 6 Colorful - Accent 1"/>
    <w:basedOn w:val="42"/>
    <w:qFormat/>
    <w:uiPriority w:val="99"/>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93">
    <w:name w:val="List Table 6 Colorful - Accent 2"/>
    <w:basedOn w:val="42"/>
    <w:qFormat/>
    <w:uiPriority w:val="99"/>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94">
    <w:name w:val="List Table 6 Colorful - Accent 3"/>
    <w:basedOn w:val="42"/>
    <w:qFormat/>
    <w:uiPriority w:val="99"/>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95">
    <w:name w:val="List Table 6 Colorful - Accent 4"/>
    <w:basedOn w:val="42"/>
    <w:qFormat/>
    <w:uiPriority w:val="99"/>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96">
    <w:name w:val="List Table 6 Colorful - Accent 5"/>
    <w:basedOn w:val="42"/>
    <w:qFormat/>
    <w:uiPriority w:val="99"/>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97">
    <w:name w:val="List Table 6 Colorful - Accent 6"/>
    <w:basedOn w:val="42"/>
    <w:qFormat/>
    <w:uiPriority w:val="99"/>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98">
    <w:name w:val="List Table 7 Colorful - Accent 1"/>
    <w:basedOn w:val="42"/>
    <w:qFormat/>
    <w:uiPriority w:val="99"/>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99">
    <w:name w:val="List Table 7 Colorful - Accent 2"/>
    <w:basedOn w:val="42"/>
    <w:qFormat/>
    <w:uiPriority w:val="99"/>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200">
    <w:name w:val="List Table 7 Colorful - Accent 3"/>
    <w:basedOn w:val="42"/>
    <w:qFormat/>
    <w:uiPriority w:val="99"/>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201">
    <w:name w:val="List Table 7 Colorful - Accent 4"/>
    <w:basedOn w:val="42"/>
    <w:qFormat/>
    <w:uiPriority w:val="99"/>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202">
    <w:name w:val="List Table 7 Colorful - Accent 5"/>
    <w:basedOn w:val="42"/>
    <w:qFormat/>
    <w:uiPriority w:val="99"/>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203">
    <w:name w:val="List Table 7 Colorful - Accent 6"/>
    <w:basedOn w:val="42"/>
    <w:qFormat/>
    <w:uiPriority w:val="99"/>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204">
    <w:name w:val="Lined - Accent"/>
    <w:basedOn w:val="42"/>
    <w:qFormat/>
    <w:uiPriority w:val="99"/>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cPr>
        <w:shd w:val="clear" w:color="FFFFFF" w:themeColor="text1" w:themeTint="00" w:fill="FFFFFF" w:themeFill="text1" w:themeFillTint="00"/>
      </w:tcPr>
    </w:tblStylePr>
  </w:style>
  <w:style w:type="table" w:customStyle="1" w:styleId="205">
    <w:name w:val="Lined - Accent 1"/>
    <w:basedOn w:val="42"/>
    <w:qFormat/>
    <w:uiPriority w:val="99"/>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206">
    <w:name w:val="Lined - Accent 2"/>
    <w:basedOn w:val="42"/>
    <w:qFormat/>
    <w:uiPriority w:val="99"/>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207">
    <w:name w:val="Lined - Accent 3"/>
    <w:basedOn w:val="42"/>
    <w:qFormat/>
    <w:uiPriority w:val="99"/>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208">
    <w:name w:val="Lined - Accent 4"/>
    <w:basedOn w:val="42"/>
    <w:qFormat/>
    <w:uiPriority w:val="99"/>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209">
    <w:name w:val="Lined - Accent 5"/>
    <w:basedOn w:val="42"/>
    <w:qFormat/>
    <w:uiPriority w:val="99"/>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210">
    <w:name w:val="Lined - Accent 6"/>
    <w:basedOn w:val="42"/>
    <w:qFormat/>
    <w:uiPriority w:val="99"/>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211">
    <w:name w:val="Bordered &amp; Lined - Accent"/>
    <w:basedOn w:val="42"/>
    <w:qFormat/>
    <w:uiPriority w:val="99"/>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cPr>
        <w:shd w:val="clear" w:color="FFFFFF" w:themeColor="text1" w:themeTint="00" w:fill="FFFFFF" w:themeFill="text1" w:themeFillTint="00"/>
      </w:tcPr>
    </w:tblStylePr>
  </w:style>
  <w:style w:type="table" w:customStyle="1" w:styleId="212">
    <w:name w:val="Bordered &amp; Lined - Accent 1"/>
    <w:basedOn w:val="42"/>
    <w:qFormat/>
    <w:uiPriority w:val="99"/>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213">
    <w:name w:val="Bordered &amp; Lined - Accent 2"/>
    <w:basedOn w:val="42"/>
    <w:qFormat/>
    <w:uiPriority w:val="99"/>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214">
    <w:name w:val="Bordered &amp; Lined - Accent 3"/>
    <w:basedOn w:val="42"/>
    <w:qFormat/>
    <w:uiPriority w:val="99"/>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215">
    <w:name w:val="Bordered &amp; Lined - Accent 4"/>
    <w:basedOn w:val="42"/>
    <w:qFormat/>
    <w:uiPriority w:val="99"/>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216">
    <w:name w:val="Bordered &amp; Lined - Accent 5"/>
    <w:basedOn w:val="42"/>
    <w:qFormat/>
    <w:uiPriority w:val="99"/>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217">
    <w:name w:val="Bordered &amp; Lined - Accent 6"/>
    <w:basedOn w:val="42"/>
    <w:qFormat/>
    <w:uiPriority w:val="99"/>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218">
    <w:name w:val="Bordered"/>
    <w:basedOn w:val="42"/>
    <w:qFormat/>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219">
    <w:name w:val="Bordered - Accent 1"/>
    <w:basedOn w:val="42"/>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220">
    <w:name w:val="Bordered - Accent 2"/>
    <w:basedOn w:val="42"/>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221">
    <w:name w:val="Bordered - Accent 3"/>
    <w:basedOn w:val="42"/>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222">
    <w:name w:val="Bordered - Accent 4"/>
    <w:basedOn w:val="42"/>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223">
    <w:name w:val="Bordered - Accent 5"/>
    <w:basedOn w:val="42"/>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224">
    <w:name w:val="Bordered - Accent 6"/>
    <w:basedOn w:val="42"/>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225">
    <w:name w:val="脚注文本 字符"/>
    <w:link w:val="31"/>
    <w:qFormat/>
    <w:uiPriority w:val="99"/>
    <w:rPr>
      <w:sz w:val="18"/>
    </w:rPr>
  </w:style>
  <w:style w:type="character" w:customStyle="1" w:styleId="226">
    <w:name w:val="尾注文本 字符"/>
    <w:link w:val="24"/>
    <w:qFormat/>
    <w:uiPriority w:val="99"/>
    <w:rPr>
      <w:sz w:val="20"/>
    </w:rPr>
  </w:style>
  <w:style w:type="paragraph" w:customStyle="1" w:styleId="227">
    <w:name w:val="TOC 标题11"/>
    <w:unhideWhenUsed/>
    <w:qFormat/>
    <w:uiPriority w:val="39"/>
    <w:rPr>
      <w:rFonts w:ascii="Times New Roman" w:hAnsi="Times New Roman" w:eastAsia="宋体" w:cs="Times New Roman"/>
      <w:lang w:val="en-US" w:eastAsia="zh-CN" w:bidi="ar-SA"/>
    </w:rPr>
  </w:style>
  <w:style w:type="paragraph" w:customStyle="1" w:styleId="228">
    <w:name w:val="Default"/>
    <w:qFormat/>
    <w:uiPriority w:val="0"/>
    <w:pPr>
      <w:widowControl w:val="0"/>
    </w:pPr>
    <w:rPr>
      <w:rFonts w:ascii="宋体" w:hAnsi="宋体" w:eastAsia="宋体" w:cs="宋体"/>
      <w:color w:val="000000"/>
      <w:sz w:val="24"/>
      <w:szCs w:val="24"/>
      <w:lang w:val="en-US" w:eastAsia="zh-CN" w:bidi="ar-SA"/>
    </w:rPr>
  </w:style>
  <w:style w:type="paragraph" w:customStyle="1" w:styleId="229">
    <w:name w:val="无间隔1"/>
    <w:qFormat/>
    <w:uiPriority w:val="99"/>
    <w:pPr>
      <w:widowControl w:val="0"/>
      <w:spacing w:line="300" w:lineRule="auto"/>
    </w:pPr>
    <w:rPr>
      <w:rFonts w:ascii="Times New Roman" w:hAnsi="Times New Roman" w:eastAsia="华文仿宋" w:cs="Times New Roman"/>
      <w:sz w:val="24"/>
      <w:szCs w:val="21"/>
      <w:lang w:val="en-US" w:eastAsia="zh-CN" w:bidi="ar-SA"/>
    </w:rPr>
  </w:style>
  <w:style w:type="paragraph" w:customStyle="1" w:styleId="230">
    <w:name w:val="正文首行缩进 21"/>
    <w:basedOn w:val="16"/>
    <w:unhideWhenUsed/>
    <w:qFormat/>
    <w:uiPriority w:val="99"/>
    <w:pPr>
      <w:ind w:firstLine="200"/>
    </w:pPr>
  </w:style>
  <w:style w:type="paragraph" w:customStyle="1" w:styleId="231">
    <w:name w:val="表格文字"/>
    <w:basedOn w:val="1"/>
    <w:next w:val="15"/>
    <w:qFormat/>
    <w:uiPriority w:val="0"/>
    <w:pPr>
      <w:widowControl/>
      <w:spacing w:line="420" w:lineRule="atLeast"/>
      <w:jc w:val="left"/>
    </w:pPr>
    <w:rPr>
      <w:szCs w:val="24"/>
    </w:rPr>
  </w:style>
  <w:style w:type="character" w:customStyle="1" w:styleId="232">
    <w:name w:val="页眉 Char"/>
    <w:link w:val="99"/>
    <w:qFormat/>
    <w:uiPriority w:val="0"/>
    <w:rPr>
      <w:rFonts w:ascii="Times New Roman" w:hAnsi="Times New Roman"/>
      <w:sz w:val="18"/>
      <w:szCs w:val="18"/>
    </w:rPr>
  </w:style>
  <w:style w:type="paragraph" w:customStyle="1" w:styleId="233">
    <w:name w:val="正文缩进2格"/>
    <w:basedOn w:val="1"/>
    <w:qFormat/>
    <w:uiPriority w:val="0"/>
    <w:pPr>
      <w:spacing w:line="600" w:lineRule="exact"/>
      <w:ind w:firstLine="639"/>
    </w:pPr>
    <w:rPr>
      <w:rFonts w:ascii="仿宋_GB2312" w:hAnsi="宋体" w:eastAsia="仿宋_GB2312"/>
      <w:sz w:val="31"/>
      <w:szCs w:val="28"/>
    </w:rPr>
  </w:style>
  <w:style w:type="paragraph" w:customStyle="1" w:styleId="234">
    <w:name w:val="Table Paragraph"/>
    <w:basedOn w:val="1"/>
    <w:qFormat/>
    <w:uiPriority w:val="1"/>
    <w:pPr>
      <w:spacing w:before="31"/>
      <w:ind w:left="107"/>
    </w:pPr>
    <w:rPr>
      <w:rFonts w:ascii="微软雅黑" w:hAnsi="微软雅黑" w:eastAsia="微软雅黑" w:cs="微软雅黑"/>
    </w:rPr>
  </w:style>
  <w:style w:type="table" w:customStyle="1" w:styleId="235">
    <w:name w:val="Table Normal"/>
    <w:unhideWhenUsed/>
    <w:qFormat/>
    <w:uiPriority w:val="2"/>
    <w:tblPr>
      <w:tblCellMar>
        <w:top w:w="0" w:type="dxa"/>
        <w:left w:w="0" w:type="dxa"/>
        <w:bottom w:w="0" w:type="dxa"/>
        <w:right w:w="0" w:type="dxa"/>
      </w:tblCellMar>
    </w:tblPr>
  </w:style>
  <w:style w:type="paragraph" w:customStyle="1" w:styleId="236">
    <w:name w:val="普通正文"/>
    <w:basedOn w:val="1"/>
    <w:qFormat/>
    <w:uiPriority w:val="99"/>
    <w:pPr>
      <w:spacing w:before="120" w:after="120" w:line="360" w:lineRule="auto"/>
      <w:ind w:firstLine="480"/>
      <w:jc w:val="left"/>
    </w:pPr>
    <w:rPr>
      <w:rFonts w:ascii="Arial" w:hAnsi="Arial" w:cs="Arial"/>
      <w:sz w:val="24"/>
      <w:szCs w:val="24"/>
    </w:rPr>
  </w:style>
  <w:style w:type="character" w:customStyle="1" w:styleId="237">
    <w:name w:val="font12"/>
    <w:qFormat/>
    <w:uiPriority w:val="0"/>
    <w:rPr>
      <w:rFonts w:hint="default" w:ascii="方正仿宋_GBK" w:hAnsi="方正仿宋_GBK" w:eastAsia="方正仿宋_GBK" w:cs="方正仿宋_GBK"/>
      <w:b/>
      <w:bCs/>
      <w:color w:val="000000"/>
      <w:sz w:val="22"/>
      <w:szCs w:val="22"/>
      <w:u w:val="none"/>
    </w:rPr>
  </w:style>
  <w:style w:type="character" w:customStyle="1" w:styleId="238">
    <w:name w:val="font61"/>
    <w:qFormat/>
    <w:uiPriority w:val="0"/>
    <w:rPr>
      <w:rFonts w:hint="default" w:ascii="方正仿宋_GBK" w:hAnsi="方正仿宋_GBK" w:eastAsia="方正仿宋_GBK" w:cs="方正仿宋_GBK"/>
      <w:color w:val="000000"/>
      <w:sz w:val="22"/>
      <w:szCs w:val="22"/>
      <w:u w:val="none"/>
    </w:rPr>
  </w:style>
  <w:style w:type="character" w:customStyle="1" w:styleId="239">
    <w:name w:val="font71"/>
    <w:qFormat/>
    <w:uiPriority w:val="0"/>
    <w:rPr>
      <w:rFonts w:hint="default" w:ascii="Arial" w:hAnsi="Arial" w:cs="Arial"/>
      <w:color w:val="000000"/>
      <w:sz w:val="22"/>
      <w:szCs w:val="22"/>
      <w:u w:val="none"/>
    </w:rPr>
  </w:style>
  <w:style w:type="character" w:customStyle="1" w:styleId="240">
    <w:name w:val="font21"/>
    <w:qFormat/>
    <w:uiPriority w:val="0"/>
    <w:rPr>
      <w:rFonts w:hint="eastAsia" w:ascii="等线" w:hAnsi="等线" w:eastAsia="等线" w:cs="等线"/>
      <w:color w:val="000000"/>
      <w:sz w:val="22"/>
      <w:szCs w:val="22"/>
      <w:u w:val="none"/>
    </w:rPr>
  </w:style>
  <w:style w:type="character" w:customStyle="1" w:styleId="241">
    <w:name w:val="font31"/>
    <w:basedOn w:val="44"/>
    <w:qFormat/>
    <w:uiPriority w:val="0"/>
    <w:rPr>
      <w:rFonts w:hint="default" w:ascii="方正仿宋_GBK" w:hAnsi="方正仿宋_GBK" w:eastAsia="方正仿宋_GBK" w:cs="方正仿宋_GBK"/>
      <w:color w:val="000000"/>
      <w:sz w:val="22"/>
      <w:szCs w:val="22"/>
      <w:u w:val="none"/>
    </w:rPr>
  </w:style>
  <w:style w:type="character" w:customStyle="1" w:styleId="242">
    <w:name w:val="font122"/>
    <w:qFormat/>
    <w:uiPriority w:val="0"/>
    <w:rPr>
      <w:rFonts w:hint="eastAsia" w:ascii="等线" w:hAnsi="等线" w:eastAsia="等线" w:cs="等线"/>
      <w:color w:val="000000"/>
      <w:sz w:val="22"/>
      <w:szCs w:val="22"/>
      <w:u w:val="none"/>
    </w:rPr>
  </w:style>
  <w:style w:type="character" w:customStyle="1" w:styleId="243">
    <w:name w:val="font51"/>
    <w:qFormat/>
    <w:uiPriority w:val="0"/>
    <w:rPr>
      <w:rFonts w:hint="default" w:ascii="Arial" w:hAnsi="Arial" w:cs="Arial"/>
      <w:b/>
      <w:bCs/>
      <w:color w:val="000000"/>
      <w:sz w:val="22"/>
      <w:szCs w:val="22"/>
      <w:u w:val="none"/>
    </w:rPr>
  </w:style>
  <w:style w:type="paragraph" w:customStyle="1" w:styleId="244">
    <w:name w:val="ZX-正文"/>
    <w:qFormat/>
    <w:uiPriority w:val="0"/>
    <w:pPr>
      <w:ind w:firstLine="480"/>
    </w:pPr>
    <w:rPr>
      <w:rFonts w:ascii="Trebuchet MS" w:hAnsi="FuturaA Bk BT" w:eastAsia="宋体" w:cs="Times New Roman"/>
      <w:sz w:val="24"/>
      <w:lang w:val="en-US" w:eastAsia="zh-CN" w:bidi="ar-SA"/>
    </w:rPr>
  </w:style>
  <w:style w:type="character" w:customStyle="1" w:styleId="245">
    <w:name w:val="c-icon"/>
    <w:qFormat/>
    <w:uiPriority w:val="0"/>
  </w:style>
  <w:style w:type="character" w:customStyle="1" w:styleId="246">
    <w:name w:val="ec_d20_recomm_link"/>
    <w:qFormat/>
    <w:uiPriority w:val="0"/>
    <w:rPr>
      <w:shd w:val="clear" w:color="auto" w:fill="F5F5F6"/>
    </w:rPr>
  </w:style>
  <w:style w:type="character" w:customStyle="1" w:styleId="247">
    <w:name w:val="hover28"/>
    <w:qFormat/>
    <w:uiPriority w:val="0"/>
    <w:rPr>
      <w:color w:val="315EFB"/>
    </w:rPr>
  </w:style>
  <w:style w:type="character" w:customStyle="1" w:styleId="248">
    <w:name w:val="hover29"/>
    <w:qFormat/>
    <w:uiPriority w:val="0"/>
  </w:style>
  <w:style w:type="character" w:customStyle="1" w:styleId="249">
    <w:name w:val="c-icon32"/>
    <w:qFormat/>
    <w:uiPriority w:val="0"/>
  </w:style>
  <w:style w:type="paragraph" w:customStyle="1" w:styleId="250">
    <w:name w:val="正文1"/>
    <w:basedOn w:val="1"/>
    <w:qFormat/>
    <w:uiPriority w:val="0"/>
    <w:pPr>
      <w:spacing w:line="360" w:lineRule="auto"/>
      <w:ind w:firstLine="361"/>
    </w:pPr>
    <w:rPr>
      <w:rFonts w:ascii="宋体" w:hAnsi="宋体"/>
      <w:szCs w:val="24"/>
    </w:rPr>
  </w:style>
  <w:style w:type="paragraph" w:customStyle="1" w:styleId="251">
    <w:name w:val="正文自设"/>
    <w:basedOn w:val="12"/>
    <w:qFormat/>
    <w:uiPriority w:val="0"/>
    <w:pPr>
      <w:spacing w:line="350" w:lineRule="exact"/>
      <w:ind w:firstLine="502"/>
    </w:pPr>
    <w:rPr>
      <w:rFonts w:ascii="宋体" w:hAnsi="宋体"/>
      <w:b/>
      <w:bCs/>
      <w:sz w:val="25"/>
      <w:szCs w:val="25"/>
    </w:rPr>
  </w:style>
  <w:style w:type="character" w:customStyle="1" w:styleId="252">
    <w:name w:val="NormalCharacter"/>
    <w:qFormat/>
    <w:uiPriority w:val="0"/>
  </w:style>
  <w:style w:type="paragraph" w:customStyle="1" w:styleId="253">
    <w:name w:val="文档正文"/>
    <w:basedOn w:val="1"/>
    <w:qFormat/>
    <w:uiPriority w:val="0"/>
    <w:pPr>
      <w:spacing w:line="312" w:lineRule="atLeast"/>
      <w:ind w:firstLine="567"/>
    </w:pPr>
    <w:rPr>
      <w:rFonts w:ascii="长城仿宋" w:eastAsia="长城仿宋"/>
      <w:sz w:val="28"/>
    </w:rPr>
  </w:style>
  <w:style w:type="paragraph" w:customStyle="1" w:styleId="254">
    <w:name w:val="普通(网站) Char Char"/>
    <w:basedOn w:val="1"/>
    <w:qFormat/>
    <w:uiPriority w:val="0"/>
    <w:pPr>
      <w:widowControl/>
      <w:spacing w:before="100" w:beforeAutospacing="1" w:after="100" w:afterAutospacing="1"/>
      <w:jc w:val="left"/>
    </w:pPr>
    <w:rPr>
      <w:rFonts w:hint="eastAsia" w:ascii="宋体" w:hAnsi="宋体"/>
      <w:sz w:val="24"/>
      <w:szCs w:val="24"/>
    </w:rPr>
  </w:style>
  <w:style w:type="paragraph" w:customStyle="1" w:styleId="255">
    <w:name w:val="章正文"/>
    <w:basedOn w:val="1"/>
    <w:qFormat/>
    <w:uiPriority w:val="0"/>
    <w:pPr>
      <w:spacing w:after="120" w:line="300" w:lineRule="auto"/>
      <w:ind w:firstLine="480"/>
    </w:pPr>
    <w:rPr>
      <w:rFonts w:ascii="Helvetica" w:hAnsi="Helvetica"/>
      <w:sz w:val="24"/>
    </w:rPr>
  </w:style>
  <w:style w:type="character" w:customStyle="1" w:styleId="256">
    <w:name w:val="批注框文本 字符"/>
    <w:basedOn w:val="44"/>
    <w:link w:val="25"/>
    <w:semiHidden/>
    <w:qFormat/>
    <w:uiPriority w:val="99"/>
    <w:rPr>
      <w:sz w:val="18"/>
      <w:szCs w:val="18"/>
    </w:rPr>
  </w:style>
  <w:style w:type="character" w:customStyle="1" w:styleId="257">
    <w:name w:val="批注文字 字符"/>
    <w:basedOn w:val="44"/>
    <w:link w:val="14"/>
    <w:qFormat/>
    <w:uiPriority w:val="0"/>
    <w:rPr>
      <w:sz w:val="21"/>
    </w:rPr>
  </w:style>
  <w:style w:type="character" w:customStyle="1" w:styleId="258">
    <w:name w:val="批注主题 字符"/>
    <w:basedOn w:val="257"/>
    <w:link w:val="39"/>
    <w:qFormat/>
    <w:uiPriority w:val="0"/>
    <w:rPr>
      <w:sz w:val="21"/>
    </w:rPr>
  </w:style>
  <w:style w:type="character" w:customStyle="1" w:styleId="259">
    <w:name w:val="正文文本缩进 2 字符"/>
    <w:basedOn w:val="44"/>
    <w:link w:val="23"/>
    <w:qFormat/>
    <w:uiPriority w:val="0"/>
    <w:rPr>
      <w:rFonts w:eastAsia="仿宋_GB2312"/>
      <w:sz w:val="28"/>
    </w:rPr>
  </w:style>
  <w:style w:type="character" w:customStyle="1" w:styleId="260">
    <w:name w:val="页眉 字符"/>
    <w:basedOn w:val="44"/>
    <w:link w:val="27"/>
    <w:qFormat/>
    <w:uiPriority w:val="99"/>
    <w:rPr>
      <w:sz w:val="18"/>
      <w:szCs w:val="18"/>
    </w:rPr>
  </w:style>
  <w:style w:type="character" w:customStyle="1" w:styleId="261">
    <w:name w:val="页脚 字符"/>
    <w:basedOn w:val="44"/>
    <w:link w:val="26"/>
    <w:qFormat/>
    <w:uiPriority w:val="99"/>
    <w:rPr>
      <w:sz w:val="18"/>
      <w:szCs w:val="18"/>
    </w:rPr>
  </w:style>
  <w:style w:type="paragraph" w:customStyle="1" w:styleId="262">
    <w:name w:val="修订1"/>
    <w:hidden/>
    <w:semiHidden/>
    <w:qFormat/>
    <w:uiPriority w:val="99"/>
    <w:rPr>
      <w:rFonts w:ascii="Times New Roman" w:hAnsi="Times New Roman" w:eastAsia="宋体" w:cs="Times New Roman"/>
      <w:sz w:val="21"/>
      <w:lang w:val="en-US" w:eastAsia="zh-CN" w:bidi="ar-SA"/>
    </w:rPr>
  </w:style>
  <w:style w:type="table" w:customStyle="1" w:styleId="263">
    <w:name w:val="网格型1"/>
    <w:basedOn w:val="42"/>
    <w:qFormat/>
    <w:uiPriority w:val="0"/>
    <w:pPr>
      <w:widowControl w:val="0"/>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64">
    <w:name w:val="网格型2"/>
    <w:basedOn w:val="42"/>
    <w:qFormat/>
    <w:uiPriority w:val="0"/>
    <w:pPr>
      <w:widowControl w:val="0"/>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65">
    <w:name w:val="p0"/>
    <w:basedOn w:val="1"/>
    <w:qFormat/>
    <w:uiPriority w:val="0"/>
    <w:pPr>
      <w:widowControl/>
    </w:pPr>
    <w:rPr>
      <w:szCs w:val="21"/>
    </w:rPr>
  </w:style>
  <w:style w:type="character" w:customStyle="1" w:styleId="266">
    <w:name w:val="font11"/>
    <w:basedOn w:val="4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56</Pages>
  <Words>15078</Words>
  <Characters>16221</Characters>
  <Lines>259</Lines>
  <Paragraphs>73</Paragraphs>
  <TotalTime>32</TotalTime>
  <ScaleCrop>false</ScaleCrop>
  <LinksUpToDate>false</LinksUpToDate>
  <CharactersWithSpaces>16325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2024-12-08T06:57:00Z</dcterms:created>
  <dc:creator>Administrator</dc:creator>
  <cp:lastModifiedBy>雕</cp:lastModifiedBy>
  <dcterms:modified xsi:type="dcterms:W3CDTF">2024-12-23T11:10:16Z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B857661C81144C4D9998767AEAF01860_13</vt:lpwstr>
  </property>
  <property fmtid="{D5CDD505-2E9C-101B-9397-08002B2CF9AE}" pid="4" name="KSOTemplateDocerSaveRecord">
    <vt:lpwstr>eyJoZGlkIjoiZDcxZTk4ODU1ZmZhNDIxMTBlZDJlNDI4ZDQ0ZDk0MDQiLCJ1c2VySWQiOiIyMzAzNjU3ODcifQ==</vt:lpwstr>
  </property>
</Properties>
</file>